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371475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left="280"/>
        <w:spacing w:after="0"/>
        <w:rPr>
          <w:sz w:val="20"/>
          <w:szCs w:val="20"/>
          <w:color w:val="auto"/>
        </w:rPr>
      </w:pPr>
      <w:r>
        <w:rPr>
          <w:rFonts w:ascii="Arial" w:cs="Arial" w:eastAsia="Arial" w:hAnsi="Arial"/>
          <w:sz w:val="22"/>
          <w:szCs w:val="22"/>
          <w:i w:val="1"/>
          <w:iCs w:val="1"/>
          <w:color w:val="auto"/>
        </w:rPr>
        <w:t>(Mark One)</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[X] QUARTERLY REPORT PURSUANT TO SECTION 13 OR 15(d) OF THE SECURITIES EXCHANGE ACT OF 1934</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FF0000"/>
        </w:rPr>
        <w:t>For the Quarterly Period Ended March 31, 2001</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spacing w:after="0" w:line="206" w:lineRule="exact"/>
        <w:rPr>
          <w:sz w:val="24"/>
          <w:szCs w:val="24"/>
          <w:color w:val="auto"/>
        </w:rPr>
      </w:pPr>
    </w:p>
    <w:p>
      <w:pPr>
        <w:jc w:val="center"/>
        <w:ind w:left="3260" w:right="20" w:hanging="3198"/>
        <w:spacing w:after="0" w:line="435" w:lineRule="auto"/>
        <w:tabs>
          <w:tab w:leader="none" w:pos="247"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 For the transition period from ________to _________</w:t>
      </w:r>
    </w:p>
    <w:p>
      <w:pPr>
        <w:spacing w:after="0" w:line="1" w:lineRule="exact"/>
        <w:rPr>
          <w:rFonts w:ascii="Arial" w:cs="Arial" w:eastAsia="Arial" w:hAnsi="Arial"/>
          <w:sz w:val="22"/>
          <w:szCs w:val="22"/>
          <w:b w:val="1"/>
          <w:bCs w:val="1"/>
          <w:color w:val="auto"/>
        </w:rPr>
      </w:pPr>
    </w:p>
    <w:p>
      <w:pPr>
        <w:ind w:left="4200"/>
        <w:spacing w:after="0"/>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Commission file number 0-30235</w:t>
      </w:r>
    </w:p>
    <w:p>
      <w:pPr>
        <w:spacing w:after="0" w:line="190" w:lineRule="exact"/>
        <w:rPr>
          <w:sz w:val="24"/>
          <w:szCs w:val="24"/>
          <w:color w:val="auto"/>
        </w:rPr>
      </w:pPr>
    </w:p>
    <w:p>
      <w:pPr>
        <w:jc w:val="center"/>
        <w:ind w:right="60"/>
        <w:spacing w:after="0"/>
        <w:rPr>
          <w:sz w:val="20"/>
          <w:szCs w:val="20"/>
          <w:color w:val="auto"/>
        </w:rPr>
      </w:pPr>
      <w:r>
        <w:rPr>
          <w:rFonts w:ascii="Arial" w:cs="Arial" w:eastAsia="Arial" w:hAnsi="Arial"/>
          <w:sz w:val="43"/>
          <w:szCs w:val="43"/>
          <w:b w:val="1"/>
          <w:bCs w:val="1"/>
          <w:u w:val="single" w:color="auto"/>
          <w:color w:val="0000FF"/>
        </w:rPr>
        <w:t>EXELIXIS,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13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4080" w:type="dxa"/>
            <w:vAlign w:val="bottom"/>
            <w:gridSpan w:val="2"/>
          </w:tcPr>
          <w:p>
            <w:pPr>
              <w:jc w:val="center"/>
              <w:ind w:right="3092"/>
              <w:spacing w:after="0"/>
              <w:rPr>
                <w:sz w:val="20"/>
                <w:szCs w:val="20"/>
                <w:color w:val="auto"/>
              </w:rPr>
            </w:pPr>
            <w:r>
              <w:rPr>
                <w:rFonts w:ascii="Arial" w:cs="Arial" w:eastAsia="Arial" w:hAnsi="Arial"/>
                <w:sz w:val="22"/>
                <w:szCs w:val="22"/>
                <w:b w:val="1"/>
                <w:bCs w:val="1"/>
                <w:color w:val="auto"/>
                <w:w w:val="91"/>
              </w:rPr>
              <w:t>Delaware</w:t>
            </w:r>
          </w:p>
        </w:tc>
        <w:tc>
          <w:tcPr>
            <w:tcW w:w="2580" w:type="dxa"/>
            <w:vAlign w:val="bottom"/>
            <w:gridSpan w:val="2"/>
          </w:tcPr>
          <w:p>
            <w:pPr>
              <w:jc w:val="right"/>
              <w:spacing w:after="0"/>
              <w:rPr>
                <w:sz w:val="20"/>
                <w:szCs w:val="20"/>
                <w:color w:val="auto"/>
              </w:rPr>
            </w:pPr>
            <w:r>
              <w:rPr>
                <w:rFonts w:ascii="Arial" w:cs="Arial" w:eastAsia="Arial" w:hAnsi="Arial"/>
                <w:sz w:val="22"/>
                <w:szCs w:val="22"/>
                <w:b w:val="1"/>
                <w:bCs w:val="1"/>
                <w:color w:val="auto"/>
              </w:rPr>
              <w:t>04-3257395</w:t>
            </w:r>
          </w:p>
        </w:tc>
        <w:tc>
          <w:tcPr>
            <w:tcW w:w="920" w:type="dxa"/>
            <w:vAlign w:val="bottom"/>
          </w:tcPr>
          <w:p>
            <w:pPr>
              <w:spacing w:after="0"/>
              <w:rPr>
                <w:sz w:val="21"/>
                <w:szCs w:val="2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9"/>
        </w:trPr>
        <w:tc>
          <w:tcPr>
            <w:tcW w:w="5760" w:type="dxa"/>
            <w:vAlign w:val="bottom"/>
            <w:gridSpan w:val="3"/>
          </w:tcPr>
          <w:p>
            <w:pPr>
              <w:jc w:val="center"/>
              <w:ind w:right="1352"/>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3500" w:type="dxa"/>
            <w:vAlign w:val="bottom"/>
            <w:gridSpan w:val="3"/>
          </w:tcPr>
          <w:p>
            <w:pPr>
              <w:jc w:val="center"/>
              <w:ind w:left="522"/>
              <w:spacing w:after="0"/>
              <w:rPr>
                <w:sz w:val="20"/>
                <w:szCs w:val="20"/>
                <w:color w:val="auto"/>
              </w:rPr>
            </w:pPr>
            <w:r>
              <w:rPr>
                <w:rFonts w:ascii="Arial" w:cs="Arial" w:eastAsia="Arial" w:hAnsi="Arial"/>
                <w:sz w:val="18"/>
                <w:szCs w:val="18"/>
                <w:color w:val="auto"/>
                <w:w w:val="91"/>
              </w:rPr>
              <w:t>(I.R.S. Employer Identification Number)</w:t>
            </w:r>
          </w:p>
        </w:tc>
      </w:tr>
      <w:tr>
        <w:trPr>
          <w:trHeight w:val="717"/>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0" w:type="dxa"/>
            <w:vAlign w:val="bottom"/>
          </w:tcPr>
          <w:p>
            <w:pPr>
              <w:jc w:val="center"/>
              <w:ind w:left="312"/>
              <w:spacing w:after="0"/>
              <w:rPr>
                <w:sz w:val="20"/>
                <w:szCs w:val="20"/>
                <w:color w:val="auto"/>
              </w:rPr>
            </w:pPr>
            <w:r>
              <w:rPr>
                <w:rFonts w:ascii="Arial" w:cs="Arial" w:eastAsia="Arial" w:hAnsi="Arial"/>
                <w:sz w:val="22"/>
                <w:szCs w:val="22"/>
                <w:b w:val="1"/>
                <w:bCs w:val="1"/>
                <w:color w:val="auto"/>
                <w:w w:val="92"/>
              </w:rPr>
              <w:t>170 Harbor Way</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7"/>
        </w:trPr>
        <w:tc>
          <w:tcPr>
            <w:tcW w:w="1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0" w:type="dxa"/>
            <w:vAlign w:val="bottom"/>
          </w:tcPr>
          <w:p>
            <w:pPr>
              <w:jc w:val="center"/>
              <w:ind w:left="312"/>
              <w:spacing w:after="0"/>
              <w:rPr>
                <w:sz w:val="20"/>
                <w:szCs w:val="20"/>
                <w:color w:val="auto"/>
              </w:rPr>
            </w:pPr>
            <w:r>
              <w:rPr>
                <w:rFonts w:ascii="Arial" w:cs="Arial" w:eastAsia="Arial" w:hAnsi="Arial"/>
                <w:sz w:val="22"/>
                <w:szCs w:val="22"/>
                <w:b w:val="1"/>
                <w:bCs w:val="1"/>
                <w:color w:val="auto"/>
                <w:w w:val="87"/>
              </w:rPr>
              <w:t>P.O. Box 511</w:t>
            </w: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jc w:val="center"/>
        <w:spacing w:after="0"/>
        <w:tabs>
          <w:tab w:leader="none" w:pos="200" w:val="left"/>
        </w:tabs>
        <w:rPr>
          <w:sz w:val="20"/>
          <w:szCs w:val="20"/>
          <w:color w:val="auto"/>
        </w:rPr>
      </w:pPr>
      <w:r>
        <w:rPr>
          <w:rFonts w:ascii="Arial" w:cs="Arial" w:eastAsia="Arial" w:hAnsi="Arial"/>
          <w:sz w:val="22"/>
          <w:szCs w:val="22"/>
          <w:b w:val="1"/>
          <w:bCs w:val="1"/>
          <w:u w:val="single" w:color="auto"/>
          <w:color w:val="auto"/>
        </w:rPr>
        <w:t>South San Francisco, California</w:t>
      </w:r>
      <w:r>
        <w:rPr>
          <w:sz w:val="20"/>
          <w:szCs w:val="20"/>
          <w:color w:val="auto"/>
        </w:rPr>
        <w:tab/>
      </w:r>
      <w:r>
        <w:rPr>
          <w:rFonts w:ascii="Arial" w:cs="Arial" w:eastAsia="Arial" w:hAnsi="Arial"/>
          <w:sz w:val="19"/>
          <w:szCs w:val="19"/>
          <w:b w:val="1"/>
          <w:bCs w:val="1"/>
          <w:u w:val="single" w:color="auto"/>
          <w:color w:val="auto"/>
        </w:rPr>
        <w:t>94083</w:t>
      </w:r>
    </w:p>
    <w:p>
      <w:pPr>
        <w:jc w:val="center"/>
        <w:ind w:right="-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(650) 837-7000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jc w:val="both"/>
        <w:ind w:right="180"/>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YES [X] NO [ ]</w:t>
      </w:r>
    </w:p>
    <w:p>
      <w:pPr>
        <w:spacing w:after="0" w:line="167" w:lineRule="exact"/>
        <w:rPr>
          <w:sz w:val="24"/>
          <w:szCs w:val="24"/>
          <w:color w:val="auto"/>
        </w:rPr>
      </w:pPr>
    </w:p>
    <w:p>
      <w:pPr>
        <w:jc w:val="both"/>
        <w:ind w:right="540"/>
        <w:spacing w:after="0" w:line="297" w:lineRule="auto"/>
        <w:rPr>
          <w:sz w:val="20"/>
          <w:szCs w:val="20"/>
          <w:color w:val="auto"/>
        </w:rPr>
      </w:pPr>
      <w:r>
        <w:rPr>
          <w:rFonts w:ascii="Arial" w:cs="Arial" w:eastAsia="Arial" w:hAnsi="Arial"/>
          <w:sz w:val="19"/>
          <w:szCs w:val="19"/>
          <w:color w:val="auto"/>
        </w:rPr>
        <w:t>As of April 30, 2001 there were 48,413,852 shares of the Registrant's Common Stock outstanding. As of that date there were 38,544,965 shares held by non-affiliates with an approximate aggregate market value of $528,066,034 based upon the $13.70 closing price of the registrant's common stock listed on the Nasdaq Stock market on April 30,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172085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EXELIXIS, INC.</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INDEX</w:t>
      </w:r>
    </w:p>
    <w:p>
      <w:pPr>
        <w:spacing w:after="0" w:line="247" w:lineRule="exact"/>
        <w:rPr>
          <w:sz w:val="24"/>
          <w:szCs w:val="24"/>
          <w:color w:val="auto"/>
        </w:rPr>
      </w:pPr>
    </w:p>
    <w:p>
      <w:pPr>
        <w:ind w:left="40"/>
        <w:spacing w:after="0"/>
        <w:tabs>
          <w:tab w:leader="none" w:pos="8520" w:val="left"/>
        </w:tabs>
        <w:rPr>
          <w:sz w:val="20"/>
          <w:szCs w:val="20"/>
          <w:color w:val="auto"/>
        </w:rPr>
      </w:pPr>
      <w:r>
        <w:rPr>
          <w:rFonts w:ascii="Arial" w:cs="Arial" w:eastAsia="Arial" w:hAnsi="Arial"/>
          <w:sz w:val="22"/>
          <w:szCs w:val="22"/>
          <w:b w:val="1"/>
          <w:bCs w:val="1"/>
          <w:color w:val="auto"/>
        </w:rPr>
        <w:t>PART I. FINANCIAL INFORMATION</w:t>
      </w:r>
      <w:r>
        <w:rPr>
          <w:sz w:val="20"/>
          <w:szCs w:val="20"/>
          <w:color w:val="auto"/>
        </w:rPr>
        <w:tab/>
      </w:r>
      <w:r>
        <w:rPr>
          <w:rFonts w:ascii="Arial" w:cs="Arial" w:eastAsia="Arial" w:hAnsi="Arial"/>
          <w:sz w:val="19"/>
          <w:szCs w:val="19"/>
          <w:b w:val="1"/>
          <w:bCs w:val="1"/>
          <w:u w:val="single" w:color="auto"/>
          <w:color w:val="auto"/>
        </w:rPr>
        <w:t>Page No.</w:t>
      </w:r>
    </w:p>
    <w:p>
      <w:pPr>
        <w:spacing w:after="0" w:line="374" w:lineRule="exact"/>
        <w:rPr>
          <w:sz w:val="24"/>
          <w:szCs w:val="24"/>
          <w:color w:val="auto"/>
        </w:rPr>
      </w:pPr>
    </w:p>
    <w:p>
      <w:pPr>
        <w:ind w:left="40"/>
        <w:spacing w:after="0"/>
        <w:rPr>
          <w:sz w:val="20"/>
          <w:szCs w:val="20"/>
          <w:color w:val="auto"/>
        </w:rPr>
      </w:pPr>
      <w:r>
        <w:rPr>
          <w:rFonts w:ascii="Arial" w:cs="Arial" w:eastAsia="Arial" w:hAnsi="Arial"/>
          <w:sz w:val="22"/>
          <w:szCs w:val="22"/>
          <w:color w:val="auto"/>
        </w:rPr>
        <w:t>Item 1. Financial Statements</w:t>
      </w:r>
    </w:p>
    <w:p>
      <w:pPr>
        <w:sectPr>
          <w:pgSz w:w="11900" w:h="16886" w:orient="portrait"/>
          <w:cols w:equalWidth="0" w:num="1">
            <w:col w:w="11380"/>
          </w:cols>
          <w:pgMar w:left="240" w:top="598" w:right="279"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8840" w:type="dxa"/>
            <w:vAlign w:val="bottom"/>
            <w:gridSpan w:val="2"/>
          </w:tcPr>
          <w:p>
            <w:pPr>
              <w:ind w:left="600"/>
              <w:spacing w:after="0"/>
              <w:rPr>
                <w:sz w:val="20"/>
                <w:szCs w:val="20"/>
                <w:color w:val="auto"/>
              </w:rPr>
            </w:pPr>
            <w:r>
              <w:rPr>
                <w:rFonts w:ascii="Arial" w:cs="Arial" w:eastAsia="Arial" w:hAnsi="Arial"/>
                <w:sz w:val="22"/>
                <w:szCs w:val="22"/>
                <w:color w:val="auto"/>
              </w:rPr>
              <w:t>Consolidated Condensed Balance Sheets</w:t>
            </w:r>
          </w:p>
        </w:tc>
        <w:tc>
          <w:tcPr>
            <w:tcW w:w="220" w:type="dxa"/>
            <w:vAlign w:val="bottom"/>
            <w:tcBorders>
              <w:bottom w:val="single" w:sz="8" w:color="0000EE"/>
            </w:tcBorders>
          </w:tcPr>
          <w:p>
            <w:pPr>
              <w:jc w:val="right"/>
              <w:spacing w:after="0"/>
              <w:rPr>
                <w:rFonts w:ascii="Arial" w:cs="Arial" w:eastAsia="Arial" w:hAnsi="Arial"/>
                <w:sz w:val="22"/>
                <w:szCs w:val="22"/>
                <w:color w:val="0000EE"/>
              </w:rPr>
            </w:pPr>
            <w:hyperlink w:anchor="page2">
              <w:r>
                <w:rPr>
                  <w:rFonts w:ascii="Arial" w:cs="Arial" w:eastAsia="Arial" w:hAnsi="Arial"/>
                  <w:sz w:val="22"/>
                  <w:szCs w:val="22"/>
                  <w:color w:val="0000EE"/>
                </w:rPr>
                <w:t>**</w:t>
              </w:r>
            </w:hyperlink>
          </w:p>
        </w:tc>
      </w:tr>
      <w:tr>
        <w:trPr>
          <w:trHeight w:val="274"/>
        </w:trPr>
        <w:tc>
          <w:tcPr>
            <w:tcW w:w="8840" w:type="dxa"/>
            <w:vAlign w:val="bottom"/>
            <w:gridSpan w:val="2"/>
          </w:tcPr>
          <w:p>
            <w:pPr>
              <w:ind w:left="600"/>
              <w:spacing w:after="0"/>
              <w:rPr>
                <w:sz w:val="20"/>
                <w:szCs w:val="20"/>
                <w:color w:val="auto"/>
              </w:rPr>
            </w:pPr>
            <w:r>
              <w:rPr>
                <w:rFonts w:ascii="Arial" w:cs="Arial" w:eastAsia="Arial" w:hAnsi="Arial"/>
                <w:sz w:val="22"/>
                <w:szCs w:val="22"/>
                <w:color w:val="auto"/>
              </w:rPr>
              <w:t>March 31, 2001 and December 31, 2000</w:t>
            </w:r>
          </w:p>
        </w:tc>
        <w:tc>
          <w:tcPr>
            <w:tcW w:w="220" w:type="dxa"/>
            <w:vAlign w:val="bottom"/>
          </w:tcPr>
          <w:p>
            <w:pPr>
              <w:spacing w:after="0"/>
              <w:rPr>
                <w:sz w:val="23"/>
                <w:szCs w:val="23"/>
                <w:color w:val="auto"/>
              </w:rPr>
            </w:pPr>
          </w:p>
        </w:tc>
      </w:tr>
      <w:tr>
        <w:trPr>
          <w:trHeight w:val="571"/>
        </w:trPr>
        <w:tc>
          <w:tcPr>
            <w:tcW w:w="8840" w:type="dxa"/>
            <w:vAlign w:val="bottom"/>
            <w:gridSpan w:val="2"/>
          </w:tcPr>
          <w:p>
            <w:pPr>
              <w:ind w:left="600"/>
              <w:spacing w:after="0"/>
              <w:rPr>
                <w:sz w:val="20"/>
                <w:szCs w:val="20"/>
                <w:color w:val="auto"/>
              </w:rPr>
            </w:pPr>
            <w:r>
              <w:rPr>
                <w:rFonts w:ascii="Arial" w:cs="Arial" w:eastAsia="Arial" w:hAnsi="Arial"/>
                <w:sz w:val="22"/>
                <w:szCs w:val="22"/>
                <w:color w:val="auto"/>
              </w:rPr>
              <w:t>Conslidated Condensed Statements of Operations</w:t>
            </w:r>
          </w:p>
        </w:tc>
        <w:tc>
          <w:tcPr>
            <w:tcW w:w="220" w:type="dxa"/>
            <w:vAlign w:val="bottom"/>
            <w:tcBorders>
              <w:bottom w:val="single" w:sz="8" w:color="0000EE"/>
            </w:tcBorders>
          </w:tcPr>
          <w:p>
            <w:pPr>
              <w:jc w:val="right"/>
              <w:spacing w:after="0"/>
              <w:rPr>
                <w:rFonts w:ascii="Arial" w:cs="Arial" w:eastAsia="Arial" w:hAnsi="Arial"/>
                <w:sz w:val="22"/>
                <w:szCs w:val="22"/>
                <w:color w:val="0000EE"/>
              </w:rPr>
            </w:pPr>
            <w:hyperlink w:anchor="page3">
              <w:r>
                <w:rPr>
                  <w:rFonts w:ascii="Arial" w:cs="Arial" w:eastAsia="Arial" w:hAnsi="Arial"/>
                  <w:sz w:val="22"/>
                  <w:szCs w:val="22"/>
                  <w:color w:val="0000EE"/>
                </w:rPr>
                <w:t>**</w:t>
              </w:r>
            </w:hyperlink>
          </w:p>
        </w:tc>
      </w:tr>
      <w:tr>
        <w:trPr>
          <w:trHeight w:val="274"/>
        </w:trPr>
        <w:tc>
          <w:tcPr>
            <w:tcW w:w="8840" w:type="dxa"/>
            <w:vAlign w:val="bottom"/>
            <w:gridSpan w:val="2"/>
          </w:tcPr>
          <w:p>
            <w:pPr>
              <w:ind w:left="600"/>
              <w:spacing w:after="0"/>
              <w:rPr>
                <w:sz w:val="20"/>
                <w:szCs w:val="20"/>
                <w:color w:val="auto"/>
              </w:rPr>
            </w:pPr>
            <w:r>
              <w:rPr>
                <w:rFonts w:ascii="Arial" w:cs="Arial" w:eastAsia="Arial" w:hAnsi="Arial"/>
                <w:sz w:val="22"/>
                <w:szCs w:val="22"/>
                <w:color w:val="auto"/>
              </w:rPr>
              <w:t>Three months ended March 31, 2001 and 2000</w:t>
            </w:r>
          </w:p>
        </w:tc>
        <w:tc>
          <w:tcPr>
            <w:tcW w:w="220" w:type="dxa"/>
            <w:vAlign w:val="bottom"/>
          </w:tcPr>
          <w:p>
            <w:pPr>
              <w:spacing w:after="0"/>
              <w:rPr>
                <w:sz w:val="23"/>
                <w:szCs w:val="23"/>
                <w:color w:val="auto"/>
              </w:rPr>
            </w:pPr>
          </w:p>
        </w:tc>
      </w:tr>
      <w:tr>
        <w:trPr>
          <w:trHeight w:val="571"/>
        </w:trPr>
        <w:tc>
          <w:tcPr>
            <w:tcW w:w="8840" w:type="dxa"/>
            <w:vAlign w:val="bottom"/>
            <w:gridSpan w:val="2"/>
          </w:tcPr>
          <w:p>
            <w:pPr>
              <w:ind w:left="600"/>
              <w:spacing w:after="0"/>
              <w:rPr>
                <w:sz w:val="20"/>
                <w:szCs w:val="20"/>
                <w:color w:val="auto"/>
              </w:rPr>
            </w:pPr>
            <w:r>
              <w:rPr>
                <w:rFonts w:ascii="Arial" w:cs="Arial" w:eastAsia="Arial" w:hAnsi="Arial"/>
                <w:sz w:val="22"/>
                <w:szCs w:val="22"/>
                <w:color w:val="auto"/>
              </w:rPr>
              <w:t>Consolidated Condensed Statements of Cash Flows</w:t>
            </w:r>
          </w:p>
        </w:tc>
        <w:tc>
          <w:tcPr>
            <w:tcW w:w="220" w:type="dxa"/>
            <w:vAlign w:val="bottom"/>
            <w:tcBorders>
              <w:bottom w:val="single" w:sz="8" w:color="0000EE"/>
            </w:tcBorders>
          </w:tcPr>
          <w:p>
            <w:pPr>
              <w:jc w:val="right"/>
              <w:spacing w:after="0"/>
              <w:rPr>
                <w:rFonts w:ascii="Arial" w:cs="Arial" w:eastAsia="Arial" w:hAnsi="Arial"/>
                <w:sz w:val="22"/>
                <w:szCs w:val="22"/>
                <w:color w:val="0000EE"/>
              </w:rPr>
            </w:pPr>
            <w:hyperlink w:anchor="page4">
              <w:r>
                <w:rPr>
                  <w:rFonts w:ascii="Arial" w:cs="Arial" w:eastAsia="Arial" w:hAnsi="Arial"/>
                  <w:sz w:val="22"/>
                  <w:szCs w:val="22"/>
                  <w:color w:val="0000EE"/>
                </w:rPr>
                <w:t>**</w:t>
              </w:r>
            </w:hyperlink>
          </w:p>
        </w:tc>
      </w:tr>
      <w:tr>
        <w:trPr>
          <w:trHeight w:val="274"/>
        </w:trPr>
        <w:tc>
          <w:tcPr>
            <w:tcW w:w="8840" w:type="dxa"/>
            <w:vAlign w:val="bottom"/>
            <w:gridSpan w:val="2"/>
          </w:tcPr>
          <w:p>
            <w:pPr>
              <w:ind w:left="600"/>
              <w:spacing w:after="0"/>
              <w:rPr>
                <w:sz w:val="20"/>
                <w:szCs w:val="20"/>
                <w:color w:val="auto"/>
              </w:rPr>
            </w:pPr>
            <w:r>
              <w:rPr>
                <w:rFonts w:ascii="Arial" w:cs="Arial" w:eastAsia="Arial" w:hAnsi="Arial"/>
                <w:sz w:val="22"/>
                <w:szCs w:val="22"/>
                <w:color w:val="auto"/>
              </w:rPr>
              <w:t>Three months ended March 31, 2001 and 2000</w:t>
            </w:r>
          </w:p>
        </w:tc>
        <w:tc>
          <w:tcPr>
            <w:tcW w:w="220" w:type="dxa"/>
            <w:vAlign w:val="bottom"/>
          </w:tcPr>
          <w:p>
            <w:pPr>
              <w:spacing w:after="0"/>
              <w:rPr>
                <w:sz w:val="23"/>
                <w:szCs w:val="23"/>
                <w:color w:val="auto"/>
              </w:rPr>
            </w:pPr>
          </w:p>
        </w:tc>
      </w:tr>
      <w:tr>
        <w:trPr>
          <w:trHeight w:val="571"/>
        </w:trPr>
        <w:tc>
          <w:tcPr>
            <w:tcW w:w="8840" w:type="dxa"/>
            <w:vAlign w:val="bottom"/>
            <w:gridSpan w:val="2"/>
          </w:tcPr>
          <w:p>
            <w:pPr>
              <w:ind w:left="600"/>
              <w:spacing w:after="0"/>
              <w:rPr>
                <w:sz w:val="20"/>
                <w:szCs w:val="20"/>
                <w:color w:val="auto"/>
              </w:rPr>
            </w:pPr>
            <w:r>
              <w:rPr>
                <w:rFonts w:ascii="Arial" w:cs="Arial" w:eastAsia="Arial" w:hAnsi="Arial"/>
                <w:sz w:val="22"/>
                <w:szCs w:val="22"/>
                <w:color w:val="auto"/>
              </w:rPr>
              <w:t>Notes to Consolidated Condensed Financial Statements</w:t>
            </w:r>
          </w:p>
        </w:tc>
        <w:tc>
          <w:tcPr>
            <w:tcW w:w="220" w:type="dxa"/>
            <w:vAlign w:val="bottom"/>
            <w:tcBorders>
              <w:bottom w:val="single" w:sz="8" w:color="0000EE"/>
            </w:tcBorders>
          </w:tcPr>
          <w:p>
            <w:pPr>
              <w:jc w:val="right"/>
              <w:spacing w:after="0"/>
              <w:rPr>
                <w:rFonts w:ascii="Arial" w:cs="Arial" w:eastAsia="Arial" w:hAnsi="Arial"/>
                <w:sz w:val="22"/>
                <w:szCs w:val="22"/>
                <w:color w:val="0000EE"/>
              </w:rPr>
            </w:pPr>
            <w:hyperlink w:anchor="page5">
              <w:r>
                <w:rPr>
                  <w:rFonts w:ascii="Arial" w:cs="Arial" w:eastAsia="Arial" w:hAnsi="Arial"/>
                  <w:sz w:val="22"/>
                  <w:szCs w:val="22"/>
                  <w:color w:val="0000EE"/>
                </w:rPr>
                <w:t>**</w:t>
              </w:r>
            </w:hyperlink>
          </w:p>
        </w:tc>
      </w:tr>
      <w:tr>
        <w:trPr>
          <w:trHeight w:val="601"/>
        </w:trPr>
        <w:tc>
          <w:tcPr>
            <w:tcW w:w="8840" w:type="dxa"/>
            <w:vAlign w:val="bottom"/>
            <w:gridSpan w:val="2"/>
          </w:tcPr>
          <w:p>
            <w:pPr>
              <w:spacing w:after="0"/>
              <w:rPr>
                <w:sz w:val="20"/>
                <w:szCs w:val="20"/>
                <w:color w:val="auto"/>
              </w:rPr>
            </w:pPr>
            <w:r>
              <w:rPr>
                <w:rFonts w:ascii="Arial" w:cs="Arial" w:eastAsia="Arial" w:hAnsi="Arial"/>
                <w:sz w:val="22"/>
                <w:szCs w:val="22"/>
                <w:color w:val="auto"/>
                <w:w w:val="93"/>
              </w:rPr>
              <w:t>Item 2. Management's Discussion and Analysis of Financial Condition and Results of Operations</w:t>
            </w:r>
          </w:p>
        </w:tc>
        <w:tc>
          <w:tcPr>
            <w:tcW w:w="220" w:type="dxa"/>
            <w:vAlign w:val="bottom"/>
            <w:tcBorders>
              <w:bottom w:val="single" w:sz="8" w:color="0000EE"/>
            </w:tcBorders>
          </w:tcPr>
          <w:p>
            <w:pPr>
              <w:jc w:val="right"/>
              <w:spacing w:after="0"/>
              <w:rPr>
                <w:sz w:val="20"/>
                <w:szCs w:val="20"/>
                <w:color w:val="auto"/>
              </w:rPr>
            </w:pPr>
            <w:r>
              <w:rPr>
                <w:rFonts w:ascii="Arial" w:cs="Arial" w:eastAsia="Arial" w:hAnsi="Arial"/>
                <w:sz w:val="22"/>
                <w:szCs w:val="22"/>
                <w:color w:val="0000EE"/>
              </w:rPr>
              <w:t>**</w:t>
            </w:r>
          </w:p>
        </w:tc>
      </w:tr>
      <w:tr>
        <w:trPr>
          <w:trHeight w:val="601"/>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8200" w:type="dxa"/>
            <w:vAlign w:val="bottom"/>
          </w:tcPr>
          <w:p>
            <w:pPr>
              <w:ind w:left="40"/>
              <w:spacing w:after="0"/>
              <w:rPr>
                <w:sz w:val="20"/>
                <w:szCs w:val="20"/>
                <w:color w:val="auto"/>
              </w:rPr>
            </w:pPr>
            <w:r>
              <w:rPr>
                <w:rFonts w:ascii="Arial" w:cs="Arial" w:eastAsia="Arial" w:hAnsi="Arial"/>
                <w:sz w:val="22"/>
                <w:szCs w:val="22"/>
                <w:color w:val="auto"/>
              </w:rPr>
              <w:t>Quantitative and Qualitative Disclosures About Market Risk</w:t>
            </w:r>
          </w:p>
        </w:tc>
        <w:tc>
          <w:tcPr>
            <w:tcW w:w="220" w:type="dxa"/>
            <w:vAlign w:val="bottom"/>
            <w:tcBorders>
              <w:bottom w:val="single" w:sz="8" w:color="0000EE"/>
            </w:tcBorders>
          </w:tcPr>
          <w:p>
            <w:pPr>
              <w:jc w:val="right"/>
              <w:spacing w:after="0"/>
              <w:rPr>
                <w:sz w:val="20"/>
                <w:szCs w:val="20"/>
                <w:color w:val="auto"/>
              </w:rPr>
            </w:pPr>
            <w:r>
              <w:rPr>
                <w:rFonts w:ascii="Arial" w:cs="Arial" w:eastAsia="Arial" w:hAnsi="Arial"/>
                <w:sz w:val="22"/>
                <w:szCs w:val="22"/>
                <w:color w:val="0000EE"/>
              </w:rPr>
              <w:t>**</w:t>
            </w:r>
          </w:p>
        </w:tc>
      </w:tr>
      <w:tr>
        <w:trPr>
          <w:trHeight w:val="652"/>
        </w:trPr>
        <w:tc>
          <w:tcPr>
            <w:tcW w:w="8840" w:type="dxa"/>
            <w:vAlign w:val="bottom"/>
            <w:gridSpan w:val="2"/>
          </w:tcPr>
          <w:p>
            <w:pPr>
              <w:spacing w:after="0"/>
              <w:rPr>
                <w:sz w:val="20"/>
                <w:szCs w:val="20"/>
                <w:color w:val="auto"/>
              </w:rPr>
            </w:pPr>
            <w:r>
              <w:rPr>
                <w:rFonts w:ascii="Arial" w:cs="Arial" w:eastAsia="Arial" w:hAnsi="Arial"/>
                <w:sz w:val="22"/>
                <w:szCs w:val="22"/>
                <w:b w:val="1"/>
                <w:bCs w:val="1"/>
                <w:color w:val="auto"/>
              </w:rPr>
              <w:t>PART II. OTHER INFORMATION</w:t>
            </w:r>
          </w:p>
        </w:tc>
        <w:tc>
          <w:tcPr>
            <w:tcW w:w="220" w:type="dxa"/>
            <w:vAlign w:val="bottom"/>
          </w:tcPr>
          <w:p>
            <w:pPr>
              <w:spacing w:after="0"/>
              <w:rPr>
                <w:sz w:val="24"/>
                <w:szCs w:val="24"/>
                <w:color w:val="auto"/>
              </w:rPr>
            </w:pPr>
          </w:p>
        </w:tc>
      </w:tr>
      <w:tr>
        <w:trPr>
          <w:trHeight w:val="571"/>
        </w:trPr>
        <w:tc>
          <w:tcPr>
            <w:tcW w:w="640" w:type="dxa"/>
            <w:vAlign w:val="bottom"/>
          </w:tcPr>
          <w:p>
            <w:pPr>
              <w:spacing w:after="0"/>
              <w:rPr>
                <w:sz w:val="20"/>
                <w:szCs w:val="20"/>
                <w:color w:val="auto"/>
              </w:rPr>
            </w:pPr>
            <w:r>
              <w:rPr>
                <w:rFonts w:ascii="Arial" w:cs="Arial" w:eastAsia="Arial" w:hAnsi="Arial"/>
                <w:sz w:val="22"/>
                <w:szCs w:val="22"/>
                <w:color w:val="auto"/>
                <w:w w:val="92"/>
              </w:rPr>
              <w:t>Item 2.</w:t>
            </w:r>
          </w:p>
        </w:tc>
        <w:tc>
          <w:tcPr>
            <w:tcW w:w="8200" w:type="dxa"/>
            <w:vAlign w:val="bottom"/>
          </w:tcPr>
          <w:p>
            <w:pPr>
              <w:ind w:left="40"/>
              <w:spacing w:after="0"/>
              <w:rPr>
                <w:sz w:val="20"/>
                <w:szCs w:val="20"/>
                <w:color w:val="auto"/>
              </w:rPr>
            </w:pPr>
            <w:r>
              <w:rPr>
                <w:rFonts w:ascii="Arial" w:cs="Arial" w:eastAsia="Arial" w:hAnsi="Arial"/>
                <w:sz w:val="22"/>
                <w:szCs w:val="22"/>
                <w:color w:val="auto"/>
              </w:rPr>
              <w:t>Changes in Securities and Use of Proceeds</w:t>
            </w:r>
          </w:p>
        </w:tc>
        <w:tc>
          <w:tcPr>
            <w:tcW w:w="220" w:type="dxa"/>
            <w:vAlign w:val="bottom"/>
            <w:tcBorders>
              <w:bottom w:val="single" w:sz="8" w:color="0000EE"/>
            </w:tcBorders>
          </w:tcPr>
          <w:p>
            <w:pPr>
              <w:jc w:val="right"/>
              <w:spacing w:after="0"/>
              <w:rPr>
                <w:sz w:val="20"/>
                <w:szCs w:val="20"/>
                <w:color w:val="auto"/>
              </w:rPr>
            </w:pPr>
            <w:r>
              <w:rPr>
                <w:rFonts w:ascii="Arial" w:cs="Arial" w:eastAsia="Arial" w:hAnsi="Arial"/>
                <w:sz w:val="22"/>
                <w:szCs w:val="22"/>
                <w:color w:val="0000EE"/>
              </w:rPr>
              <w:t>**</w:t>
            </w:r>
          </w:p>
        </w:tc>
      </w:tr>
      <w:tr>
        <w:trPr>
          <w:trHeight w:val="601"/>
        </w:trPr>
        <w:tc>
          <w:tcPr>
            <w:tcW w:w="640" w:type="dxa"/>
            <w:vAlign w:val="bottom"/>
          </w:tcPr>
          <w:p>
            <w:pPr>
              <w:spacing w:after="0"/>
              <w:rPr>
                <w:sz w:val="20"/>
                <w:szCs w:val="20"/>
                <w:color w:val="auto"/>
              </w:rPr>
            </w:pPr>
            <w:r>
              <w:rPr>
                <w:rFonts w:ascii="Arial" w:cs="Arial" w:eastAsia="Arial" w:hAnsi="Arial"/>
                <w:sz w:val="22"/>
                <w:szCs w:val="22"/>
                <w:color w:val="auto"/>
                <w:w w:val="92"/>
              </w:rPr>
              <w:t>Item 5.</w:t>
            </w:r>
          </w:p>
        </w:tc>
        <w:tc>
          <w:tcPr>
            <w:tcW w:w="8200" w:type="dxa"/>
            <w:vAlign w:val="bottom"/>
          </w:tcPr>
          <w:p>
            <w:pPr>
              <w:ind w:left="40"/>
              <w:spacing w:after="0"/>
              <w:rPr>
                <w:sz w:val="20"/>
                <w:szCs w:val="20"/>
                <w:color w:val="auto"/>
              </w:rPr>
            </w:pPr>
            <w:r>
              <w:rPr>
                <w:rFonts w:ascii="Arial" w:cs="Arial" w:eastAsia="Arial" w:hAnsi="Arial"/>
                <w:sz w:val="22"/>
                <w:szCs w:val="22"/>
                <w:color w:val="auto"/>
              </w:rPr>
              <w:t>Other Information - Risk Factors</w:t>
            </w:r>
          </w:p>
        </w:tc>
        <w:tc>
          <w:tcPr>
            <w:tcW w:w="220" w:type="dxa"/>
            <w:vAlign w:val="bottom"/>
            <w:tcBorders>
              <w:bottom w:val="single" w:sz="8" w:color="0000EE"/>
            </w:tcBorders>
          </w:tcPr>
          <w:p>
            <w:pPr>
              <w:jc w:val="right"/>
              <w:spacing w:after="0"/>
              <w:rPr>
                <w:sz w:val="20"/>
                <w:szCs w:val="20"/>
                <w:color w:val="auto"/>
              </w:rPr>
            </w:pPr>
            <w:r>
              <w:rPr>
                <w:rFonts w:ascii="Arial" w:cs="Arial" w:eastAsia="Arial" w:hAnsi="Arial"/>
                <w:sz w:val="22"/>
                <w:szCs w:val="22"/>
                <w:color w:val="0000EE"/>
              </w:rPr>
              <w:t>**</w:t>
            </w:r>
          </w:p>
        </w:tc>
      </w:tr>
      <w:tr>
        <w:trPr>
          <w:trHeight w:val="601"/>
        </w:trPr>
        <w:tc>
          <w:tcPr>
            <w:tcW w:w="640" w:type="dxa"/>
            <w:vAlign w:val="bottom"/>
          </w:tcPr>
          <w:p>
            <w:pPr>
              <w:spacing w:after="0"/>
              <w:rPr>
                <w:sz w:val="20"/>
                <w:szCs w:val="20"/>
                <w:color w:val="auto"/>
              </w:rPr>
            </w:pPr>
            <w:r>
              <w:rPr>
                <w:rFonts w:ascii="Arial" w:cs="Arial" w:eastAsia="Arial" w:hAnsi="Arial"/>
                <w:sz w:val="22"/>
                <w:szCs w:val="22"/>
                <w:color w:val="auto"/>
                <w:w w:val="92"/>
              </w:rPr>
              <w:t>Item 6.</w:t>
            </w:r>
          </w:p>
        </w:tc>
        <w:tc>
          <w:tcPr>
            <w:tcW w:w="8200" w:type="dxa"/>
            <w:vAlign w:val="bottom"/>
          </w:tcPr>
          <w:p>
            <w:pPr>
              <w:ind w:left="40"/>
              <w:spacing w:after="0"/>
              <w:rPr>
                <w:sz w:val="20"/>
                <w:szCs w:val="20"/>
                <w:color w:val="auto"/>
              </w:rPr>
            </w:pPr>
            <w:r>
              <w:rPr>
                <w:rFonts w:ascii="Arial" w:cs="Arial" w:eastAsia="Arial" w:hAnsi="Arial"/>
                <w:sz w:val="22"/>
                <w:szCs w:val="22"/>
                <w:color w:val="auto"/>
              </w:rPr>
              <w:t>Exhibits and Reports on Form 8-K</w:t>
            </w:r>
          </w:p>
        </w:tc>
        <w:tc>
          <w:tcPr>
            <w:tcW w:w="220" w:type="dxa"/>
            <w:vAlign w:val="bottom"/>
            <w:tcBorders>
              <w:bottom w:val="single" w:sz="8" w:color="0000EE"/>
            </w:tcBorders>
          </w:tcPr>
          <w:p>
            <w:pPr>
              <w:jc w:val="right"/>
              <w:spacing w:after="0"/>
              <w:rPr>
                <w:sz w:val="20"/>
                <w:szCs w:val="20"/>
                <w:color w:val="auto"/>
              </w:rPr>
            </w:pPr>
            <w:r>
              <w:rPr>
                <w:rFonts w:ascii="Arial" w:cs="Arial" w:eastAsia="Arial" w:hAnsi="Arial"/>
                <w:sz w:val="22"/>
                <w:szCs w:val="22"/>
                <w:color w:val="0000EE"/>
              </w:rPr>
              <w:t>**</w:t>
            </w: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tcPr>
          <w:p>
            <w:pPr>
              <w:ind w:left="40"/>
              <w:spacing w:after="0"/>
              <w:rPr>
                <w:sz w:val="20"/>
                <w:szCs w:val="20"/>
                <w:color w:val="auto"/>
              </w:rPr>
            </w:pPr>
            <w:r>
              <w:rPr>
                <w:rFonts w:ascii="Arial" w:cs="Arial" w:eastAsia="Arial" w:hAnsi="Arial"/>
                <w:sz w:val="22"/>
                <w:szCs w:val="22"/>
                <w:b w:val="1"/>
                <w:bCs w:val="1"/>
                <w:color w:val="auto"/>
              </w:rPr>
              <w:t>SIGNATURE</w:t>
            </w:r>
          </w:p>
        </w:tc>
        <w:tc>
          <w:tcPr>
            <w:tcW w:w="5840" w:type="dxa"/>
            <w:vAlign w:val="bottom"/>
            <w:gridSpan w:val="2"/>
          </w:tcPr>
          <w:p>
            <w:pPr>
              <w:jc w:val="right"/>
              <w:spacing w:after="0"/>
              <w:rPr>
                <w:rFonts w:ascii="Arial" w:cs="Arial" w:eastAsia="Arial" w:hAnsi="Arial"/>
                <w:sz w:val="22"/>
                <w:szCs w:val="22"/>
                <w:color w:val="0000EE"/>
              </w:rPr>
            </w:pPr>
            <w:hyperlink w:anchor="page15">
              <w:r>
                <w:rPr>
                  <w:rFonts w:ascii="Arial" w:cs="Arial" w:eastAsia="Arial" w:hAnsi="Arial"/>
                  <w:sz w:val="22"/>
                  <w:szCs w:val="22"/>
                  <w:color w:val="0000EE"/>
                </w:rPr>
                <w:t>**</w:t>
              </w:r>
            </w:hyperlink>
          </w:p>
        </w:tc>
      </w:tr>
      <w:tr>
        <w:trPr>
          <w:trHeight w:val="530"/>
        </w:trPr>
        <w:tc>
          <w:tcPr>
            <w:tcW w:w="326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Arial" w:cs="Arial" w:eastAsia="Arial" w:hAnsi="Arial"/>
                <w:sz w:val="22"/>
                <w:szCs w:val="22"/>
                <w:b w:val="1"/>
                <w:bCs w:val="1"/>
                <w:color w:val="auto"/>
              </w:rPr>
              <w:t>PART I. FINANCIAL INFORMATION</w:t>
            </w:r>
          </w:p>
        </w:tc>
        <w:tc>
          <w:tcPr>
            <w:tcW w:w="220" w:type="dxa"/>
            <w:vAlign w:val="bottom"/>
            <w:tcBorders>
              <w:top w:val="single" w:sz="8" w:color="0000EE"/>
            </w:tcBorders>
          </w:tcPr>
          <w:p>
            <w:pPr>
              <w:spacing w:after="0"/>
              <w:rPr>
                <w:sz w:val="24"/>
                <w:szCs w:val="24"/>
                <w:color w:val="auto"/>
              </w:rPr>
            </w:pPr>
          </w:p>
        </w:tc>
      </w:tr>
      <w:tr>
        <w:trPr>
          <w:trHeight w:val="459"/>
        </w:trPr>
        <w:tc>
          <w:tcPr>
            <w:tcW w:w="3260" w:type="dxa"/>
            <w:vAlign w:val="bottom"/>
          </w:tcPr>
          <w:p>
            <w:pPr>
              <w:spacing w:after="0"/>
              <w:rPr>
                <w:sz w:val="20"/>
                <w:szCs w:val="20"/>
                <w:color w:val="auto"/>
              </w:rPr>
            </w:pPr>
            <w:r>
              <w:rPr>
                <w:rFonts w:ascii="Arial" w:cs="Arial" w:eastAsia="Arial" w:hAnsi="Arial"/>
                <w:sz w:val="22"/>
                <w:szCs w:val="22"/>
                <w:b w:val="1"/>
                <w:bCs w:val="1"/>
                <w:color w:val="auto"/>
              </w:rPr>
              <w:t>Item 1. Financial Statements</w:t>
            </w:r>
          </w:p>
        </w:tc>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649605</wp:posOffset>
            </wp:positionV>
            <wp:extent cx="62083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2040" w:type="dxa"/>
            <w:vAlign w:val="bottom"/>
          </w:tcPr>
          <w:p>
            <w:pPr>
              <w:jc w:val="right"/>
              <w:ind w:right="290"/>
              <w:spacing w:after="0"/>
              <w:rPr>
                <w:sz w:val="20"/>
                <w:szCs w:val="20"/>
                <w:color w:val="auto"/>
              </w:rPr>
            </w:pPr>
            <w:r>
              <w:rPr>
                <w:rFonts w:ascii="Arial" w:cs="Arial" w:eastAsia="Arial" w:hAnsi="Arial"/>
                <w:sz w:val="22"/>
                <w:szCs w:val="22"/>
                <w:b w:val="1"/>
                <w:bCs w:val="1"/>
                <w:color w:val="auto"/>
              </w:rPr>
              <w:t>EXELIXIS, INC.</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8340" w:type="dxa"/>
            <w:vAlign w:val="bottom"/>
            <w:gridSpan w:val="4"/>
          </w:tcPr>
          <w:p>
            <w:pPr>
              <w:jc w:val="right"/>
              <w:spacing w:after="0" w:line="243" w:lineRule="exact"/>
              <w:rPr>
                <w:sz w:val="20"/>
                <w:szCs w:val="20"/>
                <w:color w:val="auto"/>
              </w:rPr>
            </w:pPr>
            <w:r>
              <w:rPr>
                <w:rFonts w:ascii="Arial" w:cs="Arial" w:eastAsia="Arial" w:hAnsi="Arial"/>
                <w:sz w:val="22"/>
                <w:szCs w:val="22"/>
                <w:b w:val="1"/>
                <w:bCs w:val="1"/>
                <w:color w:val="auto"/>
              </w:rPr>
              <w:t>CONSOLIDATED CONDENSED BALANCE SHEETS</w:t>
            </w:r>
          </w:p>
        </w:tc>
      </w:tr>
      <w:tr>
        <w:trPr>
          <w:trHeight w:val="281"/>
        </w:trPr>
        <w:tc>
          <w:tcPr>
            <w:tcW w:w="4820" w:type="dxa"/>
            <w:vAlign w:val="bottom"/>
          </w:tcPr>
          <w:p>
            <w:pPr>
              <w:spacing w:after="0"/>
              <w:rPr>
                <w:sz w:val="24"/>
                <w:szCs w:val="24"/>
                <w:color w:val="auto"/>
              </w:rPr>
            </w:pPr>
          </w:p>
        </w:tc>
        <w:tc>
          <w:tcPr>
            <w:tcW w:w="2040" w:type="dxa"/>
            <w:vAlign w:val="bottom"/>
          </w:tcPr>
          <w:p>
            <w:pPr>
              <w:jc w:val="right"/>
              <w:ind w:right="390"/>
              <w:spacing w:after="0"/>
              <w:rPr>
                <w:sz w:val="20"/>
                <w:szCs w:val="20"/>
                <w:color w:val="auto"/>
              </w:rPr>
            </w:pPr>
            <w:r>
              <w:rPr>
                <w:rFonts w:ascii="Arial" w:cs="Arial" w:eastAsia="Arial" w:hAnsi="Arial"/>
                <w:sz w:val="22"/>
                <w:szCs w:val="22"/>
                <w:b w:val="1"/>
                <w:bCs w:val="1"/>
                <w:color w:val="auto"/>
              </w:rPr>
              <w:t>(in thousands)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7"/>
        </w:trPr>
        <w:tc>
          <w:tcPr>
            <w:tcW w:w="4820" w:type="dxa"/>
            <w:vAlign w:val="bottom"/>
          </w:tcPr>
          <w:p>
            <w:pPr>
              <w:spacing w:after="0"/>
              <w:rPr>
                <w:sz w:val="24"/>
                <w:szCs w:val="24"/>
                <w:color w:val="auto"/>
              </w:rPr>
            </w:pPr>
          </w:p>
        </w:tc>
        <w:tc>
          <w:tcPr>
            <w:tcW w:w="2040" w:type="dxa"/>
            <w:vAlign w:val="bottom"/>
          </w:tcPr>
          <w:p>
            <w:pPr>
              <w:jc w:val="right"/>
              <w:ind w:right="30"/>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820" w:type="dxa"/>
            <w:vAlign w:val="bottom"/>
          </w:tcPr>
          <w:p>
            <w:pPr>
              <w:spacing w:after="0"/>
              <w:rPr>
                <w:sz w:val="17"/>
                <w:szCs w:val="17"/>
                <w:color w:val="auto"/>
              </w:rPr>
            </w:pPr>
          </w:p>
        </w:tc>
        <w:tc>
          <w:tcPr>
            <w:tcW w:w="2040" w:type="dxa"/>
            <w:vAlign w:val="bottom"/>
          </w:tcPr>
          <w:p>
            <w:pPr>
              <w:jc w:val="right"/>
              <w:ind w:right="330"/>
              <w:spacing w:after="0" w:line="203" w:lineRule="exact"/>
              <w:rPr>
                <w:sz w:val="20"/>
                <w:szCs w:val="20"/>
                <w:color w:val="auto"/>
              </w:rPr>
            </w:pPr>
            <w:r>
              <w:rPr>
                <w:rFonts w:ascii="Courier New" w:cs="Courier New" w:eastAsia="Courier New" w:hAnsi="Courier New"/>
                <w:sz w:val="18"/>
                <w:szCs w:val="18"/>
                <w:color w:val="auto"/>
              </w:rPr>
              <w:t>2001</w:t>
            </w:r>
          </w:p>
        </w:tc>
        <w:tc>
          <w:tcPr>
            <w:tcW w:w="9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2000</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20" w:type="dxa"/>
            <w:vAlign w:val="bottom"/>
          </w:tcPr>
          <w:p>
            <w:pPr>
              <w:spacing w:after="0"/>
              <w:rPr>
                <w:sz w:val="17"/>
                <w:szCs w:val="17"/>
                <w:color w:val="auto"/>
              </w:rPr>
            </w:pPr>
          </w:p>
        </w:tc>
        <w:tc>
          <w:tcPr>
            <w:tcW w:w="204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20" w:type="dxa"/>
            <w:vAlign w:val="bottom"/>
          </w:tcPr>
          <w:p>
            <w:pPr>
              <w:spacing w:after="0"/>
              <w:rPr>
                <w:sz w:val="17"/>
                <w:szCs w:val="17"/>
                <w:color w:val="auto"/>
              </w:rPr>
            </w:pP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(unaudited)</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$39,114</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$19,552</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68,854</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93,000</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receivables..........................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2,016</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1,493</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w:t>
            </w:r>
          </w:p>
        </w:tc>
        <w:tc>
          <w:tcPr>
            <w:tcW w:w="2040" w:type="dxa"/>
            <w:vAlign w:val="bottom"/>
          </w:tcPr>
          <w:p>
            <w:pPr>
              <w:jc w:val="right"/>
              <w:ind w:right="23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3,612</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1,869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1,987</w:t>
            </w:r>
          </w:p>
        </w:tc>
      </w:tr>
      <w:tr>
        <w:trPr>
          <w:trHeight w:val="203"/>
        </w:trPr>
        <w:tc>
          <w:tcPr>
            <w:tcW w:w="4820" w:type="dxa"/>
            <w:vAlign w:val="bottom"/>
          </w:tcPr>
          <w:p>
            <w:pPr>
              <w:spacing w:after="0"/>
              <w:rPr>
                <w:sz w:val="17"/>
                <w:szCs w:val="17"/>
                <w:color w:val="auto"/>
              </w:rPr>
            </w:pPr>
          </w:p>
        </w:tc>
        <w:tc>
          <w:tcPr>
            <w:tcW w:w="204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111,853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119,644</w:t>
            </w:r>
          </w:p>
        </w:tc>
      </w:tr>
      <w:tr>
        <w:trPr>
          <w:trHeight w:val="405"/>
        </w:trPr>
        <w:tc>
          <w:tcPr>
            <w:tcW w:w="4820" w:type="dxa"/>
            <w:vAlign w:val="bottom"/>
          </w:tcPr>
          <w:p>
            <w:pPr>
              <w:jc w:val="right"/>
              <w:spacing w:after="0"/>
              <w:rPr>
                <w:sz w:val="20"/>
                <w:szCs w:val="20"/>
                <w:color w:val="auto"/>
              </w:rPr>
            </w:pPr>
            <w:r>
              <w:rPr>
                <w:rFonts w:ascii="Courier New" w:cs="Courier New" w:eastAsia="Courier New" w:hAnsi="Courier New"/>
                <w:sz w:val="18"/>
                <w:szCs w:val="18"/>
                <w:color w:val="auto"/>
                <w:w w:val="97"/>
              </w:rPr>
              <w:t>Property and equipment, net..................</w:t>
            </w:r>
          </w:p>
        </w:tc>
        <w:tc>
          <w:tcPr>
            <w:tcW w:w="2040" w:type="dxa"/>
            <w:vAlign w:val="bottom"/>
          </w:tcPr>
          <w:p>
            <w:pPr>
              <w:jc w:val="right"/>
              <w:ind w:right="130"/>
              <w:spacing w:after="0"/>
              <w:rPr>
                <w:sz w:val="20"/>
                <w:szCs w:val="20"/>
                <w:color w:val="auto"/>
              </w:rPr>
            </w:pPr>
            <w:r>
              <w:rPr>
                <w:rFonts w:ascii="Courier New" w:cs="Courier New" w:eastAsia="Courier New" w:hAnsi="Courier New"/>
                <w:sz w:val="18"/>
                <w:szCs w:val="18"/>
                <w:color w:val="auto"/>
              </w:rPr>
              <w:t>22,956</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23,480</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Related party receivables....................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529</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494</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Goodwill and other intangibles, net..........</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57,299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58,674</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3,415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2,622</w:t>
            </w:r>
          </w:p>
        </w:tc>
      </w:tr>
      <w:tr>
        <w:trPr>
          <w:trHeight w:val="203"/>
        </w:trPr>
        <w:tc>
          <w:tcPr>
            <w:tcW w:w="4820" w:type="dxa"/>
            <w:vAlign w:val="bottom"/>
          </w:tcPr>
          <w:p>
            <w:pPr>
              <w:spacing w:after="0"/>
              <w:rPr>
                <w:sz w:val="17"/>
                <w:szCs w:val="17"/>
                <w:color w:val="auto"/>
              </w:rPr>
            </w:pPr>
          </w:p>
        </w:tc>
        <w:tc>
          <w:tcPr>
            <w:tcW w:w="204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assets.............................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$196,052</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$204,914</w:t>
            </w:r>
          </w:p>
        </w:tc>
      </w:tr>
      <w:tr>
        <w:trPr>
          <w:trHeight w:val="203"/>
        </w:trPr>
        <w:tc>
          <w:tcPr>
            <w:tcW w:w="4820" w:type="dxa"/>
            <w:vAlign w:val="bottom"/>
          </w:tcPr>
          <w:p>
            <w:pPr>
              <w:spacing w:after="0"/>
              <w:rPr>
                <w:sz w:val="17"/>
                <w:szCs w:val="17"/>
                <w:color w:val="auto"/>
              </w:rPr>
            </w:pPr>
          </w:p>
        </w:tc>
        <w:tc>
          <w:tcPr>
            <w:tcW w:w="204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040" w:type="dxa"/>
            <w:vAlign w:val="bottom"/>
          </w:tcPr>
          <w:p>
            <w:pPr>
              <w:jc w:val="right"/>
              <w:ind w:right="130"/>
              <w:spacing w:after="0" w:line="203" w:lineRule="exact"/>
              <w:rPr>
                <w:sz w:val="20"/>
                <w:szCs w:val="20"/>
                <w:color w:val="auto"/>
              </w:rPr>
            </w:pPr>
            <w:r>
              <w:rPr>
                <w:rFonts w:ascii="Courier New" w:cs="Courier New" w:eastAsia="Courier New" w:hAnsi="Courier New"/>
                <w:sz w:val="18"/>
                <w:szCs w:val="18"/>
                <w:color w:val="auto"/>
              </w:rPr>
              <w:t>$7,618</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$10,050</w:t>
            </w:r>
          </w:p>
        </w:tc>
      </w:tr>
    </w:tbl>
    <w:p>
      <w:pPr>
        <w:sectPr>
          <w:pgSz w:w="11900" w:h="16838" w:orient="portrait"/>
          <w:cols w:equalWidth="0" w:num="1">
            <w:col w:w="10219"/>
          </w:cols>
          <w:pgMar w:left="240" w:top="454"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Line of Credit.............................</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1,484</w:t>
            </w:r>
          </w:p>
        </w:tc>
      </w:tr>
      <w:tr>
        <w:trPr>
          <w:trHeight w:val="203"/>
        </w:trPr>
        <w:tc>
          <w:tcPr>
            <w:tcW w:w="5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Current portion of capital lease</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obligations...............................</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3,826</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Current portion of notes payable...........</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1,664</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Advances from minority shareholders........</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5,628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6,233</w:t>
            </w:r>
          </w:p>
        </w:tc>
      </w:tr>
      <w:tr>
        <w:trPr>
          <w:trHeight w:val="203"/>
        </w:trPr>
        <w:tc>
          <w:tcPr>
            <w:tcW w:w="51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18,622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24,125</w:t>
            </w:r>
          </w:p>
        </w:tc>
      </w:tr>
      <w:tr>
        <w:trPr>
          <w:trHeight w:val="405"/>
        </w:trPr>
        <w:tc>
          <w:tcPr>
            <w:tcW w:w="5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Capital lease obligations....................</w:t>
            </w:r>
          </w:p>
        </w:tc>
        <w:tc>
          <w:tcPr>
            <w:tcW w:w="1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5,613</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6,341</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Notes payable................................</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1,635</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Minority interest in consolidated subsidiary.</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1,044</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Deferred revenues............................</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18,387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9,035</w:t>
            </w:r>
          </w:p>
        </w:tc>
      </w:tr>
      <w:tr>
        <w:trPr>
          <w:trHeight w:val="203"/>
        </w:trPr>
        <w:tc>
          <w:tcPr>
            <w:tcW w:w="51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43,776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42,180</w:t>
            </w:r>
          </w:p>
        </w:tc>
      </w:tr>
      <w:tr>
        <w:trPr>
          <w:trHeight w:val="405"/>
        </w:trPr>
        <w:tc>
          <w:tcPr>
            <w:tcW w:w="5160" w:type="dxa"/>
            <w:vAlign w:val="bottom"/>
          </w:tcPr>
          <w:p>
            <w:pPr>
              <w:jc w:val="right"/>
              <w:ind w:right="2852"/>
              <w:spacing w:after="0"/>
              <w:rPr>
                <w:sz w:val="20"/>
                <w:szCs w:val="20"/>
                <w:color w:val="auto"/>
              </w:rPr>
            </w:pPr>
            <w:r>
              <w:rPr>
                <w:rFonts w:ascii="Courier New" w:cs="Courier New" w:eastAsia="Courier New" w:hAnsi="Courier New"/>
                <w:sz w:val="18"/>
                <w:szCs w:val="18"/>
                <w:color w:val="auto"/>
                <w:w w:val="96"/>
              </w:rPr>
              <w:t>Stockholders' equity:</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Common stock...............................</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Additional paid-in-capital.................</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304,469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304,339</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Notes receivable from stockholders.........</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(1,805)</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Deferred stock compensation................</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(8,365)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(10,174)</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(142,757)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(130,038)</w:t>
            </w:r>
          </w:p>
        </w:tc>
      </w:tr>
      <w:tr>
        <w:trPr>
          <w:trHeight w:val="203"/>
        </w:trPr>
        <w:tc>
          <w:tcPr>
            <w:tcW w:w="51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152,276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162,734</w:t>
            </w:r>
          </w:p>
        </w:tc>
      </w:tr>
      <w:tr>
        <w:trPr>
          <w:trHeight w:val="203"/>
        </w:trPr>
        <w:tc>
          <w:tcPr>
            <w:tcW w:w="51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$196,052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$204,914</w:t>
            </w:r>
          </w:p>
        </w:tc>
      </w:tr>
      <w:tr>
        <w:trPr>
          <w:trHeight w:val="203"/>
        </w:trPr>
        <w:tc>
          <w:tcPr>
            <w:tcW w:w="5160" w:type="dxa"/>
            <w:vAlign w:val="bottom"/>
          </w:tcPr>
          <w:p>
            <w:pPr>
              <w:spacing w:after="0"/>
              <w:rPr>
                <w:sz w:val="17"/>
                <w:szCs w:val="17"/>
                <w:color w:val="auto"/>
              </w:rPr>
            </w:pP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9" w:lineRule="exact"/>
        <w:rPr>
          <w:sz w:val="20"/>
          <w:szCs w:val="20"/>
          <w:color w:val="auto"/>
        </w:rPr>
      </w:pPr>
    </w:p>
    <w:p>
      <w:pPr>
        <w:ind w:firstLine="8"/>
        <w:spacing w:after="0"/>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consolidated condensed balance sheet at December 31, 2000 has been derived from the audited financial statement at that date but does not include all the information and footnotes required by generally accepted accounting principles for complete financial statements.</w:t>
      </w:r>
    </w:p>
    <w:p>
      <w:pPr>
        <w:spacing w:after="0" w:line="1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The accompanying notes are an integral part of these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440690</wp:posOffset>
            </wp:positionV>
            <wp:extent cx="620839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EXELIXIS, INC.</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CONSOLIDATED CONDENSED STATEMENTS OF OPERATIONS</w:t>
      </w:r>
    </w:p>
    <w:p>
      <w:pPr>
        <w:jc w:val="center"/>
        <w:ind w:right="-219"/>
        <w:spacing w:after="0"/>
        <w:rPr>
          <w:sz w:val="20"/>
          <w:szCs w:val="20"/>
          <w:color w:val="auto"/>
        </w:rPr>
      </w:pPr>
      <w:r>
        <w:rPr>
          <w:rFonts w:ascii="Arial" w:cs="Arial" w:eastAsia="Arial" w:hAnsi="Arial"/>
          <w:sz w:val="22"/>
          <w:szCs w:val="22"/>
          <w:b w:val="1"/>
          <w:bCs w:val="1"/>
          <w:color w:val="auto"/>
        </w:rPr>
        <w:t>(in thousands, except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4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740" w:type="dxa"/>
            <w:vAlign w:val="bottom"/>
          </w:tcPr>
          <w:p>
            <w:pPr>
              <w:spacing w:after="0"/>
              <w:rPr>
                <w:sz w:val="17"/>
                <w:szCs w:val="17"/>
                <w:color w:val="auto"/>
              </w:rPr>
            </w:pPr>
          </w:p>
        </w:tc>
        <w:tc>
          <w:tcPr>
            <w:tcW w:w="24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740" w:type="dxa"/>
            <w:vAlign w:val="bottom"/>
          </w:tcPr>
          <w:p>
            <w:pPr>
              <w:spacing w:after="0"/>
              <w:rPr>
                <w:sz w:val="17"/>
                <w:szCs w:val="17"/>
                <w:color w:val="auto"/>
              </w:rPr>
            </w:pP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24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License..................................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$931</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Contract.................................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5,020</w:t>
            </w:r>
          </w:p>
        </w:tc>
      </w:tr>
      <w:tr>
        <w:trPr>
          <w:trHeight w:val="203"/>
        </w:trPr>
        <w:tc>
          <w:tcPr>
            <w:tcW w:w="4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revenues.........................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5,951</w:t>
            </w:r>
          </w:p>
        </w:tc>
      </w:tr>
      <w:tr>
        <w:trPr>
          <w:trHeight w:val="203"/>
        </w:trPr>
        <w:tc>
          <w:tcPr>
            <w:tcW w:w="4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Research and development (1).............</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16,815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8,933</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General and administrative (2)...........</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4,295</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Amortization of goodwill and intagibles..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22,125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13,228</w:t>
            </w:r>
          </w:p>
        </w:tc>
      </w:tr>
      <w:tr>
        <w:trPr>
          <w:trHeight w:val="203"/>
        </w:trPr>
        <w:tc>
          <w:tcPr>
            <w:tcW w:w="4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(14,391)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(7,277)</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Interest and other income..................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4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($7,287)</w:t>
            </w:r>
          </w:p>
        </w:tc>
      </w:tr>
      <w:tr>
        <w:trPr>
          <w:trHeight w:val="203"/>
        </w:trPr>
        <w:tc>
          <w:tcPr>
            <w:tcW w:w="4740" w:type="dxa"/>
            <w:vAlign w:val="bottom"/>
          </w:tcPr>
          <w:p>
            <w:pPr>
              <w:spacing w:after="0"/>
              <w:rPr>
                <w:sz w:val="17"/>
                <w:szCs w:val="17"/>
                <w:color w:val="auto"/>
              </w:rPr>
            </w:pP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basic and</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ectPr>
          <w:pgSz w:w="11900" w:h="16838" w:orient="portrait"/>
          <w:cols w:equalWidth="0" w:num="1">
            <w:col w:w="11200"/>
          </w:cols>
          <w:pgMar w:left="240" w:top="136" w:right="4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diluted..................................</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rPr>
              <w:t>($0.29)</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Shares used in computing net loss</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basic and diluted.............</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44,372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5,905</w:t>
            </w:r>
          </w:p>
        </w:tc>
      </w:tr>
    </w:tbl>
    <w:p>
      <w:pPr>
        <w:spacing w:after="0" w:line="39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Includes stock compensation expense of $1,168 and $2,003 for the three months ended March 2001 and 2000, respectively.</w:t>
      </w:r>
    </w:p>
    <w:p>
      <w:pPr>
        <w:spacing w:after="0" w:line="42" w:lineRule="exact"/>
        <w:rPr>
          <w:rFonts w:ascii="Arial" w:cs="Arial" w:eastAsia="Arial" w:hAnsi="Arial"/>
          <w:sz w:val="19"/>
          <w:szCs w:val="19"/>
          <w:color w:val="auto"/>
        </w:rPr>
      </w:pPr>
    </w:p>
    <w:p>
      <w:pPr>
        <w:ind w:left="320" w:hanging="312"/>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Includes stock compensation expense of $708 and $1,259 for the three months ended March 2001 and 2000, respectively.</w:t>
      </w:r>
    </w:p>
    <w:p>
      <w:pPr>
        <w:spacing w:after="0" w:line="223" w:lineRule="exact"/>
        <w:rPr>
          <w:sz w:val="20"/>
          <w:szCs w:val="20"/>
          <w:color w:val="auto"/>
        </w:rPr>
      </w:pPr>
    </w:p>
    <w:p>
      <w:pPr>
        <w:ind w:left="1460"/>
        <w:spacing w:after="0"/>
        <w:rPr>
          <w:sz w:val="20"/>
          <w:szCs w:val="20"/>
          <w:color w:val="auto"/>
        </w:rPr>
      </w:pPr>
      <w:r>
        <w:rPr>
          <w:rFonts w:ascii="Arial" w:cs="Arial" w:eastAsia="Arial" w:hAnsi="Arial"/>
          <w:sz w:val="21"/>
          <w:szCs w:val="21"/>
          <w:color w:val="auto"/>
        </w:rPr>
        <w:t>The accompanying notes are an integral part of these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670560</wp:posOffset>
            </wp:positionV>
            <wp:extent cx="62083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EXELIXIS, INC.</w:t>
      </w:r>
    </w:p>
    <w:p>
      <w:pPr>
        <w:spacing w:after="0" w:line="4"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CONSOLIDATED CONDENSED STATEMENTS OF CASH FLOWS</w:t>
      </w:r>
    </w:p>
    <w:p>
      <w:pPr>
        <w:jc w:val="center"/>
        <w:ind w:right="-459"/>
        <w:spacing w:after="0"/>
        <w:rPr>
          <w:sz w:val="20"/>
          <w:szCs w:val="20"/>
          <w:color w:val="auto"/>
        </w:rPr>
      </w:pPr>
      <w:r>
        <w:rPr>
          <w:rFonts w:ascii="Arial" w:cs="Arial" w:eastAsia="Arial" w:hAnsi="Arial"/>
          <w:sz w:val="22"/>
          <w:szCs w:val="22"/>
          <w:b w:val="1"/>
          <w:bCs w:val="1"/>
          <w:color w:val="auto"/>
        </w:rPr>
        <w:t>(in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25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120" w:type="dxa"/>
            <w:vAlign w:val="bottom"/>
          </w:tcPr>
          <w:p>
            <w:pPr>
              <w:spacing w:after="0"/>
              <w:rPr>
                <w:sz w:val="17"/>
                <w:szCs w:val="17"/>
                <w:color w:val="auto"/>
              </w:rPr>
            </w:pPr>
          </w:p>
        </w:tc>
        <w:tc>
          <w:tcPr>
            <w:tcW w:w="25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120" w:type="dxa"/>
            <w:vAlign w:val="bottom"/>
          </w:tcPr>
          <w:p>
            <w:pPr>
              <w:spacing w:after="0"/>
              <w:rPr>
                <w:sz w:val="17"/>
                <w:szCs w:val="17"/>
                <w:color w:val="auto"/>
              </w:rPr>
            </w:pP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120" w:type="dxa"/>
            <w:vAlign w:val="bottom"/>
          </w:tcPr>
          <w:p>
            <w:pPr>
              <w:spacing w:after="0"/>
              <w:rPr>
                <w:sz w:val="17"/>
                <w:szCs w:val="17"/>
                <w:color w:val="auto"/>
              </w:rPr>
            </w:pP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2001</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5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($12,719)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($7,287)</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(used in) operating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 of deferred stock compensation...........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3,262</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 of goodwill and other intangibles........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receivables.....................................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Related party receivables.............................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1,051</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9,467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13,483</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10,213</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(3,601)</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maturity of short-term investments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51,629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(27,215)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21,478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(3,598)</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warrants...........................................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Repayments of notes from stockholders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capital lease</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obligations............................................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Principal payments on note payable......................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increase in cash and cash equivalents.................</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19,676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6,601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period................................................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19,552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5,400</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 at end of period...............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$39,228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$12,001</w:t>
            </w:r>
          </w:p>
        </w:tc>
      </w:tr>
      <w:tr>
        <w:trPr>
          <w:trHeight w:val="203"/>
        </w:trPr>
        <w:tc>
          <w:tcPr>
            <w:tcW w:w="6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980"/>
          </w:cols>
          <w:pgMar w:left="240" w:top="136" w:right="67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The accompanying notes are an integral part of these consolidated condensed financial statements.</w:t>
      </w:r>
    </w:p>
    <w:p>
      <w:pPr>
        <w:sectPr>
          <w:pgSz w:w="11900" w:h="16838" w:orient="portrait"/>
          <w:cols w:equalWidth="0" w:num="1">
            <w:col w:w="10980"/>
          </w:cols>
          <w:pgMar w:left="240" w:top="136" w:right="679" w:bottom="136"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676275</wp:posOffset>
            </wp:positionH>
            <wp:positionV relativeFrom="page">
              <wp:posOffset>607695</wp:posOffset>
            </wp:positionV>
            <wp:extent cx="62083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EXELIXIS,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March 31, 2001</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Organization and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Organization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Exelixis, Inc. ("Exelixis" or the "Company") is a biotechnology company focused on the discovery of potential new drug therapies for cancer and other proliferative diseases through its expertise in comparative genomics and model system genetics. The company's technologies are broadly applicable to all industries whose products can be enhanced by an understanding of DNA or proteins, including pharmaceutical, diagnostic, agrochemical and agricultural industries.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Basis of Presentation</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accompanying unaudited condensed consolidated financial statements have been prepared by the Company in accordance with accounting principles generally accepted in the United States of America for interim financial information and pursuant to the instructions to Form 10-Q and Article 10 of Regulation S-X of the Securities and Exchange Commission ("SEC"). Accordingly, they do not include all of the information and footnotes required by generally accepted accounting principles for complete financial statements. In the opinion of the Company's management, all adjustments (consisting of normal recurring adjustments) considered necessary for a fair presentation have been included. Operating results for the three month period ended March 31, 2001 are not necessarily indicative of the results that may be expected for the year ending December 31, 2001, or for any future period. These financial statements and notes should be read in conjunction with the consolidated financial statements and notes thereto for the year ended December 31, 2000 included in the Company's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Loss per Share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computes net loss per share in accordance with Statement of Financial Accounting Standards ("SFAS") No. 128, "Earnings per Share" and SEC Staff Accounting Bulletin No. 98. Basic and diluted net loss per share is computed by dividing the net loss for the period by the weighted average number of shares of common stock outstanding during the period. The calculation of diluted net loss per share excludes potential common stock if their effect is antidilutive. Potential common stock consists of common stock subject to repurchase, incremental common shares issuable upon the exercise of stock options and warrants and shares issuable upon conversion of the preferred stock and convertible promissory note.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Comprehensive Income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only component of other comprehensive income is unrealized gains on available-for-sale securities. For the three month period ended March 31, 2001, total comprehensive income amounted to $12.5 million. For the three month period ended March 31, 2000, there was no difference between net loss and comprehensive net loss.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Reclassification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Certain prior period amounts have been reclassified to conform to the current period presentation.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Recent Accounting Pronouncements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Exelixis adopted SFAS No. 133, "Accounting for Derivatives and Hedging Activities" ("SFAS No. 133") on January 1, 2001. SFAS No. 133 establishes accounting and reporting standards for derivative instruments, including certain derivative instruments embedded in other contracts, and for hedging activities. To date, the Company has not engaged in derivative or hedging activities, and the adoption of SFAS No. 133, as amended, did not have a material impact on the Company's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Sale of Vinifera Ownership Interest</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On March 31, 2001, the Company reduced its ownership interest in Vinifera to 19% by selling 3.0 million shares of Vinifera common stock back to Vinifera in consideration for $2.1 million in interest bearing promissory notes. The promissory notes bear interest rates of prime plus 1% and are payable in two installments of $400,000, due no later than September 30, 2001 and February 28, 2002, respectively, and one installment of $1.3 million, due on February 28, 2006. Due to risks associated with Vinifera's operating results, the Company has reserved for $1.7 million of these promissory notes.</w:t>
      </w:r>
    </w:p>
    <w:p>
      <w:pPr>
        <w:spacing w:after="0" w:line="17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As a result of this transaction, the Company recorded the following amounts as an adjustment to goodwill based on the operating results of Vinifera through March 31, 2001: a write down of the value of acquired developed technology attributable to Vinifera, a</w:t>
      </w:r>
    </w:p>
    <w:p>
      <w:pPr>
        <w:sectPr>
          <w:pgSz w:w="11900" w:h="16987" w:orient="portrait"/>
          <w:cols w:equalWidth="0" w:num="1">
            <w:col w:w="11420"/>
          </w:cols>
          <w:pgMar w:left="240" w:top="1440" w:right="239" w:bottom="0" w:gutter="0" w:footer="0" w:header="0"/>
        </w:sectPr>
      </w:pPr>
    </w:p>
    <w:bookmarkStart w:id="5" w:name="page6"/>
    <w:bookmarkEnd w:id="5"/>
    <w:p>
      <w:pPr>
        <w:jc w:val="both"/>
        <w:ind w:right="20"/>
        <w:spacing w:after="0" w:line="329" w:lineRule="auto"/>
        <w:rPr>
          <w:sz w:val="20"/>
          <w:szCs w:val="20"/>
          <w:color w:val="auto"/>
        </w:rPr>
      </w:pPr>
      <w:r>
        <w:rPr>
          <w:rFonts w:ascii="Arial" w:cs="Arial" w:eastAsia="Arial" w:hAnsi="Arial"/>
          <w:sz w:val="19"/>
          <w:szCs w:val="19"/>
          <w:color w:val="auto"/>
        </w:rPr>
        <w:t>gain on sale of Vinifera shares, and the promissory note reserve. The net adjustment was an increase to goodwill in the amount of $675,000. Beginning March 31, 2001, the Company will account for its investment in Vinifera using the cost method.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Subsequent Events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Acquisition of Artemis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May 14, 2001, Exelixis acquired all, or rights to acquire all, of the outstanding capital stock of Artemis Pharmaceuticals GmbH, a privately held genetics and functional genomics company organized under the laws of Germany ("Artemis"). The acquisition of Artemis (the "Acquisition") was accomplished pursuant to a Share Exchange and Assignment Agreement among Exelixis, Artemis and the stockholders of Artemis (not including Exelixis, the "Artemis Stockholders"), dated as of April 23, 2001 (the "Exchange Agreement"). Prior to the Acquisition, Exelixis held approximately 15.4% of the outstanding capital stock of Artemis, and the Artemis Stockholders and employees under an Employee Phantom Stock Option Program ("Phantom Plan") held or had rights to the remaining 84.6%.</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Pursuant to the Exchange Agreement, Exelixis issued approximately 1.6 million shares of its common stock, in exchange for 78% of the outstanding capital stock of Artemis held by the Artemis Stockholders. In addition, Exelixis received a call option (the "Call Option") from, and issued a put option (the "Put Option") to, certain stockholders of Artemis (the "Option Holders") for the issuance of approximately 480,000 shares of Exelixis common stock in exchange for the remaining 22% of the outstanding capital stock of Artemis held by the Artemis Stockholders. Exelixis may exercise the Call Option at any time from April 24, 2001 through January 31, 2002, and the Option Holders may exercise their rights under the Put Option at any time from April 1, 2002 through May 15, 2002. In connection with the Acquisition, Exelixis issued options representing the right to purchase approximately 187,000 additional shares of Exelixis common stock to Artemis employees in exchange for such employees' vested options formerly representing the right to purchase shares of Artemis capital stock pursuant to the Phantom Plan. Total consideration paid for this acquisition approximates $28.0 million.</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Artemis will continue to operate as a German-based company, but as a subsidiary of Exelixis. The Acquisition was accounted for using the purchase method of accounting. The Artemis Stockholders have agreed to a 90-day lock-up period for the shares of Exelixis common stock they received in the Acquisition. Pursuant to the Exchange Agreement, Exelixis has agreed to file a resale registration statement on Form S-3 with the SEC for the shares of Exelixis common stock issued in connection with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Supplemental Stock Option Program</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During April 2001, the Company granted approximately 545,000 supplemental stock options ("Supplemental Options") under the 2000 Equity Incentive Plan to employees (excluding officers and directors) who had stock options with exercise prices greater than $16.00 per share under the 2000 Equity Incentive Plan. The Supplemental Options were for the number of shares of common stock equal to 50% of the corresponding original grant, have an exercise price of $16.00, vest monthly over a two year period beginning April 1, 2001, and have a 27 month term. The vesting on the corresponding original grants was halted and will resume in April 2003 following the completion of vesting of the Supplemental Options. This new grant constitutes a synthetic repricing and will result in certain options being reported using the variable plan method of accounting for stock compensation expense.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Commitments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April 2001, the Company entered into a master lease agreement with a third party lessor for an equipment lease line of up to $12.0 million, which expires on December 31, 2001. The master lease agreement provides for a periodic delivery structure. Each delivery has a payment term of 36 or 48 months depending on the type of the equipment purchased under the lease. Under the master lease agreement, the Company is subject to certain financial covenants.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This discussion and analysis should be read in conjunction with our financial statements and accompanying notes included in this report and the 2000 audited financial statements and notes thereto included in our Annual Report on Form 10-K for the year ended December 31, 2000. Operating results are not necessarily indicative of results that may occur in future periods.</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The following discussion and analysis contains forward- looking statements that are based upon current expectations. Forward-looking statements involve risks and uncertainties. Our actual results and the timing of events may differ significantly from the results discussed in the forward- looking statements. Factors that might cause such a difference include, but are not limited to, those discussed in "Risk Factors" as well as those discussed elsewhere in this document and those discussed in our Annual Report on Form 10- 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that we are a leader in the discovery and validation of high-quality novel targets for several major human diseases, and a leader in the discovery of potential new drug therapies, specifically for cancer and other proliferative diseases. Our mission is to develop proprietary cancer products by leveraging our integrated discovery platform to increase the speed, efficiency and quality of pharmaceutical and agricultural product discovery and development.</w:t>
      </w:r>
    </w:p>
    <w:p>
      <w:pPr>
        <w:sectPr>
          <w:pgSz w:w="11900" w:h="16838" w:orient="portrait"/>
          <w:cols w:equalWidth="0" w:num="1">
            <w:col w:w="11420"/>
          </w:cols>
          <w:pgMar w:left="240" w:top="118" w:right="239" w:bottom="215" w:gutter="0" w:footer="0" w:header="0"/>
        </w:sectPr>
      </w:pPr>
    </w:p>
    <w:bookmarkStart w:id="6" w:name="page7"/>
    <w:bookmarkEnd w:id="6"/>
    <w:p>
      <w:pPr>
        <w:jc w:val="both"/>
        <w:spacing w:after="0" w:line="249" w:lineRule="auto"/>
        <w:rPr>
          <w:sz w:val="20"/>
          <w:szCs w:val="20"/>
          <w:color w:val="auto"/>
        </w:rPr>
      </w:pPr>
      <w:r>
        <w:rPr>
          <w:rFonts w:ascii="Arial" w:cs="Arial" w:eastAsia="Arial" w:hAnsi="Arial"/>
          <w:sz w:val="21"/>
          <w:szCs w:val="21"/>
          <w:color w:val="auto"/>
        </w:rPr>
        <w:t>Through our expertise in comparative genomics and model system genetics, we are able to find new drug targets that we believe would be difficult or impossible to uncover using other experimental approaches. Our pharmaceutical research identifies novel genes and proteins expressed by those genes that, when changed, either decrease or increase the activity in a specific disease pathway in a therapeutically relevant manner. These genes and proteins then represent either potential product targets or drugs that may treat disease, or prevent disease initiation or progression.</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have established commercial collaborations with Aventis CropScience, Bayer, Bristol-Myers Squibb, Dow AgroSciences and Pharmacia, which provide us with substantial funding, including licensing fees, research funding, milestone payments when specific objectives are met and royalties, if our partners successfully develop and commercialize products. In addition, many of these collaborations provide us with access to strategic technologies. Committed funding through March 31, 2001, which does not include milestones or royalties, from these collaborators totals over $210 million. Revenues from these collaborations were $7.7 million for the three months ended March 31, 2001, $24.8 million in 2000, $10.5 million in 1999 and $2.3 million in 1998. Our sources of potential revenue for the next several years are likely to include upfront license and other fees, funded research payments, under existing and possible future collaborative arrangements, milestone payments and royalties from our collaborators based on revenues received from any products commercialized under those agreements.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We have a history of operating losses resulting principally from costs associated with research and development activities, investment in core technologies and general and administrative functions. As a result of planned expenditures for future research and development activities, Exelixis expects to incur additional operating losses for the foreseeable future.</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License, research commitment and other non-refundable payments received in connection with research collaboration agreements are deferred and recognized on a straight-line basis over the relevant periods specified in the agreements, generally the research term. Exelixis recognizes contract research revenues as services are performed in accordance with the terms of the agreements. Any amounts received in advance of performance are recorded as deferred revenue.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Revenues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Total revenues were $7.7 million and $6.0 million for the three month period ended March 31, 2001 and 2000, respectively. The increase in revenue over the 2000 levels was primarily due to additional license and contract revenues earned from existing collaborations with Bayer, Pharmacia, Bristol-Myers Squibb, Dow AgroSciences, and a collaboration with Aventis Crop Sciences resulting from our acquisition of Agritope, Inc., now renamed Exelixis Plant Sciences, Inc. We expect this trend to continue during 2001 as additional collaboration agreements are signed.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Research and Development Expenses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Research and development expenses consist primarily of salaries and other personnel-related expenses, facilities costs, supplies and depreciation of facilities and laboratory equipment. Research and development expenses were $16.8 million and $9.7 million for the three month period ended March 31, 2001 and 2000, respectively. The increase was due primarily to increased staffing and other personnel-related costs. These expenses were incurred to support new collaborative arrangements and Exelixis' internal self-funded research efforts, including increased expenses related to the acquisition of Agritope. Exelixis expects to continue to devote substantial resources to research and development, and it expects that research and development expenses will continue to increase in absolute dollar amounts in the future as it continues to expand its proprietary drug development efforts.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General and Administrative Expenses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General and administrative expenses consist primarily of personnel costs to support Exelixis' activities, facilities costs and professional expenses, such as legal fees. General and administrative expenses were $4.3 million and $3.5 million for the three month period ended March 31, 2001 and 2000, respectively. The increase in general and administrative expenses related primarily to increased staffing and other personnel related costs and rent for facilities and expenses associated with expanding our corporate headquarters, partially offset by a decrease in non-cash stock compensation expense (as described below). Exelixis expects that its general and administrative expenses will increase in absolute dollar amounts in the future as it expands its administrative staff and adds infrastructure to support its growing research and development efforts.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Stock Compensation Expense</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Deferred stock compensation for options granted to employees is the difference between the deemed value for financial reporting purposes of our common stock on the date such options were granted and their exercise price. Deferred stock compensation for options granted to consultants has been determined in accordance with SFAS No. 123, "Accounting for Stock-Based Compensation" ("SFAS 123") and is periodically remeasured as the underlying options vest in accordance with Emerging Issues Task Force ("EITF") No. 96-18, "Accounting for Equity Instruments that are Issued to Other Than Employees for Acquiring, or in Conjunction with, Selling Goods or Services."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March 31, 2001, the Company has recorded a cumulative $11.8 million of deferred stock compensation related to stock options granted to consultants and employees. Stock compensation expense is being recognized in accordance with FASB Interpretation No. 28 ("FIN 28") over the vesting periods of the related options, generally four years. The Company recognized stock compensation expense of $1.9 million and $3.3 million for the three month period ended March 31, 2001 and 2000,</w:t>
      </w:r>
    </w:p>
    <w:p>
      <w:pPr>
        <w:sectPr>
          <w:pgSz w:w="11900" w:h="16838" w:orient="portrait"/>
          <w:cols w:equalWidth="0" w:num="1">
            <w:col w:w="11420"/>
          </w:cols>
          <w:pgMar w:left="240" w:top="118" w:right="239" w:bottom="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22"/>
          <w:szCs w:val="22"/>
          <w:color w:val="auto"/>
        </w:rPr>
        <w:t>respectively. The decrease in stock compensation expense year-over-year results from the accelerated amortization method proscribed by FIN 28.</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Other Income (Expense), Net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Other income (expense) primarily consists of interest income earned on cash, cash equivalents and short-term investments, partially offset by interest expense incurred on notes payable and capital lease obligations. Net other income was $1.7 million for the three month period ended March 31, 2001, compared to expense of $10,000 for the comparable period in 2000. The increase year-over-year primarily relates to interest income earned on the proceeds from our initial public offering completed in April 2000.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Since inception, Exelixis has financed its operations primarily through private placements of preferred stock, loans, equipment lease financing and other loan facilities and payments from collaborators. In addition, during the second quarter of 2000, Exelixis completed its initial public offering raising $124.5 million in net cash proceeds. Exelixis intends to continue to use the proceeds for research and development activities, capital expenditures, working capital and other general corporate purposes. As of March 31, 2001, Exelixis had approximately $108.0 million in cash, cash equivalents and short-term investments.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Exelixis' operating activities used cash of $0.7 million for the three months ended March 31, 2001, compared to cash provided of $10.2 million for the three months ended March 31, 2000. Cash used in operating activities related primarily to funding net operating losses, partially offset by an increase in deferred revenues from collaborators and non-cash charges related to depreciation and amortization of deferred stock compensation, goodwill and other intangible assets.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Exelixis' investing activities provided cash of $21.5 million for the three months ended March 31, 2001, compared to cash used of $3.6 million for the corresponding period in 2000. Investing activities consist primarily of maturities of short-term investments, partially offset by purchases of short- term investments and property and equipment for the three months ended March 31, 2001. For the three months ended March 31, 2000, investing activities primarily consisted of purchases of property and equipment. Exelixis expects to continue to make significant investments in research and development and its administrative infrastructure, including the purchase of property and equipment to support its expanding operations.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Exelixis' financing activities used cash of $1.2 million for the three months ended March 31, 2001, compared to cash used of $14,000 for the corresponding period in 2000. These amounts consisted primarily of repayment of capital lease obligations and notes payable offset by proceeds from the exercise of stock options and warrants.</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Exelixis believes that its current cash and cash equivalents, short-term investments and funding to be received from collaborators, will be sufficient to satisfy its anticipated cash needs for at least the next two years. However, it is possible that Exelixis will seek additional financing within this timeframe. Exelixis may raise additional funds through public or private financings, collaborative relationships or other arrangements. Exelixis cannot assure you that additional funding, if sought, will be available or, even if available, will be available on terms favorable to Exelixis. Further, any additional equity financing may be dilutive to stockholders, and debt financing, if available, may involve restrictive covenants. Exelixis' failure to raise capital when needed may harm its business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Exelixis adopted the SFAS No. 133, on January 1, 2001. SFAS No. 133 establishes accounting and reporting standards for derivative instruments, including certain derivative instruments embedded in other contracts, and for hedging activities. To date, the Company has not engaged in derivative or hedging activities, and the adoption of SFAS No. 133, as amended, did not have a material impact on the Company's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investments are only subject to interest rate risk and our interest income may fluctuate due to changes in U.S. interest rates. By policy, we limit our investments to money market instruments, debt securities of U.S. government agencies and debt obligations of U.S. corporations. We manage market risk by our diversification requirements, which limit the amount of our portfolio that can be invested in a single issuer. We manage credit risk by limiting our purchases to high quality issuers. Through our money manager, we maintain risk management control systems to monitor interest rate risk. The risk management control systems use analytical techniques, including sensitivity analysis. As of March 31, 2001, there has been no material change in the Company's interest rate exposure from that described in the Company's Annual Report on Form 10-K for the year ended December 31, 2000.</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All highly liquid investments with an original maturity of three months or less from the date of purchase are considered cash equivalents. The Company views its available-for-sale portfolio as available for use in current operations. Accordingly, we have classified all investments with an original maturity date greater than three months as short-term, even though the stated maturity date may be one year or more beyond the current balance sheet date.</w:t>
      </w:r>
    </w:p>
    <w:p>
      <w:pPr>
        <w:spacing w:after="0" w:line="178"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 xml:space="preserve">PART II. OTHER </w:t>
      </w:r>
      <w:r>
        <w:rPr>
          <w:rFonts w:ascii="Arial" w:cs="Arial" w:eastAsia="Arial" w:hAnsi="Arial"/>
          <w:sz w:val="24"/>
          <w:szCs w:val="24"/>
          <w:b w:val="1"/>
          <w:bCs w:val="1"/>
          <w:color w:val="auto"/>
        </w:rPr>
        <w:t>INFORMATION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Changes in Securities and Use of Proceeds</w:t>
      </w:r>
    </w:p>
    <w:p>
      <w:pPr>
        <w:sectPr>
          <w:pgSz w:w="11900" w:h="16838" w:orient="portrait"/>
          <w:cols w:equalWidth="0" w:num="1">
            <w:col w:w="11420"/>
          </w:cols>
          <w:pgMar w:left="240" w:top="118" w:right="239" w:bottom="229"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22"/>
          <w:szCs w:val="22"/>
          <w:color w:val="auto"/>
        </w:rPr>
        <w:t>Warrants to purchase 53,571 shares of the Company's common stock at an exercise price of $0.93 per share were exercised by Creative Biomolecules, Inc. (now Curis Inc.) in the first quarter of fiscal 2001 for aggregate proceeds to the Company of $50,000. The Company relied on Section 4(2) of the Securities Act of 1933, as amended, and Regulation D under the Securities Act of 1933 in issuing shares upon the exercise of warrants.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May 2000, we completed our initial public offering for aggregate proceeds of approximately $136.0 million. In connection with the offering, we paid a total of approximately $9.5 million in underwriting discounts and commissions and $2.0 million in other offering costs and expenses. After deducting the underwriting discounts and commissions and the offering costs and expenses, our net proceeds from the offering were approximately $124.5 million.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From the time of receipt through March 31, 2001, the proceeds from the offering were used for research and development activities, capital expenditures, working capital and other general corporate purposes. In the future, we intend to use the net proceeds in a similar manner. As of March 31, 2001, approximately $108.0 million of the proceeds remained available and were primarily invested in short-term marketable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 -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a history of net losses. We expect to continue to incur net losses, and we may not achieve or maintain profitability.</w:t>
      </w:r>
    </w:p>
    <w:p>
      <w:pPr>
        <w:spacing w:after="0" w:line="2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have incurred net losses each year since our inception, including a net loss of approximately $12.7 million for the three months ended March 31, 2001. As of that date, we had an accumulated deficit of approximately $142.8 million. We expect these losses to continue and anticipate negative cash flow for the foreseeable future. The size of these net losses will depend, in part, on the rate of growth, if any, in our license and contract revenues and on the level of our expenses. Our research and development expenditures and general and administrative costs have exceeded our revenues to date, and we expect to spend significant additional amounts to fund research and development in order to enhance our core technologies and undertake product development. As a result, we expect that our operating expenses will increase significantly in the near term and, consequently, we will need to generate significant additional revenues to achieve profitability. Even if we do increase our revenues and achieve profitability, we may not be able to sustain or increase profitability.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will need additional capital in the future, which may not be available to us.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Our future capital requirements will be substantial, and will depend on many factors including:</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payments received under collaborative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progress and scope of our collaborative and independent research and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880"/>
        <w:spacing w:after="0" w:line="251" w:lineRule="auto"/>
        <w:rPr>
          <w:sz w:val="20"/>
          <w:szCs w:val="20"/>
          <w:color w:val="auto"/>
        </w:rPr>
      </w:pPr>
      <w:r>
        <w:rPr>
          <w:rFonts w:ascii="Arial" w:cs="Arial" w:eastAsia="Arial" w:hAnsi="Arial"/>
          <w:sz w:val="22"/>
          <w:szCs w:val="22"/>
          <w:color w:val="auto"/>
        </w:rPr>
        <w:t>our need to expand our product development efforts as well as develop manufacturing and marketing capabilities to commercialize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filing, prosecution and enforcement of patent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anticipate that our current cash and cash equivalents, short-term investments and funding to be received from collaborators will enable us to maintain our currently planned operations for at least the next two years. Changes to our current operating plan may require us to consume available capital resources significantly sooner than we expect. We may be unable to raise sufficient additional capital when we need it, on favorable terms, or at all. If our capital resources are insufficient to meet future capital requirements, we will have to raise additional funds. The sale of equity or convertible debt securities in the future may be dilutive to our stockholders, and debt financing arrangements may require us to pledge certain assets and enter into covenants that would restrict our ability to incur further indebtedness. If we are unable to obtain adequate funds on reasonable terms, we may be required to curtail operations significantly or to obtain funds by entering into financing, supply or collaboration agreements on unattractive terms.</w:t>
      </w:r>
    </w:p>
    <w:p>
      <w:pPr>
        <w:spacing w:after="0" w:line="17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Difficulties we may encounter managing our growth may divert resources and limit our ability to successfully expand our operations.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have experienced a period of rapid and substantial growth that has placed, and our anticipated growth in the future will continue to place, a strain on our administrative and operational infrastructure. As our operations expand, we expect that we will need to manage multiple locations and additional relationships with various collaborative partners, suppliers and other third parties. Our ability to manage our operations and growth effectively requires us to continue to improve our operational, financial and management controls, reporting systems and procedures. We may not be able to successfully implement improvements to our management information and control systems in an efficient or timely manner and may discover deficiencies in existing systems and controls. In addition, acquisitions involve the integration of different financial and management reporting systems. We may not be able to successfully integrate the administrative and operational infrastructure without significant additional improvements and investments in management systems and procedures</w:t>
      </w:r>
    </w:p>
    <w:p>
      <w:pPr>
        <w:spacing w:after="0" w:line="179"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We are dependent on our collaborations with major companies. If we are unable to achieve milestones, develop products or renew or enter into new collaborations, our revenues may decrease and our activities may fail to lead to commercialized products.</w:t>
      </w:r>
    </w:p>
    <w:p>
      <w:pPr>
        <w:sectPr>
          <w:pgSz w:w="11900" w:h="16838" w:orient="portrait"/>
          <w:cols w:equalWidth="0" w:num="1">
            <w:col w:w="11420"/>
          </w:cols>
          <w:pgMar w:left="240" w:top="118" w:right="239" w:bottom="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21"/>
          <w:szCs w:val="21"/>
          <w:color w:val="auto"/>
        </w:rPr>
        <w:t>Substantially all of our revenues to date have been derived from collaborative research and development agreements. Revenues from research and development collaborations depend upon continuation of the collaborations, the achievement of milestones and royalties derived from future products developed from our research. If we are unable to successfully achieve milestones or our collaborators fail to develop successful products, we will not earn the revenues contemplated under such collaborative agreements. In addition, some of our collaborations are exclusive and preclude us from entering into additional collaborative arrangements with other parties in the area or field of exclusivity.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currently have collaborative research agreements with Bayer, Pharmacia, Bristol-Myers Squibb, Dow AgroSciences and Aventis. Our current collaborative agreement with Bayer is scheduled to expire in 2008, after which it will automatically be extended for one-year terms unless terminated by either party upon 12-month written notice. Our agreement permits Bayer to terminate our collaborative activities prior to 2008 upon the occurrence of specified conditions, such as the failure to agree on key strategic issues after a period of years or the acquisition of Exelixis by certain specified third parties. Similarly, our collaborative agreement with Pharmacia allows either party to terminate our research collaboration at the conclusion of its third year in 2002, at the conclusion of its fifth year in 2004, or any subsequent year. Pharmacia has advised us that certain of its research operations will become the basis for a new European enterprise. This new enterprise will have the exclusive right to certain of the research work currently being conducted under our agreement with Pharmacia, including the development and commercialization of products from those efforts. We are currently negotiating an amendment to our existing agreement to assign the research work and funding commitments in this research area to this new enterprise that will continue funding through at least the first quarter of 2002. Although our current negotiations include the possibility of our obtaining certain product rights from our research efforts to be conducted for the new enterprise, there can be no assurance that we will successfully conclude an agreement including such terms or that funding, if any, for the assigned portion of the research program will be maintained at the levels currently being funded beyond the first quarter of 2002. The Pharmacia agreement may also be terminated in the event of a conflict over material third-party intellectual property rights. Our collaborative agreement with Bristol-Myers Squibb expires in September 2002. Our collaborative agreement with Dow AgroSciences is scheduled to expire in July 2003, after which Dow AgroSciences has the option to renew on an annual basis. Our collaborative research arrangement with Aventis is scheduled to expire in June 2004. Aventis has the right to terminate the research arrangement prior to the expiration date, provided that it pays the annual research funding amount due for the year following termination. Thereafter, the arrangement renews annually unless Aventis terminates automatic renewal prior to the scheduled date of renewal. The Aventis arrangement is conducted through a limited liability company, Agrinomics, which is owned equally by Aventis and Exelixis. Aventis may surrender its interest in Agrinomics and terminate the related research collaboration prior to the scheduled expiration upon the payment of the subsequent year's funding commitment. In addition, both our agreements with Bayer and Pharmacia are subject to termination at an earlier date if certain specified individuals are no longer employed by us and we are unable to find replacements acceptable to Bayer or Pharmacia, as the case may be. In the case of Pharmacia, the right is triggered if either of two specified individuals directly involved in the research program cease to be employed by us. In the case of Bayer, the right is triggered if two or more of our Chief Executive Officer, Chief Scientific Officer, Agricultural Biotechnology Program Leader and Chief Informatics Officer cease to have a relationship with us within six months of each other.</w:t>
      </w:r>
    </w:p>
    <w:p>
      <w:pPr>
        <w:spacing w:after="0" w:line="200" w:lineRule="exact"/>
        <w:rPr>
          <w:sz w:val="20"/>
          <w:szCs w:val="20"/>
          <w:color w:val="auto"/>
        </w:rPr>
      </w:pP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If these existing agreements are not renewed or if we are unable to enter into new collaborative agreements on commercially acceptable terms, our revenues and product development efforts may be adversely affected.</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Conflicts with our collaborators could jeopardize the outcome of our collaborative agreements and our ability to commercialize products.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intend to conduct proprietary research programs in specific disease and agricultural product areas that are not covered by our collaborative agreements. Our pursuit of opportunities in agricultural and pharmaceutical markets could, however, result in conflicts with our collaborators in the event that any of our collaborators takes the position that our internal activities overlap with those areas that are exclusive to our collaborative agreements, and we should be precluded from such internal activities. Moreover, disagreements with our collaborators could develop over rights to our intellectual property. In addition, our collaborative agreements may have provisions that give rise to disputes regarding the rights and obligations of the parties. Any conflict with our collaborators could lead to the termination of our collaborative agreements, delay collaborative activities, reduce our ability to renew agreements or obtain future collaboration agreements or result in litigation or arbitration and would negatively impact our relationship with existing collaborators.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have limited or no control over the resources that our collaborators may choose to devote to our joint efforts. Our collaborators may breach or terminate their agreements with us or fail to perform their obligations thereunder. Further, our collaborators may elect not to develop products arising out of our collaborative arrangements or may fail to devote sufficient resources to the development, manufacture, market or sale of such products. Certain of our collaborators could also become our competitors in the future. If our collaborators develop competing products, preclude us from entering into collaborations with their competitors, fail to obtain necessary regulatory approvals, terminate their agreements with us prematurely or fail to devote sufficient resources to the development and commercialization of our products, our product development efforts could be delayed and may fail to lead to commercialized products.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 are deploying unproven technologies, and we may not be able to develop commercially successful products.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 must evaluate us in light of the uncertainties and complexities affecting a biotechnology company. Our technologies are still in the early stages of development. Our research and operations thus far have allowed us to identify a number of product targets for use by our collaborators and our own internal development programs. We are not certain, however, of the commercial value of any of our current or future targets, and we may not be successful in expanding the scope of our research into new fields of</w:t>
      </w:r>
    </w:p>
    <w:p>
      <w:pPr>
        <w:sectPr>
          <w:pgSz w:w="11900" w:h="16838" w:orient="portrait"/>
          <w:cols w:equalWidth="0" w:num="1">
            <w:col w:w="11420"/>
          </w:cols>
          <w:pgMar w:left="240" w:top="118" w:right="239" w:bottom="0" w:gutter="0" w:footer="0" w:header="0"/>
        </w:sectPr>
      </w:pPr>
    </w:p>
    <w:bookmarkStart w:id="10" w:name="page11"/>
    <w:bookmarkEnd w:id="10"/>
    <w:p>
      <w:pPr>
        <w:jc w:val="both"/>
        <w:spacing w:after="0" w:line="238" w:lineRule="auto"/>
        <w:rPr>
          <w:sz w:val="20"/>
          <w:szCs w:val="20"/>
          <w:color w:val="auto"/>
        </w:rPr>
      </w:pPr>
      <w:r>
        <w:rPr>
          <w:rFonts w:ascii="Arial" w:cs="Arial" w:eastAsia="Arial" w:hAnsi="Arial"/>
          <w:sz w:val="22"/>
          <w:szCs w:val="22"/>
          <w:color w:val="auto"/>
        </w:rPr>
        <w:t>pharmaceutical or pesticide research, or other agricultural applications such as enhancing plant traits to produce superior crop yields, disease resistance or increased nutritional content. Significant research and development, financial resources and personnel will be required to capitalize on our technology, develop commercially viable products and obtain regulatory approval for such products.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We have no experience in developing, manufacturing and marketing products and may be unable to commercialize proprietary products.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Initially, we will rely on our collaborators to develop and commercialize products based on our research and development efforts. We have limited or no experience in using the targets that we identify to develop our own proprietary products. Our recent success in applying our drug development capabilities to our proprietary targets in cancer are subject to significant risk and uncertainty, particularly with respect to our ability to meet currently estimated timelines and goals for completing preclinical development efforts and filing an Investigational New Drug Application for compounds developed. In order for us to commercialize products, we would need to significantly enhance our capabilities with respect to product development, and establish manufacturing and marketing capabilities, either directly or through outsourcing or licensing arrangements. We may not be able to enter into such outsourcing or licensing agreements on commercially reasonable terms, or at all.</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Since our technologies have many potential applications and we have limited resources, our focus on a particular area may result in our failure to capitalize on more profitable areas.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have limited financial and managerial resources. This requires us to focus on product candidates in specific industries and forego opportunities with regard to other products and industries. For example, depending on our ability to allocate resources, a decision to concentrate on a particular agricultural program may mean that we will not have resources available to apply the same technology to a pharmaceutical project. While our technologies may permit us to work in both areas, resource commitments may require trade-offs resulting in delays in the development of certain programs or research areas, which may place us at a competitive disadvantage. Our decisions impacting resource allocation may not lead to the development of viable commercial products and may divert resources from more profitable market opportunities.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competitors may develop products and technologies that make ours obsolete.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biotechnology industry is highly fragmented and is characterized by rapid technological change. In particular, the area of gene research is a rapidly evolving field. We face, and will continue to face, intense competition from large biotechnology and pharmaceutical companies, as well as academic research institutions, clinical reference laboratories and government agencies that are pursuing research activities similar to ours. Some of our competitors have entered into collaborations with leading companies within our target markets, including some of our existing collaborators. Our future success will depend on our ability to maintain a competitive position with respect to technological advances.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Any products that are developed through our technologies will compete in highly competitive markets. Further, our competitors may be more effective at using their technologies to develop commercial products. Many of the organizations competing with us have greater capital resources, larger research and development staffs and facilities, more experience in obtaining regulatory approvals and more extensive product manufacturing and marketing capabilities. As a result, our competitors may be able to more easily develop technologies and products that would render our technologies and products, and those of our collaborators, obsolete and noncompetitive.</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If we are unable to adequately protect our intellectual property, third parties may be able to use our technology, which could adversely affect our ability to compete in the market.</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success will depend in part on our ability to obtain patents and maintain adequate protection of the intellectual property related to our technologies and products. The patent positions of biotechnology companies, including our patent position, are generally uncertain and involve complex legal and factual questions. We will be able to protect our intellectual property rights from unauthorized use by third parties only to the extent that our technologies are covered by valid and enforceable patents or are effectively maintained as trade secrets. The laws of some foreign countries do not protect intellectual property rights to the same extent as the laws of the U.S., and many companies have encountered significant problems in protecting and defending such rights in foreign jurisdictions. We will continue to apply for patents covering our technologies and products as and when we deem appropriate. However, these applications may be challenged or may fail to result in issued patents. Our existing patents and any future patents we obtain may not be sufficiently broad to prevent others from practicing our technologies or from developing competing products. Furthermore, others may independently develop similar or alternative technologies or design around our patents. In addition, our patents may be challenged, invalidated or fail to provide us with any competitive advantages.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rely on trade secret protection for our confidential and proprietary information. We have taken security measures to protect our proprietary information and trade secrets, but these measures may not provide adequate protection. While we seek to protect our proprietary information by entering into confidentiality agreements with employees, collaborators and consultants, we cannot assure you that our proprietary information will not be disclosed, or that we can meaningfully protect our trade secrets. In addition, our competitors may independently develop substantially equivalent proprietary information or may otherwise gain access to our trade secrets.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Litigation or third party claims of intellectual property infringement could require us to spend substantial time and money and adversely affect our ability to develop and commercialize products.</w:t>
      </w:r>
    </w:p>
    <w:p>
      <w:pPr>
        <w:sectPr>
          <w:pgSz w:w="11900" w:h="16838" w:orient="portrait"/>
          <w:cols w:equalWidth="0" w:num="1">
            <w:col w:w="11420"/>
          </w:cols>
          <w:pgMar w:left="240" w:top="118" w:right="239" w:bottom="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color w:val="auto"/>
        </w:rPr>
        <w:t>Our commercial success depends in part on our ability to avoid infringing patents and proprietary rights of third parties, and not breaching any licenses that we have entered into with regard to our technologies. Other parties have filed, and in the future are likely to file, patent applications covering genes and gene fragments, techniques and methodologies relating to model systems, and products and technologies that we have developed or intend to develop. If patents covering technologies required by our operations are issued to others, we may have to rely on licenses from third parties, which may not be available on commercially reasonable terms, or at all.</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Third parties may accuse us of employing their proprietary technology without authorization. In addition, third parties may obtain patents that relate to our technologies and claim that use of such technologies infringes these patents. Regardless of their merit, such claims could require us to incur substantial costs, including the diversion of management and technical personnel, in defending ourselves against any such claims or enforcing our patents. In the event that a successful claim of infringement is brought against us, we may be required to pay damages and obtain one or more licenses from third parties. We may not be able to obtain these licenses at a reasonable cost, or at all. Defense of any lawsuit or failure to obtain any of these licenses could adversely affect our ability to develop and commercialize products.</w:t>
      </w:r>
    </w:p>
    <w:p>
      <w:pPr>
        <w:spacing w:after="0" w:line="172"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The loss of key personnel or the inability to attract and retain additional personnel could impair our ability to expand our operations.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highly dependent on the principal members of our management and scientific staff, the loss of whose services might adversely impact the achievement of our objectives and the continuation of existing collaborations. In addition, recruiting and retaining qualified scientific personnel to perform future research and development work will be critical to our success. We do not currently have sufficient executive management and technical personnel to fully execute our business plan. There is currently a shortage of skilled executives and employees with technical expertise, and this shortage is likely to continue. As a result, competition for skilled personnel is intense and turnover rates are high. Although we believe we will be successful in attracting and retaining qualified personnel, competition for experienced scientists from numerous companies, academic and other research institutions may limit our ability to do so.</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Our business operations will require additional expertise in specific industries and areas applicable to products identified and developed through our technologies. These activities will require the addition of new personnel, including management and technical personnel and the development of additional expertise by existing employees. The inability to attract such personnel or to develop this expertise could prevent us from expanding our operations in a timely manner, or at all.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collaborations with outside scientists may be subject to restriction and change.</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work with scientific advisors and collaborators at academic and other institutions that assist us in our research and development efforts. These scientists are not our employees and may have other commitments that would limit their availability to us. Although our scientific advisors and collaborators generally agree not to do competing work, if a conflict of interest between their work for us and their work for another entity arises, we may lose their services. In addition, although our scientific advisors and collaborators sign agreements not to disclose our confidential information, it is possible that valuable proprietary knowledge may become publicly known through them.</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auto"/>
        </w:rPr>
        <w:t>Our potential therapeutic products are subject to a lengthy and uncertain regulatory process that may not result in the necessary regulatory approvals, which could adversely affect our ability to commercialize products.</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Food and Drug Administration, or FDA, must approve any drug or biologic product before it can be marketed in the U.S. Any products resulting from our research and development efforts must also be approved by the regulatory agencies of foreign governments before the product can be sold outside the U.S. Before a new drug application or biologics license application can be filed with the FDA, the product candidate must undergo extensive clinical trials, which can take many years and may require substantial expenditures. The regulatory process also requires preclinical testing. Data obtained from preclinical and clinical activities are susceptible to varying interpretations, which could delay, limit or prevent regulatory approval. In addition, delays or rejections may be encountered based upon changes in regulatory policy for product approval during the period of product development and regulatory agency review. The clinical development and regulatory approval process is expensive and time consuming. Any failure to obtain regulatory approval could delay or prevent us from commercializing products.</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efforts to date have been primarily limited to identifying targets. Significant research and development efforts will be necessary before any products resulting from such targets can be commercialized. If regulatory approval is granted to any of our products, this approval may impose limitations on the uses for which a product may be marketed. Further, once regulatory approval is obtained, a marketed product and its manufacturer are subject to continual review, and discovery of previously unknown problems with a product or manufacturer may result in restrictions and sanctions with respect to the product, manufacturer and relevant manufacturing facility, including withdrawal of the product from the market.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Social issues may limit the public acceptance of genetically engineered products, which could reduce demand for our products.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Although our technology is not dependent on genetic engineering, genetic engineering plays a prominent role in our approach to product development. For example, research efforts focusing on plant traits may involve either selective breeding or modification of existing genes in the plant under study. Public attitudes may be influenced by claims that genetically engineered products are unsafe for consumption or pose a danger to the environment. Such claims may prevent our genetically engineered products from</w:t>
      </w:r>
    </w:p>
    <w:p>
      <w:pPr>
        <w:sectPr>
          <w:pgSz w:w="11900" w:h="16838" w:orient="portrait"/>
          <w:cols w:equalWidth="0" w:num="1">
            <w:col w:w="11420"/>
          </w:cols>
          <w:pgMar w:left="240" w:top="118" w:right="239" w:bottom="0" w:gutter="0" w:footer="0" w:header="0"/>
        </w:sectPr>
      </w:pPr>
    </w:p>
    <w:bookmarkStart w:id="12" w:name="page13"/>
    <w:bookmarkEnd w:id="12"/>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gaining public acceptance. The commercial success of our future products will depend, in part, on public acceptance of the use of genetically engineered products including drugs and plant and animal products.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subject of genetically modified organisms has received negative publicity, which has aroused public debate. For example, certain countries in Europe are considering regulations that may ban products or require express labeling of products that contain genetic modifications or are "genetically modified." Adverse publicity has resulted in greater regulation internationally and trade restrictions on imports of genetically altered products. If similar action is taken in the U.S., genetic research and genetically engineered products could be subject to greater domestic regulation, including stricter labeling requirements. To date, our business has not been hampered by these activities. However, such publicity in the future may prevent any products resulting from our research from gaining market acceptance and reduce demand for our products.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Laws and regulations may reduce our ability to sell genetically engineered products that our collaborators or we develop in the future.</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collaborators or we may develop genetically engineered agricultural and animal products. The field-testing, production and marketing of genetically engineered products are subject to regulation by federal, state, local and foreign governments. Regulatory agencies administering existing or future regulations or legislation may prevent us from producing and marketing genetically engineered products in a timely manner or under technically or commercially feasible conditions. In addition, regulatory action or private litigation could result in expenses, delays or other impediments to our product development programs and the commercialization of products.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FDA has released a policy statement stating that it will apply the same regulatory standards to foods developed through genetic engineering as it applies to foods developed through traditional plant breeding. Genetically engineered food products will be subject to premarket review, however, if these products raise safety questions or are deemed to be food additives. Our products may be subject to lengthy FDA reviews and unfavorable FDA determinations if they raise questions regarding safety or our products are deemed to be food additives.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FDA has also announced that it will not require genetically engineered agricultural products to be labeled as such, provided that these products are as safe and have the same nutritional characteristics as conventionally developed products. The FDA may reconsider or change its policies, and local or state authorities may enact labeling requirements, either of which could have a material adverse effect on our ability or the ability of our collaborators to develop and market products resulting from our efforts.</w:t>
      </w:r>
    </w:p>
    <w:p>
      <w:pPr>
        <w:spacing w:after="0" w:line="13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We use hazardous chemicals and radioactive and biological materials in our business. Any claims relating to improper handling, storage or disposal of these materials could be time consuming and costly.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Our research and development processes involve the controlled use of hazardous materials, including chemicals, radioactive and biological materials. Our operations produce hazardous waste products. We cannot eliminate the risk of accidental contamination or discharge and any resultant injury from these materials. Federal, state and local laws and regulations govern the use, manufacture, storage, handling and disposal of hazardous materials. We may be sued for any injury or contamination that results from our use or the use by third parties of these materials, and our liability may exceed our insurance coverage and our total assets. Compliance with environmental laws and regulations may be expensive, and current or future environmental regulations may impair our research, development and production efforts.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addition, our collaborators may use hazardous materials in connection with our collaborative efforts. To our knowledge, their work is performed in accordance with applicable biosafety regulations. In the event of a lawsuit or investigation, however, we could be held responsible for any injury caused to persons or property by exposure to, or release of, these hazardous materials use by these parties. Further, we may be required to indemnify our collaborators against all damages and other liabilities arising out of our development activities or products produced in connection with these collaborations.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We expect that our quarterly results of operations will fluctuate, and this fluctuation could cause our stock price to decline, causing investor losses.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Our quarterly operating results have fluctuated in the past and are likely to fluctuate in the future. A number of factors, many of which we cannot control, could subject our operating results and stock price to volatility, including:</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recognition of upfront licensing or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payments of non-refundable upfront or licensing fees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acceptance of our technologies and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success rate of our discovery efforts leading to milestones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introduction of new technologies or products by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timing and willingness of collaborators to commercialize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our ability to enter into new collaborative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termination or non-renewal of existing collaborations;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59" w:orient="portrait"/>
          <w:cols w:equalWidth="0" w:num="1">
            <w:col w:w="11420"/>
          </w:cols>
          <w:pgMar w:left="240" w:top="118" w:right="239" w:bottom="0" w:gutter="0" w:footer="0" w:header="0"/>
        </w:sectPr>
      </w:pPr>
    </w:p>
    <w:bookmarkStart w:id="13" w:name="page14"/>
    <w:bookmarkEnd w:id="13"/>
    <w:p>
      <w:pPr>
        <w:ind w:left="540"/>
        <w:spacing w:after="0"/>
        <w:rPr>
          <w:sz w:val="20"/>
          <w:szCs w:val="20"/>
          <w:color w:val="auto"/>
        </w:rPr>
      </w:pPr>
      <w:r>
        <w:rPr>
          <w:rFonts w:ascii="Arial" w:cs="Arial" w:eastAsia="Arial" w:hAnsi="Arial"/>
          <w:sz w:val="19"/>
          <w:szCs w:val="19"/>
          <w:color w:val="auto"/>
        </w:rPr>
        <w:t>general and industry-specific economic conditions that may affect our collaborators' research and development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large portion of our expenses, including expenses for facilities, equipment and personnel, are relatively fixed in the short term. In addition, we expect operating expenses to increase significantly during the next year. Accordingly, if our revenues decline or do not grow as anticipated due to the expiration of existing contracts or our failure to obtain new contracts, our inability to meet milestones or other factors, we may not be able to correspondingly reduce our operating expenses. Failure to achieve anticipated levels of revenues could therefore significantly harm our operating results for a particular fiscal period.</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Due to the possibility of fluctuations in our revenues and expenses, we believe that quarter-to-quarter comparisons of our operating results are not a good indication of our future performance. As a result, in some future quarters, our operating results may not meet the expectations of stock market analysts and investors, which could result in a decline in the price of our stock.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stock price may be extremely volatile.</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believe the trading price of our common stock will remain highly volatile and may fluctuate substantially due to factors such as the following:</w:t>
      </w:r>
    </w:p>
    <w:p>
      <w:pPr>
        <w:spacing w:after="0" w:line="173" w:lineRule="exact"/>
        <w:rPr>
          <w:sz w:val="20"/>
          <w:szCs w:val="20"/>
          <w:color w:val="auto"/>
        </w:rPr>
      </w:pPr>
    </w:p>
    <w:p>
      <w:pPr>
        <w:ind w:left="540" w:right="4540"/>
        <w:spacing w:after="0" w:line="504" w:lineRule="auto"/>
        <w:rPr>
          <w:sz w:val="20"/>
          <w:szCs w:val="20"/>
          <w:color w:val="auto"/>
        </w:rPr>
      </w:pPr>
      <w:r>
        <w:rPr>
          <w:rFonts w:ascii="Arial" w:cs="Arial" w:eastAsia="Arial" w:hAnsi="Arial"/>
          <w:sz w:val="19"/>
          <w:szCs w:val="19"/>
          <w:color w:val="auto"/>
        </w:rPr>
        <w:t>the announcement of new products or services by us or our competitors; quarterly variations in our or our competitors' results of operations; failure to achieve operating results projected by securities analysts; changes in earnings estimates or recommendations by securities analysts; developments in the biotechnology industry; acquisitions of other companies or technologies;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-1686560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-1395095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-1103630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-811530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-520065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-228600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00"/>
        <w:spacing w:after="0" w:line="251" w:lineRule="auto"/>
        <w:rPr>
          <w:sz w:val="20"/>
          <w:szCs w:val="20"/>
          <w:color w:val="auto"/>
        </w:rPr>
      </w:pPr>
      <w:r>
        <w:rPr>
          <w:rFonts w:ascii="Arial" w:cs="Arial" w:eastAsia="Arial" w:hAnsi="Arial"/>
          <w:sz w:val="22"/>
          <w:szCs w:val="22"/>
          <w:color w:val="auto"/>
        </w:rPr>
        <w:t>general market conditions and other factors, including factors unrelated to our operating performance or the operating performance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These factors and fluctuations, as well as general economic, political and market conditions, may materially adversely affect the market price of our common stock.</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past, following periods of volatility in the market price of a company's securities, securities class action litigation has often been instituted. A securities class action suit against us could result in substantial costs and divert management's attention and resources, which could have a material and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We are exposed to risks associated with acquisitions.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We have made, and may in the future make, acquisitions of, or significant investments in, businesses with complementary products, services and/or technologies. Acquisitions involve numerous risks, including, but not limited to:</w:t>
      </w:r>
    </w:p>
    <w:p>
      <w:pPr>
        <w:spacing w:after="0" w:line="151" w:lineRule="exact"/>
        <w:rPr>
          <w:sz w:val="20"/>
          <w:szCs w:val="20"/>
          <w:color w:val="auto"/>
        </w:rPr>
      </w:pPr>
    </w:p>
    <w:p>
      <w:pPr>
        <w:ind w:left="540" w:right="520"/>
        <w:spacing w:after="0" w:line="251" w:lineRule="auto"/>
        <w:rPr>
          <w:sz w:val="20"/>
          <w:szCs w:val="20"/>
          <w:color w:val="auto"/>
        </w:rPr>
      </w:pPr>
      <w:r>
        <w:rPr>
          <w:rFonts w:ascii="Arial" w:cs="Arial" w:eastAsia="Arial" w:hAnsi="Arial"/>
          <w:sz w:val="22"/>
          <w:szCs w:val="22"/>
          <w:color w:val="auto"/>
        </w:rPr>
        <w:t>difficulties and increased costs in connection with integration of the personnel, operations, technologies and products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diversion of management's attention from other operational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potential loss of key employees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potential loss of key collaborators of the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lack of synergy, or the inability to realize expected synergies, resulting from the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40"/>
        <w:spacing w:after="0" w:line="251" w:lineRule="auto"/>
        <w:rPr>
          <w:sz w:val="20"/>
          <w:szCs w:val="20"/>
          <w:color w:val="auto"/>
        </w:rPr>
      </w:pPr>
      <w:r>
        <w:rPr>
          <w:rFonts w:ascii="Arial" w:cs="Arial" w:eastAsia="Arial" w:hAnsi="Arial"/>
          <w:sz w:val="22"/>
          <w:szCs w:val="22"/>
          <w:color w:val="auto"/>
        </w:rPr>
        <w:t>acquired intangible assets becoming impaired as a result of technological advancements or worse-than-expected performance of the acquired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Mergers and acquisitions, are inherently risky, and the inability to effectively manage these risks could materially and adversely affect our business, financial condition and results of operations.</w:t>
      </w:r>
    </w:p>
    <w:p>
      <w:pPr>
        <w:spacing w:after="0" w:line="16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If product liability lawsuits are successfully brought against us, we could face substantial liabilities that exceed our resources.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may be held liable if any product our collaborators or we develop causes injury or is found otherwise unsuitable during product testing, manufacturing, marketing or sale. Although we intend to obtain general liability and product liability insurance, this insurance may be prohibitively expensive, or may not fully cover our potential liabilities. Inability to obtain sufficient insurance coverage at an acceptable cost or to otherwise protect ourselves against potential product liability claims could prevent or inhibit the commercialization of products developed by our collaborators or us.</w:t>
      </w:r>
    </w:p>
    <w:p>
      <w:pPr>
        <w:sectPr>
          <w:pgSz w:w="11900" w:h="16838" w:orient="portrait"/>
          <w:cols w:equalWidth="0" w:num="1">
            <w:col w:w="11420"/>
          </w:cols>
          <w:pgMar w:left="240" w:top="118" w:right="239" w:bottom="0" w:gutter="0" w:footer="0" w:header="0"/>
        </w:sectPr>
      </w:pPr>
    </w:p>
    <w:bookmarkStart w:id="14" w:name="page15"/>
    <w:bookmarkEnd w:id="14"/>
    <w:p>
      <w:pPr>
        <w:jc w:val="both"/>
        <w:spacing w:after="0" w:line="335" w:lineRule="auto"/>
        <w:rPr>
          <w:sz w:val="20"/>
          <w:szCs w:val="20"/>
          <w:color w:val="auto"/>
        </w:rPr>
      </w:pPr>
      <w:r>
        <w:rPr>
          <w:rFonts w:ascii="Arial" w:cs="Arial" w:eastAsia="Arial" w:hAnsi="Arial"/>
          <w:sz w:val="19"/>
          <w:szCs w:val="19"/>
          <w:b w:val="1"/>
          <w:bCs w:val="1"/>
          <w:color w:val="auto"/>
        </w:rPr>
        <w:t>Our facilities are located near known earthquake fault zones, and the occurrence of an earthquake or other catastrophic disaster could cause damage to our facilities and equipment, which could require us to cease or curtail operations.</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Given our location, our facilities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unique nature of our research activities could cause significant delays in our programs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sales of our common stock may depress our stock price.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our stockholders sell substantial amounts of our common stock (including shares issued upon the exercise of outstanding options and warrants) in the public market, the market price of our common stock could fall. These sales also might make it more difficult for us to sell equity or equity- related securities in the future at a time and price that we deemed appropriate. In October 2000, a significant number of shares of our common stock held by existing stockholders became freely tradable, subject in some instances to the volume and other limitations of Rule 144. Sales of these shares and other shares of common stock held by existing stockholders could cause the market price of our common stock to decline.</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Some of our existing stockholders can exert control over us, and may not make decisions that are in the best interests of all stockholders.</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Due to their combined stock holdings, our officers, directors and principal stockholders (stockholders holding more than 5% of our common stock) acting together, may be able to exert significant influence over all matters requiring stockholder approval, including the election of directors and approval of significant corporate transactions. In addition, this concentration of ownership may delay or prevent a change in control of our company, even when a change may be in the best interests of our stockholders. In addition, the interests of these stockholders may not always coincide with our interests as a company or the interests of other stockholders. Accordingly, these stockholders could cause us to enter into transactions or agreements that you would not approve.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 and Reports on Form 8-K</w:t>
      </w:r>
    </w:p>
    <w:p>
      <w:pPr>
        <w:spacing w:after="0" w:line="212" w:lineRule="exact"/>
        <w:rPr>
          <w:sz w:val="20"/>
          <w:szCs w:val="20"/>
          <w:color w:val="auto"/>
        </w:rPr>
      </w:pPr>
    </w:p>
    <w:p>
      <w:pPr>
        <w:ind w:left="540" w:hanging="194"/>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rFonts w:ascii="Arial" w:cs="Arial" w:eastAsia="Arial" w:hAnsi="Arial"/>
          <w:sz w:val="22"/>
          <w:szCs w:val="22"/>
          <w:color w:val="auto"/>
        </w:rPr>
      </w:pPr>
    </w:p>
    <w:p>
      <w:pPr>
        <w:ind w:left="540" w:right="160"/>
        <w:spacing w:after="0" w:line="251" w:lineRule="auto"/>
        <w:rPr>
          <w:rFonts w:ascii="Arial" w:cs="Arial" w:eastAsia="Arial" w:hAnsi="Arial"/>
          <w:sz w:val="22"/>
          <w:szCs w:val="22"/>
          <w:color w:val="auto"/>
        </w:rPr>
      </w:pPr>
      <w:r>
        <w:rPr>
          <w:rFonts w:ascii="Arial" w:cs="Arial" w:eastAsia="Arial" w:hAnsi="Arial"/>
          <w:sz w:val="22"/>
          <w:szCs w:val="22"/>
          <w:color w:val="auto"/>
        </w:rPr>
        <w:t>The exhibits listed on the accompanying index to exhibits are filed or incorporated by reference (as stated therein) as part of this Quarterly Report on Form 10-Q.</w:t>
      </w:r>
    </w:p>
    <w:p>
      <w:pPr>
        <w:spacing w:after="0" w:line="173" w:lineRule="exact"/>
        <w:rPr>
          <w:rFonts w:ascii="Arial" w:cs="Arial" w:eastAsia="Arial" w:hAnsi="Arial"/>
          <w:sz w:val="22"/>
          <w:szCs w:val="22"/>
          <w:color w:val="auto"/>
        </w:rPr>
      </w:pPr>
    </w:p>
    <w:p>
      <w:pPr>
        <w:ind w:left="540" w:hanging="208"/>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Reports on Form 8-K</w:t>
      </w:r>
    </w:p>
    <w:p>
      <w:pPr>
        <w:spacing w:after="0" w:line="206" w:lineRule="exact"/>
        <w:rPr>
          <w:rFonts w:ascii="Arial" w:cs="Arial" w:eastAsia="Arial" w:hAnsi="Arial"/>
          <w:sz w:val="22"/>
          <w:szCs w:val="22"/>
          <w:color w:val="auto"/>
        </w:rPr>
      </w:pPr>
    </w:p>
    <w:p>
      <w:pPr>
        <w:ind w:left="540" w:right="760"/>
        <w:spacing w:after="0" w:line="251" w:lineRule="auto"/>
        <w:rPr>
          <w:rFonts w:ascii="Arial" w:cs="Arial" w:eastAsia="Arial" w:hAnsi="Arial"/>
          <w:sz w:val="22"/>
          <w:szCs w:val="22"/>
          <w:color w:val="auto"/>
        </w:rPr>
      </w:pPr>
      <w:r>
        <w:rPr>
          <w:rFonts w:ascii="Arial" w:cs="Arial" w:eastAsia="Arial" w:hAnsi="Arial"/>
          <w:sz w:val="22"/>
          <w:szCs w:val="22"/>
          <w:color w:val="auto"/>
        </w:rPr>
        <w:t>On May 15, 2001 the Company filed an Item 9 Current Report on Form 8-K pursuant to Regulation FD reporting the Company's financial results for the first quarter of fiscal year 2001.</w:t>
      </w:r>
    </w:p>
    <w:p>
      <w:pPr>
        <w:spacing w:after="0" w:line="173" w:lineRule="exact"/>
        <w:rPr>
          <w:rFonts w:ascii="Arial" w:cs="Arial" w:eastAsia="Arial" w:hAnsi="Arial"/>
          <w:sz w:val="22"/>
          <w:szCs w:val="22"/>
          <w:color w:val="auto"/>
        </w:rPr>
      </w:pPr>
    </w:p>
    <w:p>
      <w:pPr>
        <w:ind w:left="540" w:right="900"/>
        <w:spacing w:after="0" w:line="251" w:lineRule="auto"/>
        <w:rPr>
          <w:rFonts w:ascii="Arial" w:cs="Arial" w:eastAsia="Arial" w:hAnsi="Arial"/>
          <w:sz w:val="22"/>
          <w:szCs w:val="22"/>
          <w:color w:val="auto"/>
        </w:rPr>
      </w:pPr>
      <w:r>
        <w:rPr>
          <w:rFonts w:ascii="Arial" w:cs="Arial" w:eastAsia="Arial" w:hAnsi="Arial"/>
          <w:sz w:val="22"/>
          <w:szCs w:val="22"/>
          <w:color w:val="auto"/>
        </w:rPr>
        <w:t>On May 15, 2001 the Company filed an Item 2 Current Report on Form 8-K announcing the acquisition of Artemis Pharmaceuticals GmbH.</w:t>
      </w:r>
    </w:p>
    <w:p>
      <w:pPr>
        <w:spacing w:after="0" w:line="173" w:lineRule="exact"/>
        <w:rPr>
          <w:rFonts w:ascii="Arial" w:cs="Arial" w:eastAsia="Arial" w:hAnsi="Arial"/>
          <w:sz w:val="22"/>
          <w:szCs w:val="22"/>
          <w:color w:val="auto"/>
        </w:rPr>
      </w:pPr>
    </w:p>
    <w:p>
      <w:pPr>
        <w:ind w:left="540" w:right="700"/>
        <w:spacing w:after="0" w:line="251" w:lineRule="auto"/>
        <w:rPr>
          <w:rFonts w:ascii="Arial" w:cs="Arial" w:eastAsia="Arial" w:hAnsi="Arial"/>
          <w:sz w:val="22"/>
          <w:szCs w:val="22"/>
          <w:color w:val="auto"/>
        </w:rPr>
      </w:pPr>
      <w:r>
        <w:rPr>
          <w:rFonts w:ascii="Arial" w:cs="Arial" w:eastAsia="Arial" w:hAnsi="Arial"/>
          <w:sz w:val="22"/>
          <w:szCs w:val="22"/>
          <w:color w:val="auto"/>
        </w:rPr>
        <w:t>On March 1, 2001 the Company filed an Item 9 Current Report on Form 8-K pursuant to Regulation FD reporting the Company's financial results for the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1457325</wp:posOffset>
            </wp:positionV>
            <wp:extent cx="591693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0"/>
          <w:szCs w:val="20"/>
          <w:color w:val="auto"/>
        </w:rPr>
      </w:pPr>
    </w:p>
    <w:p>
      <w:pPr>
        <w:ind w:left="540" w:right="8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Dated: May 15, 2001</w:t>
      </w:r>
    </w:p>
    <w:p>
      <w:pPr>
        <w:spacing w:after="0" w:line="17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Exelixis, Inc.</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 Glen Y.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63500</wp:posOffset>
            </wp:positionV>
            <wp:extent cx="429196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91965" cy="34290"/>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bookmarkStart w:id="15" w:name="page16"/>
    <w:bookmarkEnd w:id="15"/>
    <w:p>
      <w:pPr>
        <w:ind w:left="4100"/>
        <w:spacing w:after="0"/>
        <w:rPr>
          <w:sz w:val="20"/>
          <w:szCs w:val="20"/>
          <w:color w:val="auto"/>
        </w:rPr>
      </w:pPr>
      <w:r>
        <w:rPr>
          <w:rFonts w:ascii="Arial" w:cs="Arial" w:eastAsia="Arial" w:hAnsi="Arial"/>
          <w:sz w:val="22"/>
          <w:szCs w:val="22"/>
          <w:color w:val="auto"/>
        </w:rPr>
        <w:t>Glen Y. Sato</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Chief Financial Officer, Vice President of Legal Affairs and Secretary</w:t>
      </w:r>
    </w:p>
    <w:p>
      <w:pPr>
        <w:spacing w:after="0" w:line="25" w:lineRule="exact"/>
        <w:rPr>
          <w:sz w:val="20"/>
          <w:szCs w:val="20"/>
          <w:color w:val="auto"/>
        </w:rPr>
      </w:pPr>
    </w:p>
    <w:p>
      <w:pPr>
        <w:ind w:left="4100"/>
        <w:spacing w:after="0"/>
        <w:rPr>
          <w:sz w:val="20"/>
          <w:szCs w:val="20"/>
          <w:color w:val="auto"/>
        </w:rPr>
      </w:pPr>
      <w:r>
        <w:rPr>
          <w:rFonts w:ascii="Arial" w:cs="Arial" w:eastAsia="Arial" w:hAnsi="Arial"/>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566420</wp:posOffset>
            </wp:positionV>
            <wp:extent cx="591693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960" w:type="dxa"/>
            <w:vAlign w:val="bottom"/>
          </w:tcPr>
          <w:p>
            <w:pPr>
              <w:ind w:left="8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812"/>
        </w:trPr>
        <w:tc>
          <w:tcPr>
            <w:tcW w:w="134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2320" w:type="dxa"/>
            <w:vAlign w:val="bottom"/>
            <w:vMerge w:val="restart"/>
          </w:tcPr>
          <w:p>
            <w:pPr>
              <w:spacing w:after="0"/>
              <w:rPr>
                <w:sz w:val="20"/>
                <w:szCs w:val="20"/>
                <w:color w:val="auto"/>
              </w:rPr>
            </w:pPr>
            <w:r>
              <w:rPr>
                <w:rFonts w:ascii="Arial" w:cs="Arial" w:eastAsia="Arial" w:hAnsi="Arial"/>
                <w:sz w:val="22"/>
                <w:szCs w:val="22"/>
                <w:b w:val="1"/>
                <w:bCs w:val="1"/>
                <w:color w:val="auto"/>
                <w:w w:val="87"/>
              </w:rPr>
              <w:t>Description of Document</w:t>
            </w:r>
          </w:p>
        </w:tc>
        <w:tc>
          <w:tcPr>
            <w:tcW w:w="49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81"/>
              </w:rPr>
              <w:t>Number</w:t>
            </w:r>
          </w:p>
        </w:tc>
        <w:tc>
          <w:tcPr>
            <w:tcW w:w="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Borders>
              <w:bottom w:val="single" w:sz="8" w:color="auto"/>
            </w:tcBorders>
            <w:vMerge w:val="continue"/>
          </w:tcPr>
          <w:p>
            <w:pPr>
              <w:spacing w:after="0"/>
              <w:rPr>
                <w:sz w:val="19"/>
                <w:szCs w:val="19"/>
                <w:color w:val="auto"/>
              </w:rPr>
            </w:pPr>
          </w:p>
        </w:tc>
        <w:tc>
          <w:tcPr>
            <w:tcW w:w="4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00" w:type="dxa"/>
            <w:vAlign w:val="bottom"/>
          </w:tcPr>
          <w:p>
            <w:pPr>
              <w:ind w:left="120"/>
              <w:spacing w:after="0"/>
              <w:rPr>
                <w:sz w:val="20"/>
                <w:szCs w:val="20"/>
                <w:color w:val="auto"/>
              </w:rPr>
            </w:pPr>
            <w:r>
              <w:rPr>
                <w:rFonts w:ascii="Arial" w:cs="Arial" w:eastAsia="Arial" w:hAnsi="Arial"/>
                <w:sz w:val="22"/>
                <w:szCs w:val="22"/>
                <w:color w:val="auto"/>
              </w:rPr>
              <w:t>2.1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2"/>
                <w:szCs w:val="22"/>
                <w:color w:val="auto"/>
                <w:w w:val="90"/>
              </w:rPr>
              <w:t>Share Exchange and Assignment Agreement, dated April 23, 2001, by and among</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w w:val="90"/>
              </w:rPr>
              <w:t>Exelixis, Inc. and among Exelixis, Inc. and the Artemis stockholders named therein</w:t>
            </w:r>
          </w:p>
        </w:tc>
        <w:tc>
          <w:tcPr>
            <w:tcW w:w="0" w:type="dxa"/>
            <w:vAlign w:val="bottom"/>
          </w:tcPr>
          <w:p>
            <w:pPr>
              <w:spacing w:after="0"/>
              <w:rPr>
                <w:sz w:val="1"/>
                <w:szCs w:val="1"/>
                <w:color w:val="auto"/>
              </w:rPr>
            </w:pPr>
          </w:p>
        </w:tc>
      </w:tr>
      <w:tr>
        <w:trPr>
          <w:trHeight w:val="275"/>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320" w:type="dxa"/>
            <w:vAlign w:val="bottom"/>
          </w:tcPr>
          <w:p>
            <w:pPr>
              <w:spacing w:after="0"/>
              <w:rPr>
                <w:sz w:val="20"/>
                <w:szCs w:val="20"/>
                <w:color w:val="auto"/>
              </w:rPr>
            </w:pPr>
            <w:r>
              <w:rPr>
                <w:rFonts w:ascii="Arial" w:cs="Arial" w:eastAsia="Arial" w:hAnsi="Arial"/>
                <w:sz w:val="22"/>
                <w:szCs w:val="22"/>
                <w:color w:val="auto"/>
              </w:rPr>
              <w:t>(2)</w:t>
            </w:r>
          </w:p>
        </w:tc>
        <w:tc>
          <w:tcPr>
            <w:tcW w:w="4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3.1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2"/>
                <w:szCs w:val="22"/>
                <w:color w:val="auto"/>
              </w:rPr>
              <w:t>Amended and Restated Certificate of Incorporation (1)</w:t>
            </w:r>
          </w:p>
        </w:tc>
        <w:tc>
          <w:tcPr>
            <w:tcW w:w="0" w:type="dxa"/>
            <w:vAlign w:val="bottom"/>
          </w:tcPr>
          <w:p>
            <w:pPr>
              <w:spacing w:after="0"/>
              <w:rPr>
                <w:sz w:val="1"/>
                <w:szCs w:val="1"/>
                <w:color w:val="auto"/>
              </w:rPr>
            </w:pP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3.2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2"/>
                <w:szCs w:val="22"/>
                <w:color w:val="auto"/>
              </w:rPr>
              <w:t>Amended and Restated Bylaws (1)</w:t>
            </w:r>
          </w:p>
        </w:tc>
        <w:tc>
          <w:tcPr>
            <w:tcW w:w="0" w:type="dxa"/>
            <w:vAlign w:val="bottom"/>
          </w:tcPr>
          <w:p>
            <w:pPr>
              <w:spacing w:after="0"/>
              <w:rPr>
                <w:sz w:val="1"/>
                <w:szCs w:val="1"/>
                <w:color w:val="auto"/>
              </w:rPr>
            </w:pPr>
          </w:p>
        </w:tc>
      </w:tr>
      <w:tr>
        <w:trPr>
          <w:trHeight w:val="311"/>
        </w:trPr>
        <w:tc>
          <w:tcPr>
            <w:tcW w:w="700" w:type="dxa"/>
            <w:vAlign w:val="bottom"/>
          </w:tcPr>
          <w:p>
            <w:pPr>
              <w:ind w:left="120"/>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2"/>
                <w:szCs w:val="22"/>
                <w:color w:val="auto"/>
              </w:rPr>
              <w:t>Specimen Common Stock Certificate (1)</w:t>
            </w:r>
          </w:p>
        </w:tc>
        <w:tc>
          <w:tcPr>
            <w:tcW w:w="0" w:type="dxa"/>
            <w:vAlign w:val="bottom"/>
          </w:tcPr>
          <w:p>
            <w:pPr>
              <w:spacing w:after="0"/>
              <w:rPr>
                <w:sz w:val="1"/>
                <w:szCs w:val="1"/>
                <w:color w:val="auto"/>
              </w:rPr>
            </w:pPr>
          </w:p>
        </w:tc>
      </w:tr>
      <w:tr>
        <w:trPr>
          <w:trHeight w:val="279"/>
        </w:trPr>
        <w:tc>
          <w:tcPr>
            <w:tcW w:w="700" w:type="dxa"/>
            <w:vAlign w:val="bottom"/>
          </w:tcPr>
          <w:p>
            <w:pPr>
              <w:ind w:left="120"/>
              <w:spacing w:after="0"/>
              <w:rPr>
                <w:sz w:val="20"/>
                <w:szCs w:val="20"/>
                <w:color w:val="auto"/>
              </w:rPr>
            </w:pPr>
            <w:r>
              <w:rPr>
                <w:rFonts w:ascii="Arial" w:cs="Arial" w:eastAsia="Arial" w:hAnsi="Arial"/>
                <w:sz w:val="22"/>
                <w:szCs w:val="22"/>
                <w:color w:val="auto"/>
              </w:rPr>
              <w:t>10.22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2"/>
                <w:szCs w:val="22"/>
                <w:color w:val="auto"/>
                <w:w w:val="89"/>
              </w:rPr>
              <w:t>Master Lease Agreement, dated April 9, 2001, between GE Capital Corporation and</w:t>
            </w:r>
          </w:p>
        </w:tc>
        <w:tc>
          <w:tcPr>
            <w:tcW w:w="0" w:type="dxa"/>
            <w:vAlign w:val="bottom"/>
          </w:tcPr>
          <w:p>
            <w:pPr>
              <w:spacing w:after="0"/>
              <w:rPr>
                <w:sz w:val="1"/>
                <w:szCs w:val="1"/>
                <w:color w:val="auto"/>
              </w:rPr>
            </w:pPr>
          </w:p>
        </w:tc>
      </w:tr>
      <w:tr>
        <w:trPr>
          <w:trHeight w:val="275"/>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22"/>
                <w:szCs w:val="22"/>
                <w:color w:val="auto"/>
              </w:rPr>
              <w:t>Exelixis, Inc.</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firstLine="8"/>
        <w:spacing w:after="0" w:line="268" w:lineRule="auto"/>
        <w:tabs>
          <w:tab w:leader="none" w:pos="74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with Exelixis' Registration Statement on Form S-1, as amended, (No. 333-96335), declared effective by the Securities and Exchange Commission on April 10, 2000, and incorporated herein by reference.</w:t>
      </w:r>
    </w:p>
    <w:p>
      <w:pPr>
        <w:spacing w:after="0" w:line="145" w:lineRule="exact"/>
        <w:rPr>
          <w:rFonts w:ascii="Arial" w:cs="Arial" w:eastAsia="Arial" w:hAnsi="Arial"/>
          <w:sz w:val="18"/>
          <w:szCs w:val="18"/>
          <w:color w:val="auto"/>
        </w:rPr>
      </w:pPr>
    </w:p>
    <w:p>
      <w:pPr>
        <w:ind w:left="760" w:hanging="25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with Item 2 Current Report on Form 8-K, on May 15, 2001 and incorporated herein by reference.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Confidential treatment requested for certain portions of this exhibit.</w:t>
      </w:r>
    </w:p>
    <w:p>
      <w:pPr>
        <w:sectPr>
          <w:pgSz w:w="11900" w:h="16838" w:orient="portrait"/>
          <w:cols w:equalWidth="0" w:num="1">
            <w:col w:w="10460"/>
          </w:cols>
          <w:pgMar w:left="820" w:top="118" w:right="6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10.22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LEASE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u w:val="single" w:color="auto"/>
          <w:color w:val="auto"/>
        </w:rPr>
        <w:t>April 9, 2001</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between</w:t>
      </w:r>
      <w:r>
        <w:rPr>
          <w:rFonts w:ascii="Arial" w:cs="Arial" w:eastAsia="Arial" w:hAnsi="Arial"/>
          <w:sz w:val="18"/>
          <w:szCs w:val="18"/>
          <w:b w:val="1"/>
          <w:bCs w:val="1"/>
          <w:color w:val="auto"/>
        </w:rPr>
        <w:t xml:space="preserve"> General Electric Capital Corporation </w:t>
      </w:r>
      <w:r>
        <w:rPr>
          <w:rFonts w:ascii="Arial" w:cs="Arial" w:eastAsia="Arial" w:hAnsi="Arial"/>
          <w:sz w:val="18"/>
          <w:szCs w:val="18"/>
          <w:color w:val="auto"/>
        </w:rPr>
        <w:t>(together with its successors and assigns, if any, "</w:t>
      </w:r>
      <w:r>
        <w:rPr>
          <w:rFonts w:ascii="Arial" w:cs="Arial" w:eastAsia="Arial" w:hAnsi="Arial"/>
          <w:sz w:val="18"/>
          <w:szCs w:val="18"/>
          <w:b w:val="1"/>
          <w:bCs w:val="1"/>
          <w:color w:val="auto"/>
        </w:rPr>
        <w:t>Lessor</w:t>
      </w:r>
      <w:r>
        <w:rPr>
          <w:rFonts w:ascii="Arial" w:cs="Arial" w:eastAsia="Arial" w:hAnsi="Arial"/>
          <w:sz w:val="18"/>
          <w:szCs w:val="18"/>
          <w:color w:val="auto"/>
        </w:rPr>
        <w:t>") and</w:t>
      </w:r>
      <w:r>
        <w:rPr>
          <w:rFonts w:ascii="Arial" w:cs="Arial" w:eastAsia="Arial" w:hAnsi="Arial"/>
          <w:sz w:val="18"/>
          <w:szCs w:val="18"/>
          <w:b w:val="1"/>
          <w:bCs w:val="1"/>
          <w:color w:val="auto"/>
        </w:rPr>
        <w:t xml:space="preserve"> Exelixis, Inc. ("Lessee"</w:t>
      </w:r>
      <w:r>
        <w:rPr>
          <w:rFonts w:ascii="Arial" w:cs="Arial" w:eastAsia="Arial" w:hAnsi="Arial"/>
          <w:sz w:val="18"/>
          <w:szCs w:val="18"/>
          <w:color w:val="auto"/>
        </w:rPr>
        <w:t>). Lessor has an office at 401 Merritt 7 2</w:t>
      </w:r>
      <w:r>
        <w:rPr>
          <w:rFonts w:ascii="Arial" w:cs="Arial" w:eastAsia="Arial" w:hAnsi="Arial"/>
          <w:sz w:val="29"/>
          <w:szCs w:val="29"/>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Floor, Norwalk, CT 06856. Lessee is a corporation organized and existing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Lessee's mailing address and chief place of business is 170 Harbor Way, South San Francisco, CA 94083-0511. This Agreement contains the general terms that apply to the leasing of Equipment from Lessor to Lessee. Additional terms that apply to the Equipment (term, rent, options, etc.) shall be contained on a schedule ("</w:t>
      </w:r>
      <w:r>
        <w:rPr>
          <w:rFonts w:ascii="Arial" w:cs="Arial" w:eastAsia="Arial" w:hAnsi="Arial"/>
          <w:sz w:val="18"/>
          <w:szCs w:val="18"/>
          <w:b w:val="1"/>
          <w:bCs w:val="1"/>
          <w:color w:val="auto"/>
        </w:rPr>
        <w:t>Schedule</w:t>
      </w:r>
      <w:r>
        <w:rPr>
          <w:rFonts w:ascii="Arial" w:cs="Arial" w:eastAsia="Arial" w:hAnsi="Arial"/>
          <w:sz w:val="18"/>
          <w:szCs w:val="18"/>
          <w:color w:val="auto"/>
        </w:rPr>
        <w:t>").</w:t>
      </w:r>
    </w:p>
    <w:p>
      <w:pPr>
        <w:spacing w:after="0" w:line="164" w:lineRule="exact"/>
        <w:rPr>
          <w:sz w:val="20"/>
          <w:szCs w:val="20"/>
          <w:color w:val="auto"/>
        </w:rPr>
      </w:pPr>
    </w:p>
    <w:p>
      <w:pPr>
        <w:ind w:left="540" w:hanging="167"/>
        <w:spacing w:after="0"/>
        <w:tabs>
          <w:tab w:leader="none" w:pos="540" w:val="left"/>
        </w:tabs>
        <w:numPr>
          <w:ilvl w:val="0"/>
          <w:numId w:val="6"/>
        </w:numPr>
        <w:rPr>
          <w:rFonts w:ascii="Arial" w:cs="Arial" w:eastAsia="Arial" w:hAnsi="Arial"/>
          <w:sz w:val="18"/>
          <w:szCs w:val="18"/>
          <w:b w:val="1"/>
          <w:bCs w:val="1"/>
          <w:color w:val="0000FF"/>
        </w:rPr>
      </w:pPr>
      <w:r>
        <w:rPr>
          <w:rFonts w:ascii="Arial" w:cs="Arial" w:eastAsia="Arial" w:hAnsi="Arial"/>
          <w:sz w:val="18"/>
          <w:szCs w:val="18"/>
          <w:b w:val="1"/>
          <w:bCs w:val="1"/>
          <w:color w:val="0000FF"/>
        </w:rPr>
        <w:t>LEASING:</w:t>
      </w:r>
    </w:p>
    <w:p>
      <w:pPr>
        <w:spacing w:after="0" w:line="184" w:lineRule="exact"/>
        <w:rPr>
          <w:rFonts w:ascii="Arial" w:cs="Arial" w:eastAsia="Arial" w:hAnsi="Arial"/>
          <w:sz w:val="18"/>
          <w:szCs w:val="18"/>
          <w:b w:val="1"/>
          <w:bCs w:val="1"/>
          <w:color w:val="0000FF"/>
        </w:rPr>
      </w:pPr>
    </w:p>
    <w:p>
      <w:pPr>
        <w:ind w:left="1080" w:right="140" w:hanging="153"/>
        <w:spacing w:after="0" w:line="275"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Lessor agrees to lease to Lessee, and Lessee agrees to lease from Lessor, the equipment ("</w:t>
      </w:r>
      <w:r>
        <w:rPr>
          <w:rFonts w:ascii="Arial" w:cs="Arial" w:eastAsia="Arial" w:hAnsi="Arial"/>
          <w:sz w:val="18"/>
          <w:szCs w:val="18"/>
          <w:b w:val="1"/>
          <w:bCs w:val="1"/>
          <w:color w:val="auto"/>
        </w:rPr>
        <w:t>Equipment</w:t>
      </w:r>
      <w:r>
        <w:rPr>
          <w:rFonts w:ascii="Arial" w:cs="Arial" w:eastAsia="Arial" w:hAnsi="Arial"/>
          <w:sz w:val="18"/>
          <w:szCs w:val="18"/>
          <w:color w:val="auto"/>
        </w:rPr>
        <w:t>") described in any schedule signed by both parties.</w:t>
      </w:r>
    </w:p>
    <w:p>
      <w:pPr>
        <w:spacing w:after="0" w:line="133" w:lineRule="exact"/>
        <w:rPr>
          <w:rFonts w:ascii="Arial" w:cs="Arial" w:eastAsia="Arial" w:hAnsi="Arial"/>
          <w:sz w:val="18"/>
          <w:szCs w:val="18"/>
          <w:color w:val="auto"/>
        </w:rPr>
      </w:pPr>
    </w:p>
    <w:p>
      <w:pPr>
        <w:ind w:left="1080" w:right="60" w:hanging="167"/>
        <w:spacing w:after="0" w:line="296" w:lineRule="auto"/>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Lessor shall purchase Equipment from the manufacture or supplier ("</w:t>
      </w:r>
      <w:r>
        <w:rPr>
          <w:rFonts w:ascii="Arial" w:cs="Arial" w:eastAsia="Arial" w:hAnsi="Arial"/>
          <w:sz w:val="16"/>
          <w:szCs w:val="16"/>
          <w:b w:val="1"/>
          <w:bCs w:val="1"/>
          <w:color w:val="auto"/>
        </w:rPr>
        <w:t>Supplier</w:t>
      </w:r>
      <w:r>
        <w:rPr>
          <w:rFonts w:ascii="Arial" w:cs="Arial" w:eastAsia="Arial" w:hAnsi="Arial"/>
          <w:sz w:val="16"/>
          <w:szCs w:val="16"/>
          <w:color w:val="auto"/>
        </w:rPr>
        <w:t>") and lease it to Lessee if on or before the Last Delivery Date Lessor receives (i) a Schedule for the Equipment, (ii) evidence of insurance which complies with the requirements of Section 9, and (iii) such other documents as Lessor may reasonably request. Each of the documents required above must be in form and substance satisfactory to Lessor. Lessor hereby appoints Lessee its agent for inspection and acceptance of the Equipment from the Supplier. Once the Schedule is signed, the Lessee may not cancel the Schedule.</w:t>
      </w:r>
    </w:p>
    <w:p>
      <w:pPr>
        <w:spacing w:after="0" w:line="121" w:lineRule="exact"/>
        <w:rPr>
          <w:rFonts w:ascii="Arial" w:cs="Arial" w:eastAsia="Arial" w:hAnsi="Arial"/>
          <w:sz w:val="16"/>
          <w:szCs w:val="16"/>
          <w:color w:val="auto"/>
        </w:rPr>
      </w:pPr>
    </w:p>
    <w:p>
      <w:pPr>
        <w:ind w:left="540" w:hanging="167"/>
        <w:spacing w:after="0"/>
        <w:tabs>
          <w:tab w:leader="none" w:pos="540" w:val="left"/>
        </w:tabs>
        <w:numPr>
          <w:ilvl w:val="0"/>
          <w:numId w:val="6"/>
        </w:numPr>
        <w:rPr>
          <w:rFonts w:ascii="Arial" w:cs="Arial" w:eastAsia="Arial" w:hAnsi="Arial"/>
          <w:sz w:val="18"/>
          <w:szCs w:val="18"/>
          <w:b w:val="1"/>
          <w:bCs w:val="1"/>
          <w:color w:val="0000FF"/>
        </w:rPr>
      </w:pPr>
      <w:r>
        <w:rPr>
          <w:rFonts w:ascii="Arial" w:cs="Arial" w:eastAsia="Arial" w:hAnsi="Arial"/>
          <w:sz w:val="18"/>
          <w:szCs w:val="18"/>
          <w:b w:val="1"/>
          <w:bCs w:val="1"/>
          <w:color w:val="0000FF"/>
        </w:rPr>
        <w:t>TERM, RENT AND PAYMENT:</w:t>
      </w:r>
    </w:p>
    <w:p>
      <w:pPr>
        <w:spacing w:after="0" w:line="190" w:lineRule="exact"/>
        <w:rPr>
          <w:rFonts w:ascii="Arial" w:cs="Arial" w:eastAsia="Arial" w:hAnsi="Arial"/>
          <w:sz w:val="18"/>
          <w:szCs w:val="18"/>
          <w:b w:val="1"/>
          <w:bCs w:val="1"/>
          <w:color w:val="0000FF"/>
        </w:rPr>
      </w:pPr>
    </w:p>
    <w:p>
      <w:pPr>
        <w:ind w:left="1080" w:right="80" w:hanging="153"/>
        <w:spacing w:after="0" w:line="256"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rent payable for the Equipment and Lessee's right to use the Equipment shall begin on the earlier of (i) the date when the Lessee signs the Schedule and accepts the Equipment or (ii) when Lessee has accepted the Equipment under a Certificate of Acceptance ("</w:t>
      </w:r>
      <w:r>
        <w:rPr>
          <w:rFonts w:ascii="Arial" w:cs="Arial" w:eastAsia="Arial" w:hAnsi="Arial"/>
          <w:sz w:val="18"/>
          <w:szCs w:val="18"/>
          <w:b w:val="1"/>
          <w:bCs w:val="1"/>
          <w:color w:val="auto"/>
        </w:rPr>
        <w:t>Lease</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The term of this Agreement shall be the period specified in the applicable schedule. the word "term"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all basic and any renewal terms.</w:t>
      </w:r>
    </w:p>
    <w:p>
      <w:pPr>
        <w:spacing w:after="0" w:line="156" w:lineRule="exact"/>
        <w:rPr>
          <w:rFonts w:ascii="Arial" w:cs="Arial" w:eastAsia="Arial" w:hAnsi="Arial"/>
          <w:sz w:val="18"/>
          <w:szCs w:val="18"/>
          <w:color w:val="auto"/>
        </w:rPr>
      </w:pPr>
    </w:p>
    <w:p>
      <w:pPr>
        <w:ind w:left="1080" w:hanging="167"/>
        <w:spacing w:after="0" w:line="291" w:lineRule="auto"/>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Lessee shall pay rent to Lessor at its address stated above, except as otherwise directed by Lessor. Rent payments shall be in the amount set forth in, and due as stated in the applicable Schedule. If any Advance Rent (as stated in the Schedule) is payable, it shall be due when the Lessee signs the Schedule. Advance Rent shall be applied to the first rent payment and the balance, if any, to the final rent payment(s) under such Schedule. In no event shall any Advance Rent or any other rent payments be refunded to Lessee. If rent is not paid within ten (10) days of its due date, Lessee agrees to pay a late charge of five cents ($.05) per collar on, and in addition to, the amount of such rent but not exceeding the lawful maximum, if any.</w:t>
      </w:r>
    </w:p>
    <w:p>
      <w:pPr>
        <w:spacing w:after="0" w:line="127" w:lineRule="exact"/>
        <w:rPr>
          <w:rFonts w:ascii="Arial" w:cs="Arial" w:eastAsia="Arial" w:hAnsi="Arial"/>
          <w:sz w:val="16"/>
          <w:szCs w:val="16"/>
          <w:color w:val="auto"/>
        </w:rPr>
      </w:pPr>
    </w:p>
    <w:p>
      <w:pPr>
        <w:ind w:left="540" w:hanging="167"/>
        <w:spacing w:after="0"/>
        <w:tabs>
          <w:tab w:leader="none" w:pos="540" w:val="left"/>
        </w:tabs>
        <w:numPr>
          <w:ilvl w:val="0"/>
          <w:numId w:val="6"/>
        </w:numPr>
        <w:rPr>
          <w:rFonts w:ascii="Arial" w:cs="Arial" w:eastAsia="Arial" w:hAnsi="Arial"/>
          <w:sz w:val="18"/>
          <w:szCs w:val="18"/>
          <w:b w:val="1"/>
          <w:bCs w:val="1"/>
          <w:color w:val="0000FF"/>
        </w:rPr>
      </w:pPr>
      <w:r>
        <w:rPr>
          <w:rFonts w:ascii="Arial" w:cs="Arial" w:eastAsia="Arial" w:hAnsi="Arial"/>
          <w:sz w:val="18"/>
          <w:szCs w:val="18"/>
          <w:b w:val="1"/>
          <w:bCs w:val="1"/>
          <w:color w:val="0000FF"/>
        </w:rPr>
        <w:t>RENT ADJUSTMENT:</w:t>
      </w:r>
    </w:p>
    <w:p>
      <w:pPr>
        <w:spacing w:after="0" w:line="190" w:lineRule="exact"/>
        <w:rPr>
          <w:rFonts w:ascii="Arial" w:cs="Arial" w:eastAsia="Arial" w:hAnsi="Arial"/>
          <w:sz w:val="18"/>
          <w:szCs w:val="18"/>
          <w:b w:val="1"/>
          <w:bCs w:val="1"/>
          <w:color w:val="0000FF"/>
        </w:rPr>
      </w:pPr>
    </w:p>
    <w:p>
      <w:pPr>
        <w:ind w:left="1080" w:right="100" w:hanging="153"/>
        <w:spacing w:after="0" w:line="286" w:lineRule="auto"/>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solely as a result of Congressional enactment of any law (including, without limitation, any modification of, or amendment or addition to, the Internal Revenue Code of 1986, as amended, ("</w:t>
      </w:r>
      <w:r>
        <w:rPr>
          <w:rFonts w:ascii="Arial" w:cs="Arial" w:eastAsia="Arial" w:hAnsi="Arial"/>
          <w:sz w:val="16"/>
          <w:szCs w:val="16"/>
          <w:b w:val="1"/>
          <w:bCs w:val="1"/>
          <w:color w:val="auto"/>
        </w:rPr>
        <w:t>Code</w:t>
      </w:r>
      <w:r>
        <w:rPr>
          <w:rFonts w:ascii="Arial" w:cs="Arial" w:eastAsia="Arial" w:hAnsi="Arial"/>
          <w:sz w:val="16"/>
          <w:szCs w:val="16"/>
          <w:color w:val="auto"/>
        </w:rPr>
        <w:t>")), the maximum effective corporate income tax rate (exclusive of any minimum tax rate) for calendar-year taxpayers ("</w:t>
      </w:r>
      <w:r>
        <w:rPr>
          <w:rFonts w:ascii="Arial" w:cs="Arial" w:eastAsia="Arial" w:hAnsi="Arial"/>
          <w:sz w:val="16"/>
          <w:szCs w:val="16"/>
          <w:b w:val="1"/>
          <w:bCs w:val="1"/>
          <w:color w:val="auto"/>
        </w:rPr>
        <w:t>Effective Rate</w:t>
      </w:r>
      <w:r>
        <w:rPr>
          <w:rFonts w:ascii="Arial" w:cs="Arial" w:eastAsia="Arial" w:hAnsi="Arial"/>
          <w:sz w:val="16"/>
          <w:szCs w:val="16"/>
          <w:color w:val="auto"/>
        </w:rPr>
        <w:t>") is higher than thirty-five percent (35%) for any year during the lease term, then Lessor shall have the right to increase such rent payments in the year of effectiveness and thereafter annually for so long as the Effective Rate is greater than 35% by requiring payment of a single additional sum. The additional sum shall be equal to the product of (i) the Effective Rate (expressed as a decimal) for such year less .35 (or, in the event that any adjustment has been made hereunder for any previous year, the Effective Rate (expressed as a decimal) used in calculating the next previous adjustment) times (ii) the adjusted Termination Value (defined below), divided by (iii) the difference between the new Effective Rate (expressed as a decimal) and one (1). the adjusted Termination Value shall be the Termination Value calculated as of the first rent due in the year for which the adjustment is being made) minus the Tax Benefits that would be allowable under Section 168 of the Code (as of the first day of the year for which such adjustment is being made and all future years of the lease term). The Termination Values and Tax Benefits are defined on the Schedule. Lessee shall pay to Lessor the full amount of the additional rent payment on the later of (i) receipt of notice or (ii) the first day of the year for which such adjustment is being made.</w:t>
      </w:r>
    </w:p>
    <w:p>
      <w:pPr>
        <w:spacing w:after="0" w:line="134" w:lineRule="exact"/>
        <w:rPr>
          <w:rFonts w:ascii="Arial" w:cs="Arial" w:eastAsia="Arial" w:hAnsi="Arial"/>
          <w:sz w:val="16"/>
          <w:szCs w:val="16"/>
          <w:color w:val="auto"/>
        </w:rPr>
      </w:pPr>
    </w:p>
    <w:p>
      <w:pPr>
        <w:ind w:left="1080" w:hanging="167"/>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Lessee's obligations under this Section 3 shall survive any expiration or termination of this Agreement.</w:t>
      </w:r>
    </w:p>
    <w:p>
      <w:pPr>
        <w:spacing w:after="0" w:line="178" w:lineRule="exact"/>
        <w:rPr>
          <w:rFonts w:ascii="Arial" w:cs="Arial" w:eastAsia="Arial" w:hAnsi="Arial"/>
          <w:sz w:val="18"/>
          <w:szCs w:val="18"/>
          <w:color w:val="auto"/>
        </w:rPr>
      </w:pPr>
    </w:p>
    <w:p>
      <w:pPr>
        <w:ind w:left="540" w:hanging="167"/>
        <w:spacing w:after="0"/>
        <w:tabs>
          <w:tab w:leader="none" w:pos="540" w:val="left"/>
        </w:tabs>
        <w:numPr>
          <w:ilvl w:val="0"/>
          <w:numId w:val="6"/>
        </w:numPr>
        <w:rPr>
          <w:rFonts w:ascii="Arial" w:cs="Arial" w:eastAsia="Arial" w:hAnsi="Arial"/>
          <w:sz w:val="18"/>
          <w:szCs w:val="18"/>
          <w:b w:val="1"/>
          <w:bCs w:val="1"/>
          <w:color w:val="0000FF"/>
        </w:rPr>
      </w:pPr>
      <w:r>
        <w:rPr>
          <w:rFonts w:ascii="Arial" w:cs="Arial" w:eastAsia="Arial" w:hAnsi="Arial"/>
          <w:sz w:val="18"/>
          <w:szCs w:val="18"/>
          <w:b w:val="1"/>
          <w:bCs w:val="1"/>
          <w:color w:val="0000FF"/>
        </w:rPr>
        <w:t>TAXES:</w:t>
      </w:r>
    </w:p>
    <w:p>
      <w:pPr>
        <w:spacing w:after="0" w:line="190" w:lineRule="exact"/>
        <w:rPr>
          <w:rFonts w:ascii="Arial" w:cs="Arial" w:eastAsia="Arial" w:hAnsi="Arial"/>
          <w:sz w:val="18"/>
          <w:szCs w:val="18"/>
          <w:b w:val="1"/>
          <w:bCs w:val="1"/>
          <w:color w:val="0000FF"/>
        </w:rPr>
      </w:pPr>
    </w:p>
    <w:p>
      <w:pPr>
        <w:ind w:left="1080" w:right="40" w:hanging="153"/>
        <w:spacing w:after="0" w:line="287" w:lineRule="auto"/>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permitted by law, Lessee shall report and pay promptly all taxes, fees and assessments due, imposed, assessed or levied against any Equipment (or purchase, ownership, delivery, leasing, possession, use or operation thereof), this Agreement (or any rents or receipts hereunder), any Schedule, Lessor or Lessee by any governmental entity or taxing authority during or related to the term of this Agreement, including, without limitation, all license and registration fees, and by all sales, use, personal property, excise, gross receipts, franchise, stamp or other taxes, imposts, duties and charges, together with any penalties, fines or interest thereon (collectively "</w:t>
      </w:r>
      <w:r>
        <w:rPr>
          <w:rFonts w:ascii="Arial" w:cs="Arial" w:eastAsia="Arial" w:hAnsi="Arial"/>
          <w:sz w:val="16"/>
          <w:szCs w:val="16"/>
          <w:b w:val="1"/>
          <w:bCs w:val="1"/>
          <w:color w:val="auto"/>
        </w:rPr>
        <w:t>Taxes</w:t>
      </w:r>
      <w:r>
        <w:rPr>
          <w:rFonts w:ascii="Arial" w:cs="Arial" w:eastAsia="Arial" w:hAnsi="Arial"/>
          <w:sz w:val="16"/>
          <w:szCs w:val="16"/>
          <w:color w:val="auto"/>
        </w:rPr>
        <w:t>"). Lessee shall have no liability for Taxes imposed by the United States of America or any state or political subdivision thereof which are on or measured by the net income of Lessor except as provided in Sections 3 and 14(c). Lessee shall promptly reimburse Lessor (on an after tax basis) for any Taxes charges to or assessed against lessor following delivery of the documentation of such charges or assessments. Lessee shall show Lessor as the owner of the Equipment on all tax reports or returns, and send Lessor a copy of each report or return and evidence of lessee's payment of Taxes upon request.</w:t>
      </w:r>
    </w:p>
    <w:p>
      <w:pPr>
        <w:spacing w:after="0" w:line="136" w:lineRule="exact"/>
        <w:rPr>
          <w:rFonts w:ascii="Arial" w:cs="Arial" w:eastAsia="Arial" w:hAnsi="Arial"/>
          <w:sz w:val="16"/>
          <w:szCs w:val="16"/>
          <w:color w:val="auto"/>
        </w:rPr>
      </w:pPr>
    </w:p>
    <w:p>
      <w:pPr>
        <w:ind w:left="1080" w:right="120" w:hanging="167"/>
        <w:spacing w:after="0" w:line="268"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Lessee's obligations, and Lessor's rights and privileges, contained in this Section 4 shall survive the expiration or other termination of this Agreement.</w:t>
      </w:r>
    </w:p>
    <w:p>
      <w:pPr>
        <w:spacing w:after="0" w:line="139" w:lineRule="exact"/>
        <w:rPr>
          <w:rFonts w:ascii="Arial" w:cs="Arial" w:eastAsia="Arial" w:hAnsi="Arial"/>
          <w:sz w:val="18"/>
          <w:szCs w:val="18"/>
          <w:color w:val="auto"/>
        </w:rPr>
      </w:pPr>
    </w:p>
    <w:p>
      <w:pPr>
        <w:ind w:left="540" w:hanging="167"/>
        <w:spacing w:after="0"/>
        <w:tabs>
          <w:tab w:leader="none" w:pos="540" w:val="left"/>
        </w:tabs>
        <w:numPr>
          <w:ilvl w:val="0"/>
          <w:numId w:val="6"/>
        </w:numPr>
        <w:rPr>
          <w:rFonts w:ascii="Arial" w:cs="Arial" w:eastAsia="Arial" w:hAnsi="Arial"/>
          <w:sz w:val="18"/>
          <w:szCs w:val="18"/>
          <w:b w:val="1"/>
          <w:bCs w:val="1"/>
          <w:color w:val="0000FF"/>
        </w:rPr>
      </w:pPr>
      <w:r>
        <w:rPr>
          <w:rFonts w:ascii="Arial" w:cs="Arial" w:eastAsia="Arial" w:hAnsi="Arial"/>
          <w:sz w:val="18"/>
          <w:szCs w:val="18"/>
          <w:b w:val="1"/>
          <w:bCs w:val="1"/>
          <w:color w:val="0000FF"/>
        </w:rPr>
        <w:t>REPORTS:</w:t>
      </w:r>
    </w:p>
    <w:p>
      <w:pPr>
        <w:spacing w:after="0" w:line="190" w:lineRule="exact"/>
        <w:rPr>
          <w:rFonts w:ascii="Arial" w:cs="Arial" w:eastAsia="Arial" w:hAnsi="Arial"/>
          <w:sz w:val="18"/>
          <w:szCs w:val="18"/>
          <w:b w:val="1"/>
          <w:bCs w:val="1"/>
          <w:color w:val="0000FF"/>
        </w:rPr>
      </w:pPr>
    </w:p>
    <w:p>
      <w:pPr>
        <w:ind w:left="1080" w:right="200" w:hanging="153"/>
        <w:spacing w:after="0" w:line="259"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any tax or other lien shall attach to any Equipment, Lessee will notify Lessor in writing, within ten business (10) days after Lessee becomes aware of the tax or lien. The notice shall include the full particulars of the tax or lien and the location of such Equipment on the date of the notice.</w:t>
      </w:r>
    </w:p>
    <w:p>
      <w:pPr>
        <w:spacing w:after="0" w:line="153" w:lineRule="exact"/>
        <w:rPr>
          <w:rFonts w:ascii="Arial" w:cs="Arial" w:eastAsia="Arial" w:hAnsi="Arial"/>
          <w:sz w:val="18"/>
          <w:szCs w:val="18"/>
          <w:color w:val="auto"/>
        </w:rPr>
      </w:pPr>
    </w:p>
    <w:p>
      <w:pPr>
        <w:ind w:left="1080" w:right="140" w:hanging="167"/>
        <w:spacing w:after="0" w:line="332" w:lineRule="auto"/>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Lessee will deliver to Lessor, Lessee's complete financial statements, certified by a recognized firm of certified public accountants within ninety (90) days of the close of each fiscal year of Lessee. If not otherwise delivered hereunder, Lessee will deliver to Lessor copies of</w:t>
      </w:r>
    </w:p>
    <w:p>
      <w:pPr>
        <w:sectPr>
          <w:pgSz w:w="11900" w:h="16838" w:orient="portrait"/>
          <w:cols w:equalWidth="0" w:num="1">
            <w:col w:w="10880"/>
          </w:cols>
          <w:pgMar w:left="780" w:top="131" w:right="239" w:bottom="0" w:gutter="0" w:footer="0" w:header="0"/>
        </w:sectPr>
      </w:pPr>
    </w:p>
    <w:bookmarkStart w:id="17" w:name="page18"/>
    <w:bookmarkEnd w:id="17"/>
    <w:p>
      <w:pPr>
        <w:jc w:val="both"/>
        <w:ind w:left="780" w:right="460"/>
        <w:spacing w:after="0" w:line="259" w:lineRule="auto"/>
        <w:rPr>
          <w:sz w:val="20"/>
          <w:szCs w:val="20"/>
          <w:color w:val="auto"/>
        </w:rPr>
      </w:pPr>
      <w:r>
        <w:rPr>
          <w:rFonts w:ascii="Arial" w:cs="Arial" w:eastAsia="Arial" w:hAnsi="Arial"/>
          <w:sz w:val="18"/>
          <w:szCs w:val="18"/>
          <w:color w:val="auto"/>
        </w:rPr>
        <w:t>Lessee's quarterly financial report certified by the chief financial officer of Lessee, within ninety (90) days of the close of each fiscal quarter of Lessee. Lessee will deliver to Lessor all Forms 10-K and 10-Q, if any, filed with the Securities and Exchange Commission within thirty (30) days after the date on which they are filed.</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 Lessor may inspect any Equipment during normal business hours after giving Lessee reasonable prior notice.</w:t>
      </w:r>
    </w:p>
    <w:p>
      <w:pPr>
        <w:spacing w:after="0" w:line="185" w:lineRule="exact"/>
        <w:rPr>
          <w:sz w:val="20"/>
          <w:szCs w:val="20"/>
          <w:color w:val="auto"/>
        </w:rPr>
      </w:pPr>
    </w:p>
    <w:p>
      <w:pPr>
        <w:ind w:left="780" w:right="80" w:hanging="174"/>
        <w:spacing w:after="0" w:line="332" w:lineRule="auto"/>
        <w:rPr>
          <w:sz w:val="20"/>
          <w:szCs w:val="20"/>
          <w:color w:val="auto"/>
        </w:rPr>
      </w:pPr>
      <w:r>
        <w:rPr>
          <w:rFonts w:ascii="Arial" w:cs="Arial" w:eastAsia="Arial" w:hAnsi="Arial"/>
          <w:sz w:val="16"/>
          <w:szCs w:val="16"/>
          <w:color w:val="auto"/>
        </w:rPr>
        <w:t>d. Lessee will not move any equipment form the location specified on the Schedule, without the prior written consent of lessor, which consent will not be unreasonably withheld. If Lessor asks, Lessee will promptly notify Lessor in writing of the location of any Equipment.</w:t>
      </w:r>
    </w:p>
    <w:p>
      <w:pPr>
        <w:spacing w:after="0" w:line="99" w:lineRule="exact"/>
        <w:rPr>
          <w:sz w:val="20"/>
          <w:szCs w:val="20"/>
          <w:color w:val="auto"/>
        </w:rPr>
      </w:pPr>
    </w:p>
    <w:p>
      <w:pPr>
        <w:ind w:left="780" w:right="120" w:hanging="161"/>
        <w:spacing w:after="0" w:line="259" w:lineRule="auto"/>
        <w:rPr>
          <w:sz w:val="20"/>
          <w:szCs w:val="20"/>
          <w:color w:val="auto"/>
        </w:rPr>
      </w:pPr>
      <w:r>
        <w:rPr>
          <w:rFonts w:ascii="Arial" w:cs="Arial" w:eastAsia="Arial" w:hAnsi="Arial"/>
          <w:sz w:val="18"/>
          <w:szCs w:val="18"/>
          <w:color w:val="auto"/>
        </w:rPr>
        <w:t>e. If any Equipment is lost or damaged (where the estimated repair costs would exceed the greater often percent (10%) of the original Equipment cost or ten thousand and 00/100 dollars ($10,000)), or is otherwise involved in an accident causing personal injury or property damage, Lessee will promptly and fully report the event to Lessor in writing.</w:t>
      </w:r>
    </w:p>
    <w:p>
      <w:pPr>
        <w:spacing w:after="0" w:line="154" w:lineRule="exact"/>
        <w:rPr>
          <w:sz w:val="20"/>
          <w:szCs w:val="20"/>
          <w:color w:val="auto"/>
        </w:rPr>
      </w:pPr>
    </w:p>
    <w:p>
      <w:pPr>
        <w:jc w:val="right"/>
        <w:ind w:left="640" w:right="180"/>
        <w:spacing w:after="0" w:line="305" w:lineRule="auto"/>
        <w:rPr>
          <w:sz w:val="20"/>
          <w:szCs w:val="20"/>
          <w:color w:val="auto"/>
        </w:rPr>
      </w:pPr>
      <w:r>
        <w:rPr>
          <w:rFonts w:ascii="Arial" w:cs="Arial" w:eastAsia="Arial" w:hAnsi="Arial"/>
          <w:sz w:val="15"/>
          <w:szCs w:val="15"/>
          <w:color w:val="auto"/>
        </w:rPr>
        <w:t>f. Lessee will furnish a certificate of an authorized officer of Lessee stating that he has reviewed the activities of lessee and that, to the best of his knowledge, there exists no default or event which with notice or lapse of time (or both) would become such a default within thirty</w:t>
      </w:r>
    </w:p>
    <w:p>
      <w:pPr>
        <w:ind w:left="780"/>
        <w:spacing w:after="0"/>
        <w:rPr>
          <w:sz w:val="20"/>
          <w:szCs w:val="20"/>
          <w:color w:val="auto"/>
        </w:rPr>
      </w:pPr>
      <w:r>
        <w:rPr>
          <w:rFonts w:ascii="Arial" w:cs="Arial" w:eastAsia="Arial" w:hAnsi="Arial"/>
          <w:sz w:val="18"/>
          <w:szCs w:val="18"/>
          <w:color w:val="auto"/>
        </w:rPr>
        <w:t>(30) days after any request by Lessor; provided that such request shall not exceed more than once per calendar quarter.</w:t>
      </w:r>
    </w:p>
    <w:p>
      <w:pPr>
        <w:spacing w:after="0" w:line="172" w:lineRule="exact"/>
        <w:rPr>
          <w:sz w:val="20"/>
          <w:szCs w:val="20"/>
          <w:color w:val="auto"/>
        </w:rPr>
      </w:pPr>
    </w:p>
    <w:p>
      <w:pPr>
        <w:ind w:left="240" w:hanging="167"/>
        <w:spacing w:after="0"/>
        <w:tabs>
          <w:tab w:leader="none" w:pos="240" w:val="left"/>
        </w:tabs>
        <w:numPr>
          <w:ilvl w:val="0"/>
          <w:numId w:val="7"/>
        </w:numPr>
        <w:rPr>
          <w:rFonts w:ascii="Arial" w:cs="Arial" w:eastAsia="Arial" w:hAnsi="Arial"/>
          <w:sz w:val="18"/>
          <w:szCs w:val="18"/>
          <w:b w:val="1"/>
          <w:bCs w:val="1"/>
          <w:color w:val="0000FF"/>
        </w:rPr>
      </w:pPr>
      <w:r>
        <w:rPr>
          <w:rFonts w:ascii="Arial" w:cs="Arial" w:eastAsia="Arial" w:hAnsi="Arial"/>
          <w:sz w:val="18"/>
          <w:szCs w:val="18"/>
          <w:b w:val="1"/>
          <w:bCs w:val="1"/>
          <w:color w:val="0000FF"/>
        </w:rPr>
        <w:t>DELIVERY, USE AND OPERATION:</w:t>
      </w:r>
    </w:p>
    <w:p>
      <w:pPr>
        <w:spacing w:after="0" w:line="190" w:lineRule="exact"/>
        <w:rPr>
          <w:rFonts w:ascii="Arial" w:cs="Arial" w:eastAsia="Arial" w:hAnsi="Arial"/>
          <w:sz w:val="18"/>
          <w:szCs w:val="18"/>
          <w:b w:val="1"/>
          <w:bCs w:val="1"/>
          <w:color w:val="0000FF"/>
        </w:rPr>
      </w:pPr>
    </w:p>
    <w:p>
      <w:pPr>
        <w:ind w:left="780" w:hanging="153"/>
        <w:spacing w:after="0"/>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Equipment shall be shipped directly from the Supplier to Lessee.</w:t>
      </w:r>
    </w:p>
    <w:p>
      <w:pPr>
        <w:spacing w:after="0" w:line="184" w:lineRule="exact"/>
        <w:rPr>
          <w:rFonts w:ascii="Arial" w:cs="Arial" w:eastAsia="Arial" w:hAnsi="Arial"/>
          <w:sz w:val="18"/>
          <w:szCs w:val="18"/>
          <w:color w:val="auto"/>
        </w:rPr>
      </w:pPr>
    </w:p>
    <w:p>
      <w:pPr>
        <w:ind w:left="780" w:right="20" w:hanging="167"/>
        <w:spacing w:after="0" w:line="268"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lessee agrees that the Equipment will be used by Lessee solely in the conduct of its business and in a manner complying with all applicable laws, regulations and insurance policies;</w:t>
      </w:r>
    </w:p>
    <w:p>
      <w:pPr>
        <w:spacing w:after="0" w:line="145" w:lineRule="exact"/>
        <w:rPr>
          <w:rFonts w:ascii="Arial" w:cs="Arial" w:eastAsia="Arial" w:hAnsi="Arial"/>
          <w:sz w:val="18"/>
          <w:szCs w:val="18"/>
          <w:color w:val="auto"/>
        </w:rPr>
      </w:pPr>
    </w:p>
    <w:p>
      <w:pPr>
        <w:ind w:left="780" w:right="560" w:hanging="153"/>
        <w:spacing w:after="0" w:line="268"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Lessee will not move any equipment form the location specified on the Schedule, without the prior written consent of Lessor which consent will not be unreasonably withheld.</w:t>
      </w:r>
    </w:p>
    <w:p>
      <w:pPr>
        <w:spacing w:after="0" w:line="145" w:lineRule="exact"/>
        <w:rPr>
          <w:rFonts w:ascii="Arial" w:cs="Arial" w:eastAsia="Arial" w:hAnsi="Arial"/>
          <w:sz w:val="18"/>
          <w:szCs w:val="18"/>
          <w:color w:val="auto"/>
        </w:rPr>
      </w:pPr>
    </w:p>
    <w:p>
      <w:pPr>
        <w:ind w:left="780" w:hanging="167"/>
        <w:spacing w:after="0"/>
        <w:tabs>
          <w:tab w:leader="none" w:pos="780" w:val="left"/>
        </w:tabs>
        <w:numPr>
          <w:ilvl w:val="1"/>
          <w:numId w:val="7"/>
        </w:numPr>
        <w:rPr>
          <w:rFonts w:ascii="Arial" w:cs="Arial" w:eastAsia="Arial" w:hAnsi="Arial"/>
          <w:sz w:val="16"/>
          <w:szCs w:val="16"/>
          <w:color w:val="auto"/>
        </w:rPr>
      </w:pPr>
      <w:r>
        <w:rPr>
          <w:rFonts w:ascii="Arial" w:cs="Arial" w:eastAsia="Arial" w:hAnsi="Arial"/>
          <w:sz w:val="16"/>
          <w:szCs w:val="16"/>
          <w:color w:val="auto"/>
        </w:rPr>
        <w:t>Lessee will keep the Equipment free and clear of all liens and encumbrances other than those which result form acts of Lessor.</w:t>
      </w:r>
    </w:p>
    <w:p>
      <w:pPr>
        <w:spacing w:after="0" w:line="207" w:lineRule="exact"/>
        <w:rPr>
          <w:rFonts w:ascii="Arial" w:cs="Arial" w:eastAsia="Arial" w:hAnsi="Arial"/>
          <w:sz w:val="16"/>
          <w:szCs w:val="16"/>
          <w:color w:val="auto"/>
        </w:rPr>
      </w:pPr>
    </w:p>
    <w:p>
      <w:pPr>
        <w:ind w:left="780" w:right="200" w:hanging="153"/>
        <w:spacing w:after="0" w:line="268"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Lessor shall not disturb Lessee's quiet enjoyment of the Equipment during the term of the Agreement unless defaults has occurred and is continuing under this Agreement.</w:t>
      </w:r>
    </w:p>
    <w:p>
      <w:pPr>
        <w:spacing w:after="0" w:line="139" w:lineRule="exact"/>
        <w:rPr>
          <w:rFonts w:ascii="Arial" w:cs="Arial" w:eastAsia="Arial" w:hAnsi="Arial"/>
          <w:sz w:val="18"/>
          <w:szCs w:val="18"/>
          <w:color w:val="auto"/>
        </w:rPr>
      </w:pPr>
    </w:p>
    <w:p>
      <w:pPr>
        <w:ind w:left="240" w:hanging="167"/>
        <w:spacing w:after="0"/>
        <w:tabs>
          <w:tab w:leader="none" w:pos="240" w:val="left"/>
        </w:tabs>
        <w:numPr>
          <w:ilvl w:val="0"/>
          <w:numId w:val="7"/>
        </w:numPr>
        <w:rPr>
          <w:rFonts w:ascii="Arial" w:cs="Arial" w:eastAsia="Arial" w:hAnsi="Arial"/>
          <w:sz w:val="18"/>
          <w:szCs w:val="18"/>
          <w:b w:val="1"/>
          <w:bCs w:val="1"/>
          <w:color w:val="0000FF"/>
        </w:rPr>
      </w:pPr>
      <w:r>
        <w:rPr>
          <w:rFonts w:ascii="Arial" w:cs="Arial" w:eastAsia="Arial" w:hAnsi="Arial"/>
          <w:sz w:val="18"/>
          <w:szCs w:val="18"/>
          <w:b w:val="1"/>
          <w:bCs w:val="1"/>
          <w:color w:val="0000FF"/>
        </w:rPr>
        <w:t>MAINTENANCE:</w:t>
      </w:r>
    </w:p>
    <w:p>
      <w:pPr>
        <w:spacing w:after="0" w:line="190" w:lineRule="exact"/>
        <w:rPr>
          <w:rFonts w:ascii="Arial" w:cs="Arial" w:eastAsia="Arial" w:hAnsi="Arial"/>
          <w:sz w:val="18"/>
          <w:szCs w:val="18"/>
          <w:b w:val="1"/>
          <w:bCs w:val="1"/>
          <w:color w:val="0000FF"/>
        </w:rPr>
      </w:pPr>
    </w:p>
    <w:p>
      <w:pPr>
        <w:ind w:left="780" w:hanging="153"/>
        <w:spacing w:after="0" w:line="255"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Lessee will, at its sole expense, maintain each unit of Equipment in good operating order and repair, normal wear and tear excepted. The Lessee shall also maintain the Equipment in accordance with manufacturer's specifications. Lessee shall make all alterations or modifications required for Equipment to comply with any applicable law, rule or regulation during the term of this Agreement. If Lessor requests, Lessee shall affix plates, tags or other identifying labels showing ownership thereof by Lessor. The tax or labels shall be placed in a prominent position on each unit of Equipment.</w:t>
      </w:r>
    </w:p>
    <w:p>
      <w:pPr>
        <w:spacing w:after="0" w:line="156" w:lineRule="exact"/>
        <w:rPr>
          <w:rFonts w:ascii="Arial" w:cs="Arial" w:eastAsia="Arial" w:hAnsi="Arial"/>
          <w:sz w:val="18"/>
          <w:szCs w:val="18"/>
          <w:color w:val="auto"/>
        </w:rPr>
      </w:pPr>
    </w:p>
    <w:p>
      <w:pPr>
        <w:ind w:left="780" w:right="20" w:hanging="167"/>
        <w:spacing w:after="0" w:line="253"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Lessee will not attach or install anything on any Equipment that will impair the originally intended function or use of such Equipment without the prior written consent of Lessor. All additions, parts, supplies, accessories, and equipment ("</w:t>
      </w:r>
      <w:r>
        <w:rPr>
          <w:rFonts w:ascii="Arial" w:cs="Arial" w:eastAsia="Arial" w:hAnsi="Arial"/>
          <w:sz w:val="18"/>
          <w:szCs w:val="18"/>
          <w:b w:val="1"/>
          <w:bCs w:val="1"/>
          <w:color w:val="auto"/>
        </w:rPr>
        <w:t>Additions</w:t>
      </w:r>
      <w:r>
        <w:rPr>
          <w:rFonts w:ascii="Arial" w:cs="Arial" w:eastAsia="Arial" w:hAnsi="Arial"/>
          <w:sz w:val="18"/>
          <w:szCs w:val="18"/>
          <w:color w:val="auto"/>
        </w:rPr>
        <w:t>") furnished or attached to any Equipment that are not readily removable shall become the property of Lessor. All Additions shall be made only in compliance with applicable law. Lessee without attach or install any Equipment to or in any other personal or real property without the prior written consent of lessor, unless Lessee ensures that the Equipment that is attached or installed to other personal or real property will not be deemed a fixture, accession or attachment and will be able to be readily installed/unattached without impairing the original value or function of the Equipment.</w:t>
      </w:r>
    </w:p>
    <w:p>
      <w:pPr>
        <w:spacing w:after="0" w:line="154" w:lineRule="exact"/>
        <w:rPr>
          <w:rFonts w:ascii="Arial" w:cs="Arial" w:eastAsia="Arial" w:hAnsi="Arial"/>
          <w:sz w:val="18"/>
          <w:szCs w:val="18"/>
          <w:color w:val="auto"/>
        </w:rPr>
      </w:pPr>
    </w:p>
    <w:p>
      <w:pPr>
        <w:ind w:left="240" w:right="80" w:hanging="167"/>
        <w:spacing w:after="0" w:line="320" w:lineRule="auto"/>
        <w:tabs>
          <w:tab w:leader="none" w:pos="24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STIPULATED LOSS VALUE: </w:t>
      </w:r>
      <w:r>
        <w:rPr>
          <w:rFonts w:ascii="Arial" w:cs="Arial" w:eastAsia="Arial" w:hAnsi="Arial"/>
          <w:sz w:val="15"/>
          <w:szCs w:val="15"/>
          <w:color w:val="auto"/>
        </w:rPr>
        <w:t>If for any reason any unit of Equipment becomes worn out, lost, stolen, destroyed, irreparably damaged or</w:t>
      </w:r>
      <w:r>
        <w:rPr>
          <w:rFonts w:ascii="Arial" w:cs="Arial" w:eastAsia="Arial" w:hAnsi="Arial"/>
          <w:sz w:val="15"/>
          <w:szCs w:val="15"/>
          <w:b w:val="1"/>
          <w:bCs w:val="1"/>
          <w:color w:val="auto"/>
        </w:rPr>
        <w:t xml:space="preserve"> </w:t>
      </w:r>
      <w:r>
        <w:rPr>
          <w:rFonts w:ascii="Arial" w:cs="Arial" w:eastAsia="Arial" w:hAnsi="Arial"/>
          <w:sz w:val="15"/>
          <w:szCs w:val="15"/>
          <w:color w:val="auto"/>
        </w:rPr>
        <w:t>unusable ("</w:t>
      </w:r>
      <w:r>
        <w:rPr>
          <w:rFonts w:ascii="Arial" w:cs="Arial" w:eastAsia="Arial" w:hAnsi="Arial"/>
          <w:sz w:val="15"/>
          <w:szCs w:val="15"/>
          <w:b w:val="1"/>
          <w:bCs w:val="1"/>
          <w:color w:val="auto"/>
        </w:rPr>
        <w:t>Casualty Occurrences</w:t>
      </w:r>
      <w:r>
        <w:rPr>
          <w:rFonts w:ascii="Arial" w:cs="Arial" w:eastAsia="Arial" w:hAnsi="Arial"/>
          <w:sz w:val="15"/>
          <w:szCs w:val="15"/>
          <w:color w:val="auto"/>
        </w:rPr>
        <w:t>") lessee shall promptly and fully notify Lessor in writing. Lessee shall pay Lessor the sum of (i) the Stipulated Loss Value (see Schedule) of the affected unit determined as of the rent payment date prior to the Casualty Occurrence; and (ii) all rent and other amounts which are then due under this Agreement on the Payment Date (defined below) for the affected unit. The Payment Date shall be the next rent payment date after the Casualty Occurrence. Upon Payment of all sums due hereunder, the term of this lease as to such unit shall terminate.</w:t>
      </w:r>
    </w:p>
    <w:p>
      <w:pPr>
        <w:spacing w:after="0" w:line="106" w:lineRule="exact"/>
        <w:rPr>
          <w:rFonts w:ascii="Arial" w:cs="Arial" w:eastAsia="Arial" w:hAnsi="Arial"/>
          <w:sz w:val="15"/>
          <w:szCs w:val="15"/>
          <w:color w:val="auto"/>
        </w:rPr>
      </w:pPr>
    </w:p>
    <w:p>
      <w:pPr>
        <w:ind w:left="240" w:hanging="167"/>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90" w:lineRule="exact"/>
        <w:rPr>
          <w:rFonts w:ascii="Arial" w:cs="Arial" w:eastAsia="Arial" w:hAnsi="Arial"/>
          <w:sz w:val="18"/>
          <w:szCs w:val="18"/>
          <w:b w:val="1"/>
          <w:bCs w:val="1"/>
          <w:color w:val="auto"/>
        </w:rPr>
      </w:pPr>
    </w:p>
    <w:p>
      <w:pPr>
        <w:ind w:left="780" w:right="40" w:hanging="153"/>
        <w:spacing w:after="0" w:line="268"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Lessee shall bear the entire risk of any loss, theft, damage to, or destruction of, any unit of Equipment from any cause whatsoever from the time the Equipment is shipped to Lessee.</w:t>
      </w:r>
    </w:p>
    <w:p>
      <w:pPr>
        <w:spacing w:after="0" w:line="145" w:lineRule="exact"/>
        <w:rPr>
          <w:rFonts w:ascii="Arial" w:cs="Arial" w:eastAsia="Arial" w:hAnsi="Arial"/>
          <w:sz w:val="18"/>
          <w:szCs w:val="18"/>
          <w:color w:val="auto"/>
        </w:rPr>
      </w:pPr>
    </w:p>
    <w:p>
      <w:pPr>
        <w:ind w:left="780" w:right="120" w:hanging="167"/>
        <w:spacing w:after="0" w:line="309" w:lineRule="auto"/>
        <w:tabs>
          <w:tab w:leader="none" w:pos="780" w:val="left"/>
        </w:tabs>
        <w:numPr>
          <w:ilvl w:val="1"/>
          <w:numId w:val="7"/>
        </w:numPr>
        <w:rPr>
          <w:rFonts w:ascii="Arial" w:cs="Arial" w:eastAsia="Arial" w:hAnsi="Arial"/>
          <w:sz w:val="15"/>
          <w:szCs w:val="15"/>
          <w:color w:val="auto"/>
        </w:rPr>
      </w:pPr>
      <w:r>
        <w:rPr>
          <w:rFonts w:ascii="Arial" w:cs="Arial" w:eastAsia="Arial" w:hAnsi="Arial"/>
          <w:sz w:val="15"/>
          <w:szCs w:val="15"/>
          <w:color w:val="auto"/>
        </w:rPr>
        <w:t>Lessee agrees, at its own expense, to keep all Equipment insured for such amounts and against such hazards as Lessor may reasonably required. All such policies shall be with companies, and on terms, reasonably satisfactory to Lessor. The insurance shall include coverage for damage to or loss of the Equipment, liability for personal injuries, death or property damage. Lessor shall be named as additional insured with a loss payable clause in favor of Lessor, as its interest may appear, irrespective of any breach of warranty or other act or omission of Lessee. The insurance shall provide for liability coverage in an amount equal to at least One Million U.S. Dollars ($1,000,000.00) total liability per occurrence unless otherwise stated in any schedule. The casualty/property damage coverage shall be in an amount equal to the higher of the Stipulated Loss Value or the full replacement cost of the Equipment. No insurance shall be subject to an y co-insurance clause. The insurance policies shall provide that the insurance may not be altered or canceled by the insurer until after thirty (30) days written notice to Lessor. Lessee agrees to deliver to Lessor evidence of insurance reasonably satisfactory to lessor.</w:t>
      </w:r>
    </w:p>
    <w:p>
      <w:pPr>
        <w:spacing w:after="0" w:line="121" w:lineRule="exact"/>
        <w:rPr>
          <w:rFonts w:ascii="Arial" w:cs="Arial" w:eastAsia="Arial" w:hAnsi="Arial"/>
          <w:sz w:val="15"/>
          <w:szCs w:val="15"/>
          <w:color w:val="auto"/>
        </w:rPr>
      </w:pPr>
    </w:p>
    <w:p>
      <w:pPr>
        <w:ind w:left="780" w:right="140" w:hanging="153"/>
        <w:spacing w:after="0" w:line="290" w:lineRule="auto"/>
        <w:tabs>
          <w:tab w:leader="none" w:pos="780" w:val="left"/>
        </w:tabs>
        <w:numPr>
          <w:ilvl w:val="1"/>
          <w:numId w:val="7"/>
        </w:numPr>
        <w:rPr>
          <w:rFonts w:ascii="Arial" w:cs="Arial" w:eastAsia="Arial" w:hAnsi="Arial"/>
          <w:sz w:val="16"/>
          <w:szCs w:val="16"/>
          <w:color w:val="auto"/>
        </w:rPr>
      </w:pPr>
      <w:r>
        <w:rPr>
          <w:rFonts w:ascii="Arial" w:cs="Arial" w:eastAsia="Arial" w:hAnsi="Arial"/>
          <w:sz w:val="16"/>
          <w:szCs w:val="16"/>
          <w:color w:val="auto"/>
        </w:rPr>
        <w:t>Lessee hereby appoints Lessor as Lessee's attorney-in- fact to make proof of loss and claim for insurance, and to make adjustment with insurers and to receive payment of and execute or endorse all documents, checks or drafts in connection with insurance payments. Lessor shall not act as lessee's attorney-in-fact unless Lessee is in default. Lessee shall pay any reasonable expenses of Lessor in adjusting or collecting insurance. Lessee will not make adjustment with insurers except with respect to claims for damage to any unit of Equipment where the repair costs are less than the lesser often percent (10%) of the original Equipment cost or ten thousand and 00/100 dollars ($10,000). Lessor may, at its option, apply proceeds of insurance, in whole or in part, to (i) repair or replace Equipment or any portion thereof, or (ii) satisfy any obligation of Lessee to Lessor under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RETURN OF EQUIPMENT:</w:t>
      </w:r>
    </w:p>
    <w:p>
      <w:pPr>
        <w:sectPr>
          <w:pgSz w:w="11900" w:h="16838" w:orient="portrait"/>
          <w:cols w:equalWidth="0" w:num="1">
            <w:col w:w="10580"/>
          </w:cols>
          <w:pgMar w:left="1080" w:top="131" w:right="239" w:bottom="73" w:gutter="0" w:footer="0" w:header="0"/>
        </w:sectPr>
      </w:pPr>
    </w:p>
    <w:bookmarkStart w:id="18" w:name="page19"/>
    <w:bookmarkEnd w:id="18"/>
    <w:p>
      <w:pPr>
        <w:ind w:left="788" w:hanging="161"/>
        <w:spacing w:after="0" w:line="286" w:lineRule="auto"/>
        <w:rPr>
          <w:sz w:val="20"/>
          <w:szCs w:val="20"/>
          <w:color w:val="auto"/>
        </w:rPr>
      </w:pPr>
      <w:r>
        <w:rPr>
          <w:rFonts w:ascii="Arial" w:cs="Arial" w:eastAsia="Arial" w:hAnsi="Arial"/>
          <w:sz w:val="16"/>
          <w:szCs w:val="16"/>
          <w:color w:val="auto"/>
        </w:rPr>
        <w:t>a. At the expiration or termination of this Agreement or any Schedule, Lessee shall perform any testing and repairs required to place the units of Equipment in the same condition and appearance as when received by Lessee (reasonable wear and tear excepted) and in good working order for the original intended purpose of the Equipment. If required the units or Equipment shall be deinstalled, disassembled and crate by an authorized manufacturer's representative or such other service person as is reasonably satisfactory to Lessor. Lessee shall remove installed markings that are not necessary for the operation, maintenance or repair do the Equipment. All Equipment will be cleaned, cosmetically acceptable, and in such condition as to be immediately installed (in a fully assembled condition) into use in a similar environment for which the Equipment was originally intended to be used. All waste material and fluid must be removed from the Equipment and disposes of in accordance with then current waste laws. Lessee shall return the units of Equipment to a location within the continental United States as Lessor shall direct. Lessee shall obtain and pay for a policy of transit insurance for the redelivery period in an amount not less than the replacement value of the Equipment. The transit insurance must name Lessor as the loss payee. The Lessee shall pay for all costs to comply with this section (a).</w:t>
      </w:r>
    </w:p>
    <w:p>
      <w:pPr>
        <w:spacing w:after="0" w:line="141" w:lineRule="exact"/>
        <w:rPr>
          <w:sz w:val="20"/>
          <w:szCs w:val="20"/>
          <w:color w:val="auto"/>
        </w:rPr>
      </w:pPr>
    </w:p>
    <w:p>
      <w:pPr>
        <w:ind w:left="788" w:right="200" w:hanging="174"/>
        <w:spacing w:after="0" w:line="259" w:lineRule="auto"/>
        <w:rPr>
          <w:sz w:val="20"/>
          <w:szCs w:val="20"/>
          <w:color w:val="auto"/>
        </w:rPr>
      </w:pPr>
      <w:r>
        <w:rPr>
          <w:rFonts w:ascii="Arial" w:cs="Arial" w:eastAsia="Arial" w:hAnsi="Arial"/>
          <w:sz w:val="18"/>
          <w:szCs w:val="18"/>
          <w:color w:val="auto"/>
        </w:rPr>
        <w:t>b. Until Lessee has fully complied with the requirements of Section 10(a) above, Lessee's rent payment obligation and all other obligations under this Agreement shall continue from month to month notwithstanding any expiration or termination of the lease term. Lessor may terminate the Lessee's right to use the Equipment upon ten (1) days notice to Lessee.</w:t>
      </w:r>
    </w:p>
    <w:p>
      <w:pPr>
        <w:spacing w:after="0" w:line="154" w:lineRule="exact"/>
        <w:rPr>
          <w:sz w:val="20"/>
          <w:szCs w:val="20"/>
          <w:color w:val="auto"/>
        </w:rPr>
      </w:pPr>
    </w:p>
    <w:p>
      <w:pPr>
        <w:ind w:left="788" w:right="240" w:hanging="161"/>
        <w:spacing w:after="0" w:line="318" w:lineRule="auto"/>
        <w:rPr>
          <w:sz w:val="20"/>
          <w:szCs w:val="20"/>
          <w:color w:val="auto"/>
        </w:rPr>
      </w:pPr>
      <w:r>
        <w:rPr>
          <w:rFonts w:ascii="Arial" w:cs="Arial" w:eastAsia="Arial" w:hAnsi="Arial"/>
          <w:sz w:val="15"/>
          <w:szCs w:val="15"/>
          <w:color w:val="auto"/>
        </w:rPr>
        <w:t>c. Lessee shall provide to Lessor a reasonably detailed inventory of all components of the Equipment including model and serial numbers. Lessee shall also provide an up-t-date copy of all other documentation pertaining to the Equipment. All service manuals, blue prints, process flow diagrams, operating manuals, inventory and maintenance records in Lessee's possession shall be given to Lessor at least ninety (90) days and not more than one hundred twenty (120) days prior to least termination. Lessee agrees to make a diligent effort to procure any missing service manuals, blue prints, process flow diagrams, operating manuals, inventory and maintenance records.</w:t>
      </w:r>
    </w:p>
    <w:p>
      <w:pPr>
        <w:spacing w:after="0" w:line="113" w:lineRule="exact"/>
        <w:rPr>
          <w:sz w:val="20"/>
          <w:szCs w:val="20"/>
          <w:color w:val="auto"/>
        </w:rPr>
      </w:pPr>
    </w:p>
    <w:p>
      <w:pPr>
        <w:ind w:left="788" w:right="240" w:hanging="174"/>
        <w:spacing w:after="0" w:line="268" w:lineRule="auto"/>
        <w:rPr>
          <w:sz w:val="20"/>
          <w:szCs w:val="20"/>
          <w:color w:val="auto"/>
        </w:rPr>
      </w:pPr>
      <w:r>
        <w:rPr>
          <w:rFonts w:ascii="Arial" w:cs="Arial" w:eastAsia="Arial" w:hAnsi="Arial"/>
          <w:sz w:val="18"/>
          <w:szCs w:val="18"/>
          <w:color w:val="auto"/>
        </w:rPr>
        <w:t>d. Lessee shall make the Equipment available for on-site operational inspections by potential purchasers at least one hundred twenty (120) days prior to and continuing up to lease termination.</w:t>
      </w:r>
    </w:p>
    <w:p>
      <w:pPr>
        <w:spacing w:after="0" w:line="139" w:lineRule="exact"/>
        <w:rPr>
          <w:sz w:val="20"/>
          <w:szCs w:val="20"/>
          <w:color w:val="auto"/>
        </w:rPr>
      </w:pPr>
    </w:p>
    <w:p>
      <w:pPr>
        <w:ind w:left="248" w:hanging="248"/>
        <w:spacing w:after="0"/>
        <w:tabs>
          <w:tab w:leader="none" w:pos="248" w:val="left"/>
        </w:tabs>
        <w:numPr>
          <w:ilvl w:val="0"/>
          <w:numId w:val="8"/>
        </w:numPr>
        <w:rPr>
          <w:rFonts w:ascii="Arial" w:cs="Arial" w:eastAsia="Arial" w:hAnsi="Arial"/>
          <w:sz w:val="16"/>
          <w:szCs w:val="16"/>
          <w:b w:val="1"/>
          <w:bCs w:val="1"/>
          <w:color w:val="0000FF"/>
        </w:rPr>
      </w:pPr>
      <w:r>
        <w:rPr>
          <w:rFonts w:ascii="Arial" w:cs="Arial" w:eastAsia="Arial" w:hAnsi="Arial"/>
          <w:sz w:val="16"/>
          <w:szCs w:val="16"/>
          <w:b w:val="1"/>
          <w:bCs w:val="1"/>
          <w:color w:val="0000FF"/>
        </w:rPr>
        <w:t>DEFAULT AND REMEDIES:</w:t>
      </w:r>
    </w:p>
    <w:p>
      <w:pPr>
        <w:spacing w:after="0" w:line="213" w:lineRule="exact"/>
        <w:rPr>
          <w:rFonts w:ascii="Arial" w:cs="Arial" w:eastAsia="Arial" w:hAnsi="Arial"/>
          <w:sz w:val="16"/>
          <w:szCs w:val="16"/>
          <w:b w:val="1"/>
          <w:bCs w:val="1"/>
          <w:color w:val="0000FF"/>
        </w:rPr>
      </w:pPr>
    </w:p>
    <w:p>
      <w:pPr>
        <w:ind w:left="788" w:right="20" w:hanging="153"/>
        <w:spacing w:after="0" w:line="288" w:lineRule="auto"/>
        <w:tabs>
          <w:tab w:leader="none" w:pos="788" w:val="left"/>
        </w:tabs>
        <w:numPr>
          <w:ilvl w:val="1"/>
          <w:numId w:val="8"/>
        </w:numPr>
        <w:rPr>
          <w:rFonts w:ascii="Arial" w:cs="Arial" w:eastAsia="Arial" w:hAnsi="Arial"/>
          <w:sz w:val="16"/>
          <w:szCs w:val="16"/>
          <w:color w:val="auto"/>
        </w:rPr>
      </w:pPr>
      <w:r>
        <w:rPr>
          <w:rFonts w:ascii="Arial" w:cs="Arial" w:eastAsia="Arial" w:hAnsi="Arial"/>
          <w:sz w:val="16"/>
          <w:szCs w:val="16"/>
          <w:color w:val="auto"/>
        </w:rPr>
        <w:t>Lessor may in writing declare this Agreement in default if (i) Lessee breaches its obligations to pay rent or any other sum when due and fails to cure the breach within ten (10) days; (ii) Lessee breaches any of its insurance obligations under Section 9; (iii) Lessee breaches any of its other obligations and fails to cure that breach within thirty (30) days after written notice form Lessor; (iv) any representation or warranty made by Lessee in connection with this Agreement shall be false or misleading in any material respect; (v) Lessee or any guarantor or other obligor for the Lessee's obligations hereunder ("Guarantor") becomes insolvent or ceases to do business as a going concern; (vi) any Equipment is illegally used; (vii) if lessee or any guarantor is a natural person, any death or incompetency of Lessee or such Guarantor; or (viii) a petition is filed by or against Lessee or any Guarantor under any bankruptcy or insolvency laws and in the event of an involuntary petition, the petition is not dismissed within forty-five (45) days of the filing date. The default declaration shall apply to all Schedules unless specifically excepted by Lessor.</w:t>
      </w:r>
    </w:p>
    <w:p>
      <w:pPr>
        <w:spacing w:after="0" w:line="133" w:lineRule="exact"/>
        <w:rPr>
          <w:rFonts w:ascii="Arial" w:cs="Arial" w:eastAsia="Arial" w:hAnsi="Arial"/>
          <w:sz w:val="16"/>
          <w:szCs w:val="16"/>
          <w:color w:val="auto"/>
        </w:rPr>
      </w:pPr>
    </w:p>
    <w:p>
      <w:pPr>
        <w:ind w:left="788" w:hanging="167"/>
        <w:spacing w:after="0" w:line="285" w:lineRule="auto"/>
        <w:tabs>
          <w:tab w:leader="none" w:pos="788" w:val="left"/>
        </w:tabs>
        <w:numPr>
          <w:ilvl w:val="1"/>
          <w:numId w:val="8"/>
        </w:numPr>
        <w:rPr>
          <w:rFonts w:ascii="Arial" w:cs="Arial" w:eastAsia="Arial" w:hAnsi="Arial"/>
          <w:sz w:val="16"/>
          <w:szCs w:val="16"/>
          <w:color w:val="auto"/>
        </w:rPr>
      </w:pPr>
      <w:r>
        <w:rPr>
          <w:rFonts w:ascii="Arial" w:cs="Arial" w:eastAsia="Arial" w:hAnsi="Arial"/>
          <w:sz w:val="16"/>
          <w:szCs w:val="16"/>
          <w:color w:val="auto"/>
        </w:rPr>
        <w:t>After a default, at the request of Lessor, Lessee shall comply with the provisions of Section 109a). lessee hereby authorizes Lessor to peacefully enter any premises where any Equipment may be and take possession of the Equipment. Lessee shall immediately pay to Lessor without further demand as liquidated damages for loss of a bargain and not as a penalty, the Stipulated Loss Value of the Equipment (calculated as of the rent payment date prior to the declaration of default), and all rents and other sums then due under this Agreement and all schedules. Lessor may terminate this Agreement as to any or all of the Equipment. A termination shall occur only upon written notice by Lessor to Lessee and only as to the units of Equipment specified in any such notice. Following termination hereunder, Lessor may, but shall not be required to, sell Equipment at private or public sale, in bulk or in parcels, with or without notice, and without having the Equipment present at the place of sale. Lessor may also, but shall not be required to, lease, otherwise dispose of or keep idle all or part of the Equipment. Lessor may use Lessee's premises for a reasonable period of time for any or all of the purposes sated above without liability for rent, costs, damages or otherwise. The proceeds of sale, lease or other disposition, if any, shall be applied in the following order of priorities: (i) to pay all of Lessor's costs, charges and expense incurred in taking, removing, holding, repairing and selling, leasing or other disposing of Equipment; then (ii) to the extent not previously paid by Lessee, to pay Lessor all sums due from Lessee under this Agreement; then (iii) to reimburse to Lessee any sums previously paid by Lessee as liquidated damages; and (iv) any surplus shall be retained by Lessor. lessee shall immediately pay any deficiency in (i) and (ii) above.</w:t>
      </w:r>
    </w:p>
    <w:p>
      <w:pPr>
        <w:spacing w:after="0" w:line="141" w:lineRule="exact"/>
        <w:rPr>
          <w:rFonts w:ascii="Arial" w:cs="Arial" w:eastAsia="Arial" w:hAnsi="Arial"/>
          <w:sz w:val="16"/>
          <w:szCs w:val="16"/>
          <w:color w:val="auto"/>
        </w:rPr>
      </w:pPr>
    </w:p>
    <w:p>
      <w:pPr>
        <w:ind w:left="788" w:hanging="153"/>
        <w:spacing w:after="0" w:line="294" w:lineRule="auto"/>
        <w:tabs>
          <w:tab w:leader="none" w:pos="788"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foregoing remedies are cumulative, and any or all thereof may be exercised instead of or in addition to each other or any remedies at law, in equity, or under statute. Lessee waives notice of sale or other disposition (and the time and place thereof), and the manner and place of any advertising. Lessee shall pay Lessor's actual attorney's fees incurred in connection with the enforcement, assertion, defense or preservation of lessor's rights and remedies under this Agreement, or if prohibited by law, such lesser sum as may be permitted. Waiver of any default shall not be a waiver of any other or subsequent default.</w:t>
      </w:r>
    </w:p>
    <w:p>
      <w:pPr>
        <w:spacing w:after="0" w:line="129" w:lineRule="exact"/>
        <w:rPr>
          <w:rFonts w:ascii="Arial" w:cs="Arial" w:eastAsia="Arial" w:hAnsi="Arial"/>
          <w:sz w:val="16"/>
          <w:szCs w:val="16"/>
          <w:color w:val="auto"/>
        </w:rPr>
      </w:pPr>
    </w:p>
    <w:p>
      <w:pPr>
        <w:ind w:left="788" w:right="180" w:hanging="167"/>
        <w:spacing w:after="0" w:line="268" w:lineRule="auto"/>
        <w:tabs>
          <w:tab w:leader="none" w:pos="78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default under the terms of this or any agreement between Lessor and Lessee may be declared by Lessor a default under this and any such other agreement.</w:t>
      </w:r>
    </w:p>
    <w:p>
      <w:pPr>
        <w:spacing w:after="0" w:line="139" w:lineRule="exact"/>
        <w:rPr>
          <w:rFonts w:ascii="Arial" w:cs="Arial" w:eastAsia="Arial" w:hAnsi="Arial"/>
          <w:sz w:val="18"/>
          <w:szCs w:val="18"/>
          <w:color w:val="auto"/>
        </w:rPr>
      </w:pPr>
    </w:p>
    <w:p>
      <w:pPr>
        <w:ind w:left="248" w:hanging="248"/>
        <w:spacing w:after="0" w:line="291" w:lineRule="auto"/>
        <w:tabs>
          <w:tab w:leader="none" w:pos="248"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LESSEE SHALL NOT SELL, TRANSFER, ASSIGN, ENCUMBER OR SUBLET ANY EQUIPMENT OR THE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OF LESSEE IN THE EQUIPMENT WITHOUT THE PRIOR WRITTEN CONSENT OF LESSOR. Lessor may, without the consent of Lessee, assign this Agreement, any Schedule or the right to enter into a Schedule. Lessee agrees that if Lessee receives written notice of an assignment from Lessor, Lessee will pay all rent and all other amounts payable under any assigned Schedule to such assignee or as instructed by Lessor. Lessee also agrees to confirm in writing receipt of the notice of assignment as may be reasonably requested by assignee. Lessee hereby waives and agrees not to assert against any such assignee any defense, set-off, recoupment claim or counterclaim which lessee has or may at any time have against lessor for any reason whatsoever.</w:t>
      </w:r>
    </w:p>
    <w:p>
      <w:pPr>
        <w:spacing w:after="0" w:line="126" w:lineRule="exact"/>
        <w:rPr>
          <w:rFonts w:ascii="Arial" w:cs="Arial" w:eastAsia="Arial" w:hAnsi="Arial"/>
          <w:sz w:val="16"/>
          <w:szCs w:val="16"/>
          <w:color w:val="auto"/>
        </w:rPr>
      </w:pPr>
    </w:p>
    <w:p>
      <w:pPr>
        <w:ind w:left="248" w:right="100" w:hanging="248"/>
        <w:spacing w:after="0" w:line="301" w:lineRule="auto"/>
        <w:tabs>
          <w:tab w:leader="none" w:pos="248"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NET LEASE: </w:t>
      </w:r>
      <w:r>
        <w:rPr>
          <w:rFonts w:ascii="Arial" w:cs="Arial" w:eastAsia="Arial" w:hAnsi="Arial"/>
          <w:sz w:val="16"/>
          <w:szCs w:val="16"/>
          <w:color w:val="auto"/>
        </w:rPr>
        <w:t>Lessee is unconditionally obligated to pay all rent and other amounts due for the entire lease term no matter what happens, even if</w:t>
      </w:r>
      <w:r>
        <w:rPr>
          <w:rFonts w:ascii="Arial" w:cs="Arial" w:eastAsia="Arial" w:hAnsi="Arial"/>
          <w:sz w:val="16"/>
          <w:szCs w:val="16"/>
          <w:b w:val="1"/>
          <w:bCs w:val="1"/>
          <w:color w:val="auto"/>
        </w:rPr>
        <w:t xml:space="preserve"> </w:t>
      </w:r>
      <w:r>
        <w:rPr>
          <w:rFonts w:ascii="Arial" w:cs="Arial" w:eastAsia="Arial" w:hAnsi="Arial"/>
          <w:sz w:val="16"/>
          <w:szCs w:val="16"/>
          <w:color w:val="auto"/>
        </w:rPr>
        <w:t>the Equipment is damaged or destroyed, if its defective or if Lessee no longer can use it. Lessee is not entitled to reduce or set-off against rent or other amounts due to Lessor or to anyone to whom Lessor assigns t his Agreement or any Schedule whether Lessee's claim arises out of this Agreement, any Schedule, any statement by Lessor, Lessor's liability or any manufacturer's liability, strict liability, negligence or otherwise.</w:t>
      </w:r>
    </w:p>
    <w:p>
      <w:pPr>
        <w:spacing w:after="0" w:line="116" w:lineRule="exact"/>
        <w:rPr>
          <w:rFonts w:ascii="Arial" w:cs="Arial" w:eastAsia="Arial" w:hAnsi="Arial"/>
          <w:sz w:val="16"/>
          <w:szCs w:val="16"/>
          <w:color w:val="auto"/>
        </w:rPr>
      </w:pPr>
    </w:p>
    <w:p>
      <w:pPr>
        <w:ind w:left="248" w:hanging="248"/>
        <w:spacing w:after="0"/>
        <w:tabs>
          <w:tab w:leader="none" w:pos="24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p>
    <w:p>
      <w:pPr>
        <w:spacing w:after="0" w:line="213" w:lineRule="exact"/>
        <w:rPr>
          <w:rFonts w:ascii="Arial" w:cs="Arial" w:eastAsia="Arial" w:hAnsi="Arial"/>
          <w:sz w:val="16"/>
          <w:szCs w:val="16"/>
          <w:b w:val="1"/>
          <w:bCs w:val="1"/>
          <w:color w:val="auto"/>
        </w:rPr>
      </w:pPr>
    </w:p>
    <w:p>
      <w:pPr>
        <w:ind w:left="788" w:right="20" w:hanging="153"/>
        <w:spacing w:after="0" w:line="370" w:lineRule="auto"/>
        <w:tabs>
          <w:tab w:leader="none" w:pos="788" w:val="left"/>
        </w:tabs>
        <w:numPr>
          <w:ilvl w:val="1"/>
          <w:numId w:val="8"/>
        </w:numPr>
        <w:rPr>
          <w:rFonts w:ascii="Arial" w:cs="Arial" w:eastAsia="Arial" w:hAnsi="Arial"/>
          <w:sz w:val="15"/>
          <w:szCs w:val="15"/>
          <w:color w:val="auto"/>
        </w:rPr>
      </w:pPr>
      <w:r>
        <w:rPr>
          <w:rFonts w:ascii="Arial" w:cs="Arial" w:eastAsia="Arial" w:hAnsi="Arial"/>
          <w:sz w:val="15"/>
          <w:szCs w:val="15"/>
          <w:color w:val="auto"/>
        </w:rPr>
        <w:t>Lessee hereby agrees to indemnify lessor, its agents, employees, successors and assigns (on an after tax basis) from and against any and all losses, damages, penalties, injuries, claims, actions and suites, including legal expenses, or whatsoever kind and nature arising out of or</w:t>
      </w:r>
    </w:p>
    <w:p>
      <w:pPr>
        <w:sectPr>
          <w:pgSz w:w="11900" w:h="16838" w:orient="portrait"/>
          <w:cols w:equalWidth="0" w:num="1">
            <w:col w:w="10568"/>
          </w:cols>
          <w:pgMar w:left="1072" w:top="131" w:right="259" w:bottom="0" w:gutter="0" w:footer="0" w:header="0"/>
        </w:sectPr>
      </w:pPr>
    </w:p>
    <w:bookmarkStart w:id="19" w:name="page20"/>
    <w:bookmarkEnd w:id="19"/>
    <w:p>
      <w:pPr>
        <w:spacing w:after="0" w:line="67" w:lineRule="exact"/>
        <w:rPr>
          <w:sz w:val="20"/>
          <w:szCs w:val="20"/>
          <w:color w:val="auto"/>
        </w:rPr>
      </w:pPr>
    </w:p>
    <w:p>
      <w:pPr>
        <w:ind w:left="788" w:right="80"/>
        <w:spacing w:after="0" w:line="289" w:lineRule="auto"/>
        <w:rPr>
          <w:sz w:val="20"/>
          <w:szCs w:val="20"/>
          <w:color w:val="auto"/>
        </w:rPr>
      </w:pPr>
      <w:r>
        <w:rPr>
          <w:rFonts w:ascii="Arial" w:cs="Arial" w:eastAsia="Arial" w:hAnsi="Arial"/>
          <w:sz w:val="16"/>
          <w:szCs w:val="16"/>
          <w:color w:val="auto"/>
        </w:rPr>
        <w:t>relating to the Equipment or this Agreement, except to the extent the losses, damages, penalties, injuries, claims, actions, suites or expenses result form Lessor's gross negligence or willful misconduct ("</w:t>
      </w:r>
      <w:r>
        <w:rPr>
          <w:rFonts w:ascii="Arial" w:cs="Arial" w:eastAsia="Arial" w:hAnsi="Arial"/>
          <w:sz w:val="16"/>
          <w:szCs w:val="16"/>
          <w:b w:val="1"/>
          <w:bCs w:val="1"/>
          <w:color w:val="auto"/>
        </w:rPr>
        <w:t>Claims</w:t>
      </w:r>
      <w:r>
        <w:rPr>
          <w:rFonts w:ascii="Arial" w:cs="Arial" w:eastAsia="Arial" w:hAnsi="Arial"/>
          <w:sz w:val="16"/>
          <w:szCs w:val="16"/>
          <w:color w:val="auto"/>
        </w:rPr>
        <w:t>"). this indemnity shall include, but is not limited to, Lessor's strict liability in tort and Claims, arising out of (i) the selection, manufacture, purchase, acceptance or rejection of Equipment, the ownership of equipment during the term of this Agreement, and the delivery, lease, possession, maintenance, uses, condition, return or operation of Equipment (including, without limitation, patent and other defects, whether or not discoverable by Lessor or Lessee and any claim for patent, trademark or copyright infringement or environmental damage) or (ii) the condition of Equipment sold or disposed of after use by Lessee, any sublessee or employees of Lessee. Lessee shall, upon request, defend any actions based on, or arising out of, any of the foregoing.</w:t>
      </w:r>
    </w:p>
    <w:p>
      <w:pPr>
        <w:spacing w:after="0" w:line="132" w:lineRule="exact"/>
        <w:rPr>
          <w:sz w:val="20"/>
          <w:szCs w:val="20"/>
          <w:color w:val="auto"/>
        </w:rPr>
      </w:pPr>
    </w:p>
    <w:p>
      <w:pPr>
        <w:ind w:left="788" w:right="120" w:hanging="174"/>
        <w:spacing w:after="0" w:line="294" w:lineRule="auto"/>
        <w:rPr>
          <w:sz w:val="20"/>
          <w:szCs w:val="20"/>
          <w:color w:val="auto"/>
        </w:rPr>
      </w:pPr>
      <w:r>
        <w:rPr>
          <w:rFonts w:ascii="Arial" w:cs="Arial" w:eastAsia="Arial" w:hAnsi="Arial"/>
          <w:sz w:val="16"/>
          <w:szCs w:val="16"/>
          <w:color w:val="auto"/>
        </w:rPr>
        <w:t>b. Lessee hereby represents, warrants and covenants that (i) to its knowledge, on the Lease Commencement Date for any unit of Equipment, such unit will qualify for all of the items of deduction and credit specified in Section C of the applicable Schedule ("</w:t>
      </w:r>
      <w:r>
        <w:rPr>
          <w:rFonts w:ascii="Arial" w:cs="Arial" w:eastAsia="Arial" w:hAnsi="Arial"/>
          <w:sz w:val="16"/>
          <w:szCs w:val="16"/>
          <w:b w:val="1"/>
          <w:bCs w:val="1"/>
          <w:color w:val="auto"/>
        </w:rPr>
        <w:t>Tax Benefits</w:t>
      </w:r>
      <w:r>
        <w:rPr>
          <w:rFonts w:ascii="Arial" w:cs="Arial" w:eastAsia="Arial" w:hAnsi="Arial"/>
          <w:sz w:val="16"/>
          <w:szCs w:val="16"/>
          <w:color w:val="auto"/>
        </w:rPr>
        <w:t>") in the hands of Lessor, and (ii) at no time during the term of this Agreement will Lessee take or omit to take, nor will it permit any sublessee or assignee to take or omit to take, any action (whether or not such act or omission is otherwise permitted by Lessor or by this Agreement), which will result in the disqualification of any Equipment for, or recapture of, all or any portion of such Tax Benefits.</w:t>
      </w:r>
    </w:p>
    <w:p>
      <w:pPr>
        <w:spacing w:after="0" w:line="129" w:lineRule="exact"/>
        <w:rPr>
          <w:sz w:val="20"/>
          <w:szCs w:val="20"/>
          <w:color w:val="auto"/>
        </w:rPr>
      </w:pPr>
    </w:p>
    <w:p>
      <w:pPr>
        <w:ind w:left="788" w:hanging="161"/>
        <w:spacing w:after="0" w:line="286" w:lineRule="auto"/>
        <w:rPr>
          <w:sz w:val="20"/>
          <w:szCs w:val="20"/>
          <w:color w:val="auto"/>
        </w:rPr>
      </w:pPr>
      <w:r>
        <w:rPr>
          <w:rFonts w:ascii="Arial" w:cs="Arial" w:eastAsia="Arial" w:hAnsi="Arial"/>
          <w:sz w:val="16"/>
          <w:szCs w:val="16"/>
          <w:color w:val="auto"/>
        </w:rPr>
        <w:t>c. It as a result of a breach of any representation, warranty or covenant of the Lessee contained in this Agreement or any Schedule (i) tax counsel of Lessor shall determine that Lessor is not entitled to claim on its Federal income tax return all or any portion of the Tax Benefits with respect to any Equipment, or (ii) any Tax Benefit claimed on the Federal income tax return of Lessor is disallowed or adjusted by the Internal Revenue Service, or (iii) any Tax Benefit is recalculated or recaptured (any determination, disallowance, adjustment, recalculation or recapture being a "</w:t>
      </w:r>
      <w:r>
        <w:rPr>
          <w:rFonts w:ascii="Arial" w:cs="Arial" w:eastAsia="Arial" w:hAnsi="Arial"/>
          <w:sz w:val="16"/>
          <w:szCs w:val="16"/>
          <w:b w:val="1"/>
          <w:bCs w:val="1"/>
          <w:color w:val="auto"/>
        </w:rPr>
        <w:t>Loss</w:t>
      </w:r>
      <w:r>
        <w:rPr>
          <w:rFonts w:ascii="Arial" w:cs="Arial" w:eastAsia="Arial" w:hAnsi="Arial"/>
          <w:sz w:val="16"/>
          <w:szCs w:val="16"/>
          <w:color w:val="auto"/>
        </w:rPr>
        <w:t>"), then Lessee shall pay to Lessor, as an indemnity and as additional rent, an amount that shall, in the reasonable opinion of Lessor, cause Lessor's after-tax economic yields and cash flows to equal the Net Economic Return that would have been realized by Lessor if such Loss had not occurred. Such amount shall, to the extent not otherwise paid under Section 3(a), be payable upon demand accompanied by a statement describing in reasonable detail such Loss and the computation of such amount. The economic yields and cash flows shall be computed on the same assumptions, including tax rates as were used by Lessor in originally evaluating the transaction ("</w:t>
      </w:r>
      <w:r>
        <w:rPr>
          <w:rFonts w:ascii="Arial" w:cs="Arial" w:eastAsia="Arial" w:hAnsi="Arial"/>
          <w:sz w:val="16"/>
          <w:szCs w:val="16"/>
          <w:b w:val="1"/>
          <w:bCs w:val="1"/>
          <w:color w:val="auto"/>
        </w:rPr>
        <w:t>Net Economic Return</w:t>
      </w:r>
      <w:r>
        <w:rPr>
          <w:rFonts w:ascii="Arial" w:cs="Arial" w:eastAsia="Arial" w:hAnsi="Arial"/>
          <w:sz w:val="16"/>
          <w:szCs w:val="16"/>
          <w:color w:val="auto"/>
        </w:rPr>
        <w:t>". If an adjustment has been made under Section 3 then the Effective Rate use din the next preceding adjustment shall be substituted.</w:t>
      </w:r>
    </w:p>
    <w:p>
      <w:pPr>
        <w:spacing w:after="0" w:line="141" w:lineRule="exact"/>
        <w:rPr>
          <w:sz w:val="20"/>
          <w:szCs w:val="20"/>
          <w:color w:val="auto"/>
        </w:rPr>
      </w:pPr>
    </w:p>
    <w:p>
      <w:pPr>
        <w:ind w:left="788" w:right="80" w:hanging="174"/>
        <w:spacing w:after="0" w:line="256" w:lineRule="auto"/>
        <w:rPr>
          <w:sz w:val="20"/>
          <w:szCs w:val="20"/>
          <w:color w:val="auto"/>
        </w:rPr>
      </w:pPr>
      <w:r>
        <w:rPr>
          <w:rFonts w:ascii="Arial" w:cs="Arial" w:eastAsia="Arial" w:hAnsi="Arial"/>
          <w:sz w:val="18"/>
          <w:szCs w:val="18"/>
          <w:color w:val="auto"/>
        </w:rPr>
        <w:t>d. All references to Lessor in this Section 14 include Lessor and the consolidated taxpayer group of which Lessor is a member. All of Lessor's rights, privileges and indemnities contained in this Section 14 shall survive the expiration or other termination of this Agreement. The rights, privileges and indemnities contained herein are expressly made for the benefit of, and shall be enforceable by Lessor, its successors and assigns.</w:t>
      </w:r>
    </w:p>
    <w:p>
      <w:pPr>
        <w:spacing w:after="0" w:line="151" w:lineRule="exact"/>
        <w:rPr>
          <w:sz w:val="20"/>
          <w:szCs w:val="20"/>
          <w:color w:val="auto"/>
        </w:rPr>
      </w:pPr>
    </w:p>
    <w:p>
      <w:pPr>
        <w:ind w:left="248" w:hanging="248"/>
        <w:spacing w:after="0" w:line="286" w:lineRule="auto"/>
        <w:tabs>
          <w:tab w:leader="none" w:pos="24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DISCLAIMER: </w:t>
      </w:r>
      <w:r>
        <w:rPr>
          <w:rFonts w:ascii="Arial" w:cs="Arial" w:eastAsia="Arial" w:hAnsi="Arial"/>
          <w:sz w:val="16"/>
          <w:szCs w:val="16"/>
          <w:color w:val="auto"/>
        </w:rPr>
        <w:t>LESSEE ACKNOWLEDGES THAT IT HAS SELECTED THE EQUIPMENT WITHOUT ANY ASSISTANCE FROM</w:t>
      </w:r>
      <w:r>
        <w:rPr>
          <w:rFonts w:ascii="Arial" w:cs="Arial" w:eastAsia="Arial" w:hAnsi="Arial"/>
          <w:sz w:val="16"/>
          <w:szCs w:val="16"/>
          <w:b w:val="1"/>
          <w:bCs w:val="1"/>
          <w:color w:val="auto"/>
        </w:rPr>
        <w:t xml:space="preserve"> </w:t>
      </w:r>
      <w:r>
        <w:rPr>
          <w:rFonts w:ascii="Arial" w:cs="Arial" w:eastAsia="Arial" w:hAnsi="Arial"/>
          <w:sz w:val="16"/>
          <w:szCs w:val="16"/>
          <w:color w:val="auto"/>
        </w:rPr>
        <w:t>LESSOR, ITS AGENTS OR EMPLOYEES. LESSOR DOES NOT MAKE , AHS NOT MADE, NOR SHALL BE DEEMED TO MAKE OR HAVE MADE, ANY WARRANTY OR REPRESENTATION, EITHER EXPRESS OR IMPLIED, WRITTEN OR ORAL, WITH RESPECT TO THE EQUIPMENT LEASED UNDER THIS AGREEMENT OR ANY COMPONENT THEREOF, INCLUDING, WITHOUT LIMITATION, ANY WARRANTY AS TO DESIGN, COMPLIANCE WITH SPECIFICATIONS, QUALITY OF MATERIALS OR WORKMANSHIP, MERCHANTABILITY, FITNESS FOR ANY PURPOSE, USE OR OPERATION, SAFETY, PATENT, TRADEMARK OR COPYRIGHT INFRINGEMENT, OR TITLE. All such risks, as between Lessor and Lessee are to be borne by Lessee. Without limiting the foregoing, Lessor shall have no responsibility or liability to Lessee or any other person with respect to any of the following; (i) any liability, loss or damage caused or alleged to be caused directly or indirectly by an Equipment, any inadequacy thereof, any deficiency or defect (latent or otherwise) of the Equipment, or any other circumstance in connection with the Equipment; (ii) the use, operation or performance of any Equipment or any risks relating to it; (iii) any interruption of service, loss of business or anticipated profits or consequential damages; or (iv) the delivery, operation, servicing, maintenance, repair, improvement or replacement of any Equipment. If, and so long as, no default exists under this Agreement, Lessee shall be, and hereby is, authorized during the term of this Agreement to assert and enforce whatever claims and rights Lessor may have against any Supplier of the Equipment at Lessee's sole cost and expense, in the name of and for the account of Lessor and/or Lessee, as their interests may appear.</w:t>
      </w:r>
    </w:p>
    <w:p>
      <w:pPr>
        <w:spacing w:after="0" w:line="347" w:lineRule="exact"/>
        <w:rPr>
          <w:rFonts w:ascii="Arial" w:cs="Arial" w:eastAsia="Arial" w:hAnsi="Arial"/>
          <w:sz w:val="16"/>
          <w:szCs w:val="16"/>
          <w:color w:val="auto"/>
        </w:rPr>
      </w:pPr>
    </w:p>
    <w:p>
      <w:pPr>
        <w:ind w:left="248" w:right="20" w:hanging="248"/>
        <w:spacing w:after="0" w:line="339" w:lineRule="auto"/>
        <w:tabs>
          <w:tab w:leader="none" w:pos="24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REPRESENTATIONS AND WARRANTIES OF LESSEE: </w:t>
      </w:r>
      <w:r>
        <w:rPr>
          <w:rFonts w:ascii="Arial" w:cs="Arial" w:eastAsia="Arial" w:hAnsi="Arial"/>
          <w:sz w:val="16"/>
          <w:szCs w:val="16"/>
          <w:color w:val="auto"/>
        </w:rPr>
        <w:t>Lessee makes each of the following representations and warranties to Lessor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hereof and on the date of execution of each Schedule.</w:t>
      </w:r>
    </w:p>
    <w:p>
      <w:pPr>
        <w:spacing w:after="0" w:line="93" w:lineRule="exact"/>
        <w:rPr>
          <w:rFonts w:ascii="Arial" w:cs="Arial" w:eastAsia="Arial" w:hAnsi="Arial"/>
          <w:sz w:val="16"/>
          <w:szCs w:val="16"/>
          <w:color w:val="auto"/>
        </w:rPr>
      </w:pPr>
    </w:p>
    <w:p>
      <w:pPr>
        <w:ind w:left="788" w:hanging="153"/>
        <w:spacing w:after="0"/>
        <w:tabs>
          <w:tab w:leader="none" w:pos="788" w:val="left"/>
        </w:tabs>
        <w:numPr>
          <w:ilvl w:val="1"/>
          <w:numId w:val="9"/>
        </w:numPr>
        <w:rPr>
          <w:rFonts w:ascii="Arial" w:cs="Arial" w:eastAsia="Arial" w:hAnsi="Arial"/>
          <w:sz w:val="16"/>
          <w:szCs w:val="16"/>
          <w:color w:val="auto"/>
        </w:rPr>
      </w:pPr>
      <w:r>
        <w:rPr>
          <w:rFonts w:ascii="Arial" w:cs="Arial" w:eastAsia="Arial" w:hAnsi="Arial"/>
          <w:sz w:val="16"/>
          <w:szCs w:val="16"/>
          <w:color w:val="auto"/>
        </w:rPr>
        <w:t>Lessee has adequate power and capacity to enter into, and perform under, this Agreement and all related documents (together, the</w:t>
      </w:r>
    </w:p>
    <w:p>
      <w:pPr>
        <w:spacing w:after="0" w:line="38" w:lineRule="exact"/>
        <w:rPr>
          <w:rFonts w:ascii="Arial" w:cs="Arial" w:eastAsia="Arial" w:hAnsi="Arial"/>
          <w:sz w:val="16"/>
          <w:szCs w:val="16"/>
          <w:color w:val="auto"/>
        </w:rPr>
      </w:pPr>
    </w:p>
    <w:p>
      <w:pPr>
        <w:ind w:left="788" w:right="26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Documents</w:t>
      </w:r>
      <w:r>
        <w:rPr>
          <w:rFonts w:ascii="Arial" w:cs="Arial" w:eastAsia="Arial" w:hAnsi="Arial"/>
          <w:sz w:val="18"/>
          <w:szCs w:val="18"/>
          <w:color w:val="auto"/>
        </w:rPr>
        <w:t>"). Lessee is duly qualified to do business wherever necessary to carry on its present business and operations, including the jurisdiction(s) where the Equipment is or is to be located.</w:t>
      </w:r>
    </w:p>
    <w:p>
      <w:pPr>
        <w:spacing w:after="0" w:line="151" w:lineRule="exact"/>
        <w:rPr>
          <w:rFonts w:ascii="Arial" w:cs="Arial" w:eastAsia="Arial" w:hAnsi="Arial"/>
          <w:sz w:val="16"/>
          <w:szCs w:val="16"/>
          <w:color w:val="auto"/>
        </w:rPr>
      </w:pPr>
    </w:p>
    <w:p>
      <w:pPr>
        <w:jc w:val="both"/>
        <w:ind w:left="788" w:right="720" w:hanging="167"/>
        <w:spacing w:after="0" w:line="259" w:lineRule="auto"/>
        <w:tabs>
          <w:tab w:leader="none" w:pos="78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Documents have been duly authorized, executed and delivered by Lessee and constitute valid, legal and binding agreements, enforceable in accordance with their terms, except to the extent that the enforcement of remedies may be limed under applicable bankruptcy and insolvency laws.</w:t>
      </w:r>
    </w:p>
    <w:p>
      <w:pPr>
        <w:spacing w:after="0" w:line="153" w:lineRule="exact"/>
        <w:rPr>
          <w:rFonts w:ascii="Arial" w:cs="Arial" w:eastAsia="Arial" w:hAnsi="Arial"/>
          <w:sz w:val="18"/>
          <w:szCs w:val="18"/>
          <w:color w:val="auto"/>
        </w:rPr>
      </w:pPr>
    </w:p>
    <w:p>
      <w:pPr>
        <w:ind w:left="788" w:right="220" w:hanging="153"/>
        <w:spacing w:after="0" w:line="268" w:lineRule="auto"/>
        <w:tabs>
          <w:tab w:leader="none" w:pos="788"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approval, consent or withholding or objections is required from any governmental authority or entity with respect to the entry into or performance by Lessee of the Documents except such as have already been obtained.</w:t>
      </w:r>
    </w:p>
    <w:p>
      <w:pPr>
        <w:spacing w:after="0" w:line="145" w:lineRule="exact"/>
        <w:rPr>
          <w:rFonts w:ascii="Arial" w:cs="Arial" w:eastAsia="Arial" w:hAnsi="Arial"/>
          <w:sz w:val="18"/>
          <w:szCs w:val="18"/>
          <w:color w:val="auto"/>
        </w:rPr>
      </w:pPr>
    </w:p>
    <w:p>
      <w:pPr>
        <w:ind w:left="788" w:right="20" w:hanging="167"/>
        <w:spacing w:after="0" w:line="298" w:lineRule="auto"/>
        <w:tabs>
          <w:tab w:leader="none" w:pos="78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entry into and performance by Lessee of the Documents will not: (i) violate any judgment, order, law or regulation applicable to Lessee or any provision of Lessee's Certificate of Incorporation or bylaws; or (ii) result in any breach of, constitute a default under or result in the creations of any lien, charge, security interest or other encumbrance upon any Equipment pursuant to any indenture, mortgage, deed of trust, bank loan or credit agreement or other instrument (other than this Agreement) to which Lessee is a party.</w:t>
      </w:r>
    </w:p>
    <w:p>
      <w:pPr>
        <w:spacing w:after="0" w:line="126" w:lineRule="exact"/>
        <w:rPr>
          <w:rFonts w:ascii="Arial" w:cs="Arial" w:eastAsia="Arial" w:hAnsi="Arial"/>
          <w:sz w:val="16"/>
          <w:szCs w:val="16"/>
          <w:color w:val="auto"/>
        </w:rPr>
      </w:pPr>
    </w:p>
    <w:p>
      <w:pPr>
        <w:ind w:left="788" w:right="20" w:hanging="153"/>
        <w:spacing w:after="0" w:line="259" w:lineRule="auto"/>
        <w:tabs>
          <w:tab w:leader="none" w:pos="78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There are no suits or proceedings pending or threatened in court or before any commission, board or other administrative agency against or affecting Lessee, which if decided against Lessee will have a material adverse effect on the ability of Lessee to fulfill its obligations under this Agreement.</w:t>
      </w:r>
    </w:p>
    <w:p>
      <w:pPr>
        <w:spacing w:after="0" w:line="153" w:lineRule="exact"/>
        <w:rPr>
          <w:rFonts w:ascii="Arial" w:cs="Arial" w:eastAsia="Arial" w:hAnsi="Arial"/>
          <w:sz w:val="18"/>
          <w:szCs w:val="18"/>
          <w:color w:val="auto"/>
        </w:rPr>
      </w:pPr>
    </w:p>
    <w:p>
      <w:pPr>
        <w:ind w:left="788" w:hanging="140"/>
        <w:spacing w:after="0"/>
        <w:tabs>
          <w:tab w:leader="none" w:pos="78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Equipment accepted under any Certificate of Acceptance is and will remain tangible personal property.</w:t>
      </w:r>
    </w:p>
    <w:p>
      <w:pPr>
        <w:spacing w:after="0" w:line="184" w:lineRule="exact"/>
        <w:rPr>
          <w:rFonts w:ascii="Arial" w:cs="Arial" w:eastAsia="Arial" w:hAnsi="Arial"/>
          <w:sz w:val="18"/>
          <w:szCs w:val="18"/>
          <w:color w:val="auto"/>
        </w:rPr>
      </w:pPr>
    </w:p>
    <w:p>
      <w:pPr>
        <w:ind w:left="788" w:right="200" w:hanging="167"/>
        <w:spacing w:after="0" w:line="259" w:lineRule="auto"/>
        <w:tabs>
          <w:tab w:leader="none" w:pos="788"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financial statement delivered to Lessor has been prepared in accordance with generally accepted accounting principals consistently applied, except to the extent notes to the financial statements are not required pursuant to SEC requirements. Since the date of the most recent financial statement, there has been no material adverse change.</w:t>
      </w:r>
    </w:p>
    <w:p>
      <w:pPr>
        <w:spacing w:after="0" w:line="153" w:lineRule="exact"/>
        <w:rPr>
          <w:rFonts w:ascii="Arial" w:cs="Arial" w:eastAsia="Arial" w:hAnsi="Arial"/>
          <w:sz w:val="18"/>
          <w:szCs w:val="18"/>
          <w:color w:val="auto"/>
        </w:rPr>
      </w:pPr>
    </w:p>
    <w:p>
      <w:pPr>
        <w:ind w:left="788" w:right="60" w:hanging="167"/>
        <w:spacing w:after="0" w:line="268" w:lineRule="auto"/>
        <w:tabs>
          <w:tab w:leader="none" w:pos="788" w:val="left"/>
        </w:tabs>
        <w:numPr>
          <w:ilvl w:val="1"/>
          <w:numId w:val="9"/>
        </w:numPr>
        <w:rPr>
          <w:rFonts w:ascii="Arial" w:cs="Arial" w:eastAsia="Arial" w:hAnsi="Arial"/>
          <w:sz w:val="18"/>
          <w:szCs w:val="18"/>
          <w:color w:val="auto"/>
        </w:rPr>
      </w:pPr>
      <w:r>
        <w:rPr>
          <w:rFonts w:ascii="Arial" w:cs="Arial" w:eastAsia="Arial" w:hAnsi="Arial"/>
          <w:sz w:val="18"/>
          <w:szCs w:val="18"/>
          <w:color w:val="auto"/>
        </w:rPr>
        <w:t>Lessee is and will be at all times validly existing and in good standing under the laws of the State of its incorporation (specified in the first sentence of this Agreement).</w:t>
      </w:r>
    </w:p>
    <w:p>
      <w:pPr>
        <w:sectPr>
          <w:pgSz w:w="11900" w:h="16906" w:orient="portrait"/>
          <w:cols w:equalWidth="0" w:num="1">
            <w:col w:w="10588"/>
          </w:cols>
          <w:pgMar w:left="1072" w:top="131" w:right="239" w:bottom="0" w:gutter="0" w:footer="0" w:header="0"/>
        </w:sectPr>
      </w:pPr>
    </w:p>
    <w:bookmarkStart w:id="20" w:name="page21"/>
    <w:bookmarkEnd w:id="20"/>
    <w:p>
      <w:pPr>
        <w:ind w:left="668"/>
        <w:spacing w:after="0"/>
        <w:rPr>
          <w:sz w:val="20"/>
          <w:szCs w:val="20"/>
          <w:color w:val="auto"/>
        </w:rPr>
      </w:pPr>
      <w:r>
        <w:rPr>
          <w:rFonts w:ascii="Arial" w:cs="Arial" w:eastAsia="Arial" w:hAnsi="Arial"/>
          <w:sz w:val="18"/>
          <w:szCs w:val="18"/>
          <w:color w:val="auto"/>
        </w:rPr>
        <w:t>i. The Equipment will at all times be used for commercial or business purposes.</w:t>
      </w:r>
    </w:p>
    <w:p>
      <w:pPr>
        <w:spacing w:after="0" w:line="179" w:lineRule="exact"/>
        <w:rPr>
          <w:sz w:val="20"/>
          <w:szCs w:val="20"/>
          <w:color w:val="auto"/>
        </w:rPr>
      </w:pPr>
    </w:p>
    <w:p>
      <w:pPr>
        <w:ind w:left="248" w:hanging="248"/>
        <w:spacing w:after="0"/>
        <w:tabs>
          <w:tab w:leader="none" w:pos="24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PURPOSE OPTION:</w:t>
      </w:r>
    </w:p>
    <w:p>
      <w:pPr>
        <w:spacing w:after="0" w:line="213" w:lineRule="exact"/>
        <w:rPr>
          <w:rFonts w:ascii="Arial" w:cs="Arial" w:eastAsia="Arial" w:hAnsi="Arial"/>
          <w:sz w:val="16"/>
          <w:szCs w:val="16"/>
          <w:b w:val="1"/>
          <w:bCs w:val="1"/>
          <w:color w:val="auto"/>
        </w:rPr>
      </w:pPr>
    </w:p>
    <w:p>
      <w:pPr>
        <w:ind w:left="788" w:hanging="153"/>
        <w:spacing w:after="0" w:line="256" w:lineRule="auto"/>
        <w:tabs>
          <w:tab w:leader="none" w:pos="7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Lessee may at lease expiration purchase all (but not less than all) of the Equipment in any Schedule on an AS IS BASIS for cash equal to its then Fair Market Value (plus all applicable sales taxes). Lessee must notify Lessor of its intent to purchase the Equipment in writing at least one hundred eighty (180) days in advance. If Lessee is in default or if the Lease has already been terminated Lessee may not purchase the Equipment.</w:t>
      </w:r>
    </w:p>
    <w:p>
      <w:pPr>
        <w:spacing w:after="0" w:line="156" w:lineRule="exact"/>
        <w:rPr>
          <w:rFonts w:ascii="Arial" w:cs="Arial" w:eastAsia="Arial" w:hAnsi="Arial"/>
          <w:sz w:val="18"/>
          <w:szCs w:val="18"/>
          <w:color w:val="auto"/>
        </w:rPr>
      </w:pPr>
    </w:p>
    <w:p>
      <w:pPr>
        <w:ind w:left="788" w:right="120" w:hanging="167"/>
        <w:spacing w:after="0" w:line="289"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"Fair Market Value" shall mean the price that a willing buyer (who is neither a lessee in possession nor a used equipment dealer) would pay for the Equipment in an arm's length transaction to a willing seller under no compulsion to sell. In determining the Fair Market Value the Equipment shall be assumed to be in the condition in which it is required to be maintained and returned under this Agreement. If the Equipment is installed it shall be a valued on an installed basis. The costs of removal form current location shall not be a deduction from the Value of the Equipment. If lessor and Lessee are unable to agree on the Fair Market Value at least one hundred thirty-five (135) days before lease expiration, Lessor shall appoint an independent appraiser (reasonably acceptable to Lessee) to determine Fair Market Value. The independent appraiser's determination shall be final, binding and conclusive. Lessee shall bear all costs associated with any such appraisal.</w:t>
      </w:r>
    </w:p>
    <w:p>
      <w:pPr>
        <w:spacing w:after="0" w:line="131" w:lineRule="exact"/>
        <w:rPr>
          <w:rFonts w:ascii="Arial" w:cs="Arial" w:eastAsia="Arial" w:hAnsi="Arial"/>
          <w:sz w:val="16"/>
          <w:szCs w:val="16"/>
          <w:color w:val="auto"/>
        </w:rPr>
      </w:pPr>
    </w:p>
    <w:p>
      <w:pPr>
        <w:ind w:left="788" w:right="180" w:hanging="153"/>
        <w:spacing w:after="0" w:line="268" w:lineRule="auto"/>
        <w:tabs>
          <w:tab w:leader="none" w:pos="7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Lessee shall be deemed to have waived this option unless it provides Lessor with written notice of its irrevocable election to exercise the same within fifteen (15) business days after Fair Market Value is told to Lessee.</w:t>
      </w:r>
    </w:p>
    <w:p>
      <w:pPr>
        <w:spacing w:after="0" w:line="139" w:lineRule="exact"/>
        <w:rPr>
          <w:rFonts w:ascii="Arial" w:cs="Arial" w:eastAsia="Arial" w:hAnsi="Arial"/>
          <w:sz w:val="18"/>
          <w:szCs w:val="18"/>
          <w:color w:val="auto"/>
        </w:rPr>
      </w:pPr>
    </w:p>
    <w:p>
      <w:pPr>
        <w:ind w:left="248" w:hanging="248"/>
        <w:spacing w:after="0"/>
        <w:tabs>
          <w:tab w:leader="none" w:pos="24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13" w:lineRule="exact"/>
        <w:rPr>
          <w:rFonts w:ascii="Arial" w:cs="Arial" w:eastAsia="Arial" w:hAnsi="Arial"/>
          <w:sz w:val="16"/>
          <w:szCs w:val="16"/>
          <w:b w:val="1"/>
          <w:bCs w:val="1"/>
          <w:color w:val="auto"/>
        </w:rPr>
      </w:pPr>
    </w:p>
    <w:p>
      <w:pPr>
        <w:ind w:left="788" w:right="160" w:hanging="153"/>
        <w:spacing w:after="0" w:line="288"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LESSEE AND LESSOR UNCONDITIONALLY WAIVE THE RIGHTS TO A JURY TRIAL OF ANY CLAIM OR CAUSE OF ACTION BASED UPON OR ARISING OUT OF THIS AGREEMENT, ANY OF TH RELATED DOCUMENTS, ANY DEALINGS BETWEEN LESSEE AND LESSOR RELATING TO THE SUBJECT MATTER OF THIS TRANSACTION OR ANY RELATED TRANSACTIONS, AND/OR THE RELATIONSHIP THAT IS BEING ESTABLISHED BETWEEN LESSEE AND LESSOR. THE SCOPE OF T HIS WAIVER IS INTENDED TO BE ALL ENCOMPASSING OF ANY AND ALL DISPUTES THAT MAY BE FILED IN ANY COURT. THIS WAIVER IS IRREVOCABLE. THIS WAIVER MAY NOT BE MODIFIED EITHER ORALLY OR IN WRITING. T HE WAIVER ALSO SHALL APPLY TO ANY SUBSEQUENT AMENDMENTS, RENEWALS, SUPPLEMENTS OR MODIFICATIONS TO THIS AGREEMENT, ANY RELATED DOCUMENTS, OR TO ANY OTHER DOCUMENTS OR AGREEMENTS RELATING TO THIS TRANSACTION OR ANY RELATE TRANSACTION. THIS AGREEMENT MAY BE FILED AS A WRITTEN CONSENT TO A TRIAL BY THE COURT.</w:t>
      </w:r>
    </w:p>
    <w:p>
      <w:pPr>
        <w:spacing w:after="0" w:line="349" w:lineRule="exact"/>
        <w:rPr>
          <w:rFonts w:ascii="Arial" w:cs="Arial" w:eastAsia="Arial" w:hAnsi="Arial"/>
          <w:sz w:val="16"/>
          <w:szCs w:val="16"/>
          <w:color w:val="auto"/>
        </w:rPr>
      </w:pPr>
    </w:p>
    <w:p>
      <w:pPr>
        <w:ind w:left="788" w:right="20" w:hanging="167"/>
        <w:spacing w:after="0" w:line="294"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Equipment shall remain lessor's property unless Lessee purchases the Equipment from Lessor and until such time Lessee shall only have the right to use the Equipment as a lessee. Any cancellation or termination by Lessor of this Agreement, any Schedule, supplement or amendment hereto, or the lease of any equipment hereunder shall not release Lessee form any then outstanding obligations to Lessor hereunder. All Equipment shall at all times remain personal property of Lessor even though it may be attached to real property. The Equipment shall not become part of any other property by reason of any installation in, or attachment to, other real or personal property.</w:t>
      </w:r>
    </w:p>
    <w:p>
      <w:pPr>
        <w:spacing w:after="0" w:line="129" w:lineRule="exact"/>
        <w:rPr>
          <w:rFonts w:ascii="Arial" w:cs="Arial" w:eastAsia="Arial" w:hAnsi="Arial"/>
          <w:sz w:val="16"/>
          <w:szCs w:val="16"/>
          <w:color w:val="auto"/>
        </w:rPr>
      </w:pPr>
    </w:p>
    <w:p>
      <w:pPr>
        <w:ind w:left="788" w:right="100" w:hanging="153"/>
        <w:spacing w:after="0" w:line="289"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Time is of the essence of this Agreement. Lessor's failure at any time to require strict performance by Lessee of any of the provisions hereof shall not waive or diminish Lessor's right at any other time to demand strict compliance with this Agreement. Lessee agrees, upon Lessor's request, to execute any instrument reasonably necessary or expedient for filing, recording or perfecting the interest of Lessor. All notices required to be given hereunder shall be deemed adequately given if sent by registered or certified mail to the addressee at its address stated herein, or at such other place as such addressee may have specified in writing. This Agreement and any Schedule and Annexes thereto constitute the entire agreement of the parties with respect to the subject matter hereof. NO VARIATION OR MODIFICATION OF THIS AGREEMENT OR ANY WAIVER OF ANY OF ITS PROVISION OR CONDITIONS, SHALL BE VALID UNLESS IN WRITING AND SIGNED BY AN AUTHORIZED REPRESENTATIVE OF OTHER PARTIES HERETO.</w:t>
      </w:r>
    </w:p>
    <w:p>
      <w:pPr>
        <w:spacing w:after="0" w:line="131" w:lineRule="exact"/>
        <w:rPr>
          <w:rFonts w:ascii="Arial" w:cs="Arial" w:eastAsia="Arial" w:hAnsi="Arial"/>
          <w:sz w:val="16"/>
          <w:szCs w:val="16"/>
          <w:color w:val="auto"/>
        </w:rPr>
      </w:pPr>
    </w:p>
    <w:p>
      <w:pPr>
        <w:ind w:left="788" w:right="40" w:hanging="167"/>
        <w:spacing w:after="0" w:line="298"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Lessee does not comply with any provision of this Agreement, Lessor shall have the right, but shall not be obligated, to effect such compliance, in whole or in part. All reasonable amounts spent and obligations incurred or assumed by Lessor in effecting such compliance shall constitute additional rent due to Lessor. Lessee shall pay the additional rent within five days after the date Lessor sends notice to Lessee requesting payment. Lessor's effecting such compliance shall not be a waiver of Lessee's default.</w:t>
      </w:r>
    </w:p>
    <w:p>
      <w:pPr>
        <w:spacing w:after="0" w:line="126" w:lineRule="exact"/>
        <w:rPr>
          <w:rFonts w:ascii="Arial" w:cs="Arial" w:eastAsia="Arial" w:hAnsi="Arial"/>
          <w:sz w:val="16"/>
          <w:szCs w:val="16"/>
          <w:color w:val="auto"/>
        </w:rPr>
      </w:pPr>
    </w:p>
    <w:p>
      <w:pPr>
        <w:ind w:left="788" w:right="200" w:hanging="153"/>
        <w:spacing w:after="0" w:line="306"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rent or other amount not paid to Lessor when due shall bear interest, form the due date until paid, at the lesser of eighteen percent (18%) per annum or the maximum rate allowed by law. Any provisions in this Agreement and any Schedule that are in conflict with any statute, law or applicable rule shall be deemed omitted, modified or altered to conform thereto.</w:t>
      </w:r>
    </w:p>
    <w:p>
      <w:pPr>
        <w:spacing w:after="0" w:line="120" w:lineRule="exact"/>
        <w:rPr>
          <w:rFonts w:ascii="Arial" w:cs="Arial" w:eastAsia="Arial" w:hAnsi="Arial"/>
          <w:sz w:val="16"/>
          <w:szCs w:val="16"/>
          <w:color w:val="auto"/>
        </w:rPr>
      </w:pPr>
    </w:p>
    <w:p>
      <w:pPr>
        <w:ind w:left="788" w:right="40" w:hanging="140"/>
        <w:spacing w:after="0" w:line="298"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Lessee hereby irrevocable authorized lessor to adjust the Capitalized Lessor's Cost up or down by no more than ten percent (10%) within each Schedule to account for equipment change orders, equipment returns, invoicing errors, and similar matters. Lessee acknowledges and agrees that the rent shall be adjusted as a result of the change in the Capitalized Lessor's Cost. Lessor shall send Lessee a written notice stating the final Capitalized Lessor's Cost, if it has changed.</w:t>
      </w:r>
    </w:p>
    <w:p>
      <w:pPr>
        <w:spacing w:after="0" w:line="126" w:lineRule="exact"/>
        <w:rPr>
          <w:rFonts w:ascii="Arial" w:cs="Arial" w:eastAsia="Arial" w:hAnsi="Arial"/>
          <w:sz w:val="16"/>
          <w:szCs w:val="16"/>
          <w:color w:val="auto"/>
        </w:rPr>
      </w:pPr>
    </w:p>
    <w:p>
      <w:pPr>
        <w:ind w:left="788" w:right="260" w:hanging="167"/>
        <w:spacing w:after="0" w:line="298"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THIS AGREEMENT AND THE RIGHTS AND OBLIGATIONS OF THE PARTIES HEREUNDER SHALL IN ALL RESPECTS BE GOVERNED BY AND CONSTRUED IN ACCORDANCE WITH, THE INTERNAL LAWS OF THE STATE OF NEW YORK (WITHOUT REGARD TO THE CONFLICT OF LAWS PRINCIPALS OF SUCH STATE), INCLUDING ALL MATTERS OF CONSTRUCTION, VALIDITY AND PERFORMANCE, REGARDLESS OF THE LOCATION OF THE EQUIPMENT.</w:t>
      </w:r>
    </w:p>
    <w:p>
      <w:pPr>
        <w:spacing w:after="0" w:line="126" w:lineRule="exact"/>
        <w:rPr>
          <w:rFonts w:ascii="Arial" w:cs="Arial" w:eastAsia="Arial" w:hAnsi="Arial"/>
          <w:sz w:val="16"/>
          <w:szCs w:val="16"/>
          <w:color w:val="auto"/>
        </w:rPr>
      </w:pPr>
    </w:p>
    <w:p>
      <w:pPr>
        <w:ind w:left="788" w:right="100" w:hanging="167"/>
        <w:spacing w:after="0" w:line="332"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cancellation or termination by Lessor, pursuant to the provision of t his Agreement, any Schedule, supplement or amendment hereto, of the lease of any Equipment hereunder, shall not release Lessee from any then outstanding obligations to Lessor hereunder.</w:t>
      </w:r>
    </w:p>
    <w:p>
      <w:pPr>
        <w:spacing w:after="0" w:line="98" w:lineRule="exact"/>
        <w:rPr>
          <w:rFonts w:ascii="Arial" w:cs="Arial" w:eastAsia="Arial" w:hAnsi="Arial"/>
          <w:sz w:val="16"/>
          <w:szCs w:val="16"/>
          <w:color w:val="auto"/>
        </w:rPr>
      </w:pPr>
    </w:p>
    <w:p>
      <w:pPr>
        <w:ind w:left="788" w:right="20" w:hanging="126"/>
        <w:spacing w:after="0" w:line="254" w:lineRule="auto"/>
        <w:tabs>
          <w:tab w:leader="none" w:pos="7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the extent that any Schedule would constitute chattel paper, as such term is defined in the Uniform Commercial Code as in effect in any applicable jurisdiction, no security interest therein may be created through the transfer or possession of this Agreement in and of itself without the transfer or possession of the original of a Schedule executed pursuant to this Agreement and incorporating this Agreement by reference; and no security interest in this Agreement and a Schedule may be created by the transfer or possession of any counterpart of the Schedule other than the original thereof, which shall be identified as the document marked "Original" and all other counterparts shall be marked Duplicate".</w:t>
      </w:r>
    </w:p>
    <w:p>
      <w:pPr>
        <w:sectPr>
          <w:pgSz w:w="11900" w:h="16838" w:orient="portrait"/>
          <w:cols w:equalWidth="0" w:num="1">
            <w:col w:w="10568"/>
          </w:cols>
          <w:pgMar w:left="1072" w:top="131" w:right="259" w:bottom="53" w:gutter="0" w:footer="0" w:header="0"/>
        </w:sectPr>
      </w:pPr>
    </w:p>
    <w:bookmarkStart w:id="21" w:name="page22"/>
    <w:bookmarkEnd w:id="21"/>
    <w:p>
      <w:pPr>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Lessee and Lessor have cause this Agreement to be executed by their duly authorized representatives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3880" w:type="dxa"/>
            <w:vAlign w:val="bottom"/>
          </w:tcPr>
          <w:p>
            <w:pPr>
              <w:spacing w:after="0"/>
              <w:rPr>
                <w:sz w:val="20"/>
                <w:szCs w:val="20"/>
                <w:color w:val="auto"/>
              </w:rPr>
            </w:pPr>
            <w:r>
              <w:rPr>
                <w:rFonts w:ascii="Arial" w:cs="Arial" w:eastAsia="Arial" w:hAnsi="Arial"/>
                <w:sz w:val="22"/>
                <w:szCs w:val="22"/>
                <w:color w:val="auto"/>
              </w:rPr>
              <w:t>LESSOR:</w:t>
            </w:r>
          </w:p>
        </w:tc>
        <w:tc>
          <w:tcPr>
            <w:tcW w:w="2100" w:type="dxa"/>
            <w:vAlign w:val="bottom"/>
            <w:gridSpan w:val="5"/>
          </w:tcPr>
          <w:p>
            <w:pPr>
              <w:ind w:left="440"/>
              <w:spacing w:after="0"/>
              <w:rPr>
                <w:sz w:val="20"/>
                <w:szCs w:val="20"/>
                <w:color w:val="auto"/>
              </w:rPr>
            </w:pPr>
            <w:r>
              <w:rPr>
                <w:rFonts w:ascii="Arial" w:cs="Arial" w:eastAsia="Arial" w:hAnsi="Arial"/>
                <w:sz w:val="22"/>
                <w:szCs w:val="22"/>
                <w:color w:val="auto"/>
              </w:rPr>
              <w:t>LESSEE:</w:t>
            </w:r>
          </w:p>
        </w:tc>
      </w:tr>
      <w:tr>
        <w:trPr>
          <w:trHeight w:val="281"/>
        </w:trPr>
        <w:tc>
          <w:tcPr>
            <w:tcW w:w="3880" w:type="dxa"/>
            <w:vAlign w:val="bottom"/>
          </w:tcPr>
          <w:p>
            <w:pPr>
              <w:spacing w:after="0"/>
              <w:rPr>
                <w:sz w:val="20"/>
                <w:szCs w:val="20"/>
                <w:color w:val="auto"/>
              </w:rPr>
            </w:pPr>
            <w:r>
              <w:rPr>
                <w:rFonts w:ascii="Arial" w:cs="Arial" w:eastAsia="Arial" w:hAnsi="Arial"/>
                <w:sz w:val="22"/>
                <w:szCs w:val="22"/>
                <w:b w:val="1"/>
                <w:bCs w:val="1"/>
                <w:color w:val="auto"/>
              </w:rPr>
              <w:t>General Electric Capital Corporation</w:t>
            </w:r>
          </w:p>
        </w:tc>
        <w:tc>
          <w:tcPr>
            <w:tcW w:w="2100" w:type="dxa"/>
            <w:vAlign w:val="bottom"/>
            <w:gridSpan w:val="5"/>
          </w:tcPr>
          <w:p>
            <w:pPr>
              <w:ind w:left="440"/>
              <w:spacing w:after="0"/>
              <w:rPr>
                <w:sz w:val="20"/>
                <w:szCs w:val="20"/>
                <w:color w:val="auto"/>
              </w:rPr>
            </w:pPr>
            <w:r>
              <w:rPr>
                <w:rFonts w:ascii="Arial" w:cs="Arial" w:eastAsia="Arial" w:hAnsi="Arial"/>
                <w:sz w:val="22"/>
                <w:szCs w:val="22"/>
                <w:b w:val="1"/>
                <w:bCs w:val="1"/>
                <w:color w:val="auto"/>
              </w:rPr>
              <w:t>Exelixis, Inc.</w:t>
            </w:r>
          </w:p>
        </w:tc>
      </w:tr>
      <w:tr>
        <w:trPr>
          <w:trHeight w:val="382"/>
        </w:trPr>
        <w:tc>
          <w:tcPr>
            <w:tcW w:w="3880" w:type="dxa"/>
            <w:vAlign w:val="bottom"/>
          </w:tcPr>
          <w:p>
            <w:pPr>
              <w:spacing w:after="0"/>
              <w:rPr>
                <w:sz w:val="20"/>
                <w:szCs w:val="20"/>
                <w:color w:val="auto"/>
              </w:rPr>
            </w:pPr>
            <w:r>
              <w:rPr>
                <w:rFonts w:ascii="Arial" w:cs="Arial" w:eastAsia="Arial" w:hAnsi="Arial"/>
                <w:sz w:val="22"/>
                <w:szCs w:val="22"/>
                <w:color w:val="auto"/>
              </w:rPr>
              <w:t>By:</w:t>
            </w:r>
          </w:p>
        </w:tc>
        <w:tc>
          <w:tcPr>
            <w:tcW w:w="2100" w:type="dxa"/>
            <w:vAlign w:val="bottom"/>
            <w:gridSpan w:val="5"/>
          </w:tcPr>
          <w:p>
            <w:pPr>
              <w:ind w:left="440"/>
              <w:spacing w:after="0"/>
              <w:rPr>
                <w:sz w:val="20"/>
                <w:szCs w:val="20"/>
                <w:color w:val="auto"/>
              </w:rPr>
            </w:pPr>
            <w:r>
              <w:rPr>
                <w:rFonts w:ascii="Arial" w:cs="Arial" w:eastAsia="Arial" w:hAnsi="Arial"/>
                <w:sz w:val="22"/>
                <w:szCs w:val="22"/>
                <w:color w:val="auto"/>
                <w:w w:val="88"/>
              </w:rPr>
              <w:t>By:/s/ Glen Y. Sato</w:t>
            </w:r>
          </w:p>
        </w:tc>
      </w:tr>
      <w:tr>
        <w:trPr>
          <w:trHeight w:val="20"/>
        </w:trPr>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412"/>
        </w:trPr>
        <w:tc>
          <w:tcPr>
            <w:tcW w:w="3880" w:type="dxa"/>
            <w:vAlign w:val="bottom"/>
          </w:tcPr>
          <w:p>
            <w:pPr>
              <w:spacing w:after="0"/>
              <w:rPr>
                <w:sz w:val="20"/>
                <w:szCs w:val="20"/>
                <w:color w:val="auto"/>
              </w:rPr>
            </w:pPr>
            <w:r>
              <w:rPr>
                <w:rFonts w:ascii="Arial" w:cs="Arial" w:eastAsia="Arial" w:hAnsi="Arial"/>
                <w:sz w:val="22"/>
                <w:szCs w:val="22"/>
                <w:color w:val="auto"/>
              </w:rPr>
              <w:t>Name:</w:t>
            </w:r>
          </w:p>
        </w:tc>
        <w:tc>
          <w:tcPr>
            <w:tcW w:w="2100" w:type="dxa"/>
            <w:vAlign w:val="bottom"/>
            <w:gridSpan w:val="5"/>
          </w:tcPr>
          <w:p>
            <w:pPr>
              <w:ind w:left="440"/>
              <w:spacing w:after="0"/>
              <w:rPr>
                <w:sz w:val="20"/>
                <w:szCs w:val="20"/>
                <w:color w:val="auto"/>
              </w:rPr>
            </w:pPr>
            <w:r>
              <w:rPr>
                <w:rFonts w:ascii="Arial" w:cs="Arial" w:eastAsia="Arial" w:hAnsi="Arial"/>
                <w:sz w:val="22"/>
                <w:szCs w:val="22"/>
                <w:color w:val="auto"/>
                <w:w w:val="86"/>
              </w:rPr>
              <w:t>Name:Glen Y. Sato</w:t>
            </w:r>
          </w:p>
        </w:tc>
      </w:tr>
      <w:tr>
        <w:trPr>
          <w:trHeight w:val="20"/>
        </w:trPr>
        <w:tc>
          <w:tcPr>
            <w:tcW w:w="38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412"/>
        </w:trPr>
        <w:tc>
          <w:tcPr>
            <w:tcW w:w="3880" w:type="dxa"/>
            <w:vAlign w:val="bottom"/>
          </w:tcPr>
          <w:p>
            <w:pPr>
              <w:spacing w:after="0"/>
              <w:rPr>
                <w:sz w:val="20"/>
                <w:szCs w:val="20"/>
                <w:color w:val="auto"/>
              </w:rPr>
            </w:pPr>
            <w:r>
              <w:rPr>
                <w:rFonts w:ascii="Arial" w:cs="Arial" w:eastAsia="Arial" w:hAnsi="Arial"/>
                <w:sz w:val="22"/>
                <w:szCs w:val="22"/>
                <w:color w:val="auto"/>
              </w:rPr>
              <w:t>Title:</w:t>
            </w:r>
          </w:p>
        </w:tc>
        <w:tc>
          <w:tcPr>
            <w:tcW w:w="2100" w:type="dxa"/>
            <w:vAlign w:val="bottom"/>
            <w:gridSpan w:val="5"/>
          </w:tcPr>
          <w:p>
            <w:pPr>
              <w:ind w:left="440"/>
              <w:spacing w:after="0"/>
              <w:rPr>
                <w:sz w:val="20"/>
                <w:szCs w:val="20"/>
                <w:color w:val="auto"/>
              </w:rPr>
            </w:pPr>
            <w:r>
              <w:rPr>
                <w:rFonts w:ascii="Arial" w:cs="Arial" w:eastAsia="Arial" w:hAnsi="Arial"/>
                <w:sz w:val="22"/>
                <w:szCs w:val="22"/>
                <w:color w:val="auto"/>
              </w:rPr>
              <w:t>Title:CFO</w:t>
            </w:r>
          </w:p>
        </w:tc>
      </w:tr>
      <w:tr>
        <w:trPr>
          <w:trHeight w:val="20"/>
        </w:trPr>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80"/>
      </w:cols>
      <w:pgMar w:left="78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6"/>
    </w:lvl>
    <w:lvl w:ilvl="1">
      <w:lvlJc w:val="left"/>
      <w:lvlText w:val="%2."/>
      <w:numFmt w:val="lowerLetter"/>
      <w:start w:val="1"/>
    </w:lvl>
  </w:abstractNum>
  <w:abstractNum w:abstractNumId="7">
    <w:nsid w:val="5BD062C2"/>
    <w:multiLevelType w:val="hybridMultilevel"/>
    <w:lvl w:ilvl="0">
      <w:lvlJc w:val="left"/>
      <w:lvlText w:val="%1."/>
      <w:numFmt w:val="decimal"/>
      <w:start w:val="11"/>
    </w:lvl>
    <w:lvl w:ilvl="1">
      <w:lvlJc w:val="left"/>
      <w:lvlText w:val="%2."/>
      <w:numFmt w:val="lowerLetter"/>
      <w:start w:val="1"/>
    </w:lvl>
  </w:abstractNum>
  <w:abstractNum w:abstractNumId="8">
    <w:nsid w:val="12200854"/>
    <w:multiLevelType w:val="hybridMultilevel"/>
    <w:lvl w:ilvl="0">
      <w:lvlJc w:val="left"/>
      <w:lvlText w:val="%1."/>
      <w:numFmt w:val="decimal"/>
      <w:start w:val="15"/>
    </w:lvl>
    <w:lvl w:ilvl="1">
      <w:lvlJc w:val="left"/>
      <w:lvlText w:val="%2."/>
      <w:numFmt w:val="lowerLetter"/>
      <w:start w:val="1"/>
    </w:lvl>
  </w:abstractNum>
  <w:abstractNum w:abstractNumId="9">
    <w:nsid w:val="4DB127F8"/>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2019-12-14T05:20:17Z</dcterms:created>
  <dcterms:modified xsi:type="dcterms:W3CDTF">2019-12-14T05:20:17Z</dcterms:modified>
</cp:coreProperties>
</file>