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85090</wp:posOffset>
            </wp:positionV>
            <wp:extent cx="25730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45085</wp:posOffset>
            </wp:positionV>
            <wp:extent cx="25730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106045</wp:posOffset>
            </wp:positionV>
            <wp:extent cx="2573020"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EXELIXIS,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25730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56"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2960" w:type="dxa"/>
            <w:vAlign w:val="bottom"/>
          </w:tcPr>
          <w:p>
            <w:pPr>
              <w:jc w:val="center"/>
              <w:ind w:right="1162"/>
              <w:spacing w:after="0"/>
              <w:rPr>
                <w:sz w:val="20"/>
                <w:szCs w:val="20"/>
                <w:color w:val="auto"/>
              </w:rPr>
            </w:pPr>
            <w:r>
              <w:rPr>
                <w:rFonts w:ascii="Arial" w:cs="Arial" w:eastAsia="Arial" w:hAnsi="Arial"/>
                <w:sz w:val="18"/>
                <w:szCs w:val="18"/>
                <w:b w:val="1"/>
                <w:bCs w:val="1"/>
                <w:color w:val="auto"/>
              </w:rPr>
              <w:t>Delaware</w:t>
            </w:r>
          </w:p>
        </w:tc>
        <w:tc>
          <w:tcPr>
            <w:tcW w:w="3440" w:type="dxa"/>
            <w:vAlign w:val="bottom"/>
          </w:tcPr>
          <w:p>
            <w:pPr>
              <w:ind w:left="1240"/>
              <w:spacing w:after="0"/>
              <w:rPr>
                <w:sz w:val="20"/>
                <w:szCs w:val="20"/>
                <w:color w:val="auto"/>
              </w:rPr>
            </w:pPr>
            <w:r>
              <w:rPr>
                <w:rFonts w:ascii="Arial" w:cs="Arial" w:eastAsia="Arial" w:hAnsi="Arial"/>
                <w:sz w:val="18"/>
                <w:szCs w:val="18"/>
                <w:b w:val="1"/>
                <w:bCs w:val="1"/>
                <w:color w:val="auto"/>
              </w:rPr>
              <w:t>000-30235</w:t>
            </w:r>
          </w:p>
        </w:tc>
        <w:tc>
          <w:tcPr>
            <w:tcW w:w="2480" w:type="dxa"/>
            <w:vAlign w:val="bottom"/>
          </w:tcPr>
          <w:p>
            <w:pPr>
              <w:jc w:val="center"/>
              <w:ind w:left="1282"/>
              <w:spacing w:after="0"/>
              <w:rPr>
                <w:sz w:val="20"/>
                <w:szCs w:val="20"/>
                <w:color w:val="auto"/>
              </w:rPr>
            </w:pPr>
            <w:r>
              <w:rPr>
                <w:rFonts w:ascii="Arial" w:cs="Arial" w:eastAsia="Arial" w:hAnsi="Arial"/>
                <w:sz w:val="18"/>
                <w:szCs w:val="18"/>
                <w:b w:val="1"/>
                <w:bCs w:val="1"/>
                <w:color w:val="auto"/>
                <w:w w:val="99"/>
              </w:rPr>
              <w:t>04-3257395</w:t>
            </w:r>
          </w:p>
        </w:tc>
      </w:tr>
      <w:tr>
        <w:trPr>
          <w:trHeight w:val="221"/>
        </w:trPr>
        <w:tc>
          <w:tcPr>
            <w:tcW w:w="2960" w:type="dxa"/>
            <w:vAlign w:val="bottom"/>
          </w:tcPr>
          <w:p>
            <w:pPr>
              <w:jc w:val="center"/>
              <w:ind w:right="1182"/>
              <w:spacing w:after="0"/>
              <w:rPr>
                <w:sz w:val="20"/>
                <w:szCs w:val="20"/>
                <w:color w:val="auto"/>
              </w:rPr>
            </w:pPr>
            <w:r>
              <w:rPr>
                <w:rFonts w:ascii="Arial" w:cs="Arial" w:eastAsia="Arial" w:hAnsi="Arial"/>
                <w:sz w:val="14"/>
                <w:szCs w:val="14"/>
                <w:color w:val="auto"/>
              </w:rPr>
              <w:t>(State or Other Jurisdiction</w:t>
            </w:r>
          </w:p>
        </w:tc>
        <w:tc>
          <w:tcPr>
            <w:tcW w:w="3440" w:type="dxa"/>
            <w:vAlign w:val="bottom"/>
          </w:tcPr>
          <w:p>
            <w:pPr>
              <w:ind w:left="1240"/>
              <w:spacing w:after="0"/>
              <w:rPr>
                <w:sz w:val="20"/>
                <w:szCs w:val="20"/>
                <w:color w:val="auto"/>
              </w:rPr>
            </w:pPr>
            <w:r>
              <w:rPr>
                <w:rFonts w:ascii="Arial" w:cs="Arial" w:eastAsia="Arial" w:hAnsi="Arial"/>
                <w:sz w:val="14"/>
                <w:szCs w:val="14"/>
                <w:color w:val="auto"/>
              </w:rPr>
              <w:t>(Commission</w:t>
            </w:r>
          </w:p>
        </w:tc>
        <w:tc>
          <w:tcPr>
            <w:tcW w:w="2480" w:type="dxa"/>
            <w:vAlign w:val="bottom"/>
          </w:tcPr>
          <w:p>
            <w:pPr>
              <w:jc w:val="center"/>
              <w:ind w:left="1262"/>
              <w:spacing w:after="0"/>
              <w:rPr>
                <w:sz w:val="20"/>
                <w:szCs w:val="20"/>
                <w:color w:val="auto"/>
              </w:rPr>
            </w:pPr>
            <w:r>
              <w:rPr>
                <w:rFonts w:ascii="Arial" w:cs="Arial" w:eastAsia="Arial" w:hAnsi="Arial"/>
                <w:sz w:val="14"/>
                <w:szCs w:val="14"/>
                <w:color w:val="auto"/>
              </w:rPr>
              <w:t>(IRS Employer</w:t>
            </w:r>
          </w:p>
        </w:tc>
      </w:tr>
      <w:tr>
        <w:trPr>
          <w:trHeight w:val="172"/>
        </w:trPr>
        <w:tc>
          <w:tcPr>
            <w:tcW w:w="2960" w:type="dxa"/>
            <w:vAlign w:val="bottom"/>
          </w:tcPr>
          <w:p>
            <w:pPr>
              <w:jc w:val="center"/>
              <w:ind w:right="1162"/>
              <w:spacing w:after="0"/>
              <w:rPr>
                <w:sz w:val="20"/>
                <w:szCs w:val="20"/>
                <w:color w:val="auto"/>
              </w:rPr>
            </w:pPr>
            <w:r>
              <w:rPr>
                <w:rFonts w:ascii="Arial" w:cs="Arial" w:eastAsia="Arial" w:hAnsi="Arial"/>
                <w:sz w:val="14"/>
                <w:szCs w:val="14"/>
                <w:color w:val="auto"/>
              </w:rPr>
              <w:t>of Incorporation)</w:t>
            </w:r>
          </w:p>
        </w:tc>
        <w:tc>
          <w:tcPr>
            <w:tcW w:w="3440" w:type="dxa"/>
            <w:vAlign w:val="bottom"/>
          </w:tcPr>
          <w:p>
            <w:pPr>
              <w:ind w:left="1240"/>
              <w:spacing w:after="0"/>
              <w:rPr>
                <w:sz w:val="20"/>
                <w:szCs w:val="20"/>
                <w:color w:val="auto"/>
              </w:rPr>
            </w:pPr>
            <w:r>
              <w:rPr>
                <w:rFonts w:ascii="Arial" w:cs="Arial" w:eastAsia="Arial" w:hAnsi="Arial"/>
                <w:sz w:val="14"/>
                <w:szCs w:val="14"/>
                <w:color w:val="auto"/>
              </w:rPr>
              <w:t>File Number)</w:t>
            </w:r>
          </w:p>
        </w:tc>
        <w:tc>
          <w:tcPr>
            <w:tcW w:w="2480" w:type="dxa"/>
            <w:vAlign w:val="bottom"/>
          </w:tcPr>
          <w:p>
            <w:pPr>
              <w:jc w:val="center"/>
              <w:ind w:left="1282"/>
              <w:spacing w:after="0"/>
              <w:rPr>
                <w:sz w:val="20"/>
                <w:szCs w:val="20"/>
                <w:color w:val="auto"/>
              </w:rPr>
            </w:pPr>
            <w:r>
              <w:rPr>
                <w:rFonts w:ascii="Arial" w:cs="Arial" w:eastAsia="Arial" w:hAnsi="Arial"/>
                <w:sz w:val="14"/>
                <w:szCs w:val="14"/>
                <w:color w:val="auto"/>
              </w:rPr>
              <w:t>Identification No.)</w:t>
            </w:r>
          </w:p>
        </w:tc>
      </w:tr>
    </w:tbl>
    <w:p>
      <w:pPr>
        <w:spacing w:after="0" w:line="219"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1851 Harbor Bay Parkway</w:t>
      </w:r>
    </w:p>
    <w:p>
      <w:pPr>
        <w:spacing w:after="0" w:line="3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Alameda, California 94502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837-7000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58"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160" w:firstLine="8"/>
        <w:spacing w:after="0" w:line="449"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13" w:lineRule="exact"/>
        <w:rPr>
          <w:sz w:val="24"/>
          <w:szCs w:val="24"/>
          <w:color w:val="auto"/>
        </w:rPr>
      </w:pPr>
    </w:p>
    <w:tbl>
      <w:tblPr>
        <w:tblLayout w:type="fixed"/>
        <w:tblInd w:w="48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Title of each class</w:t>
            </w: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Trading Symbol(s)</w:t>
            </w:r>
          </w:p>
        </w:tc>
        <w:tc>
          <w:tcPr>
            <w:tcW w:w="420" w:type="dxa"/>
            <w:vAlign w:val="bottom"/>
          </w:tcPr>
          <w:p>
            <w:pPr>
              <w:spacing w:after="0"/>
              <w:rPr>
                <w:sz w:val="18"/>
                <w:szCs w:val="18"/>
                <w:color w:val="auto"/>
              </w:rPr>
            </w:pPr>
          </w:p>
        </w:tc>
        <w:tc>
          <w:tcPr>
            <w:tcW w:w="3980" w:type="dxa"/>
            <w:vAlign w:val="bottom"/>
            <w:gridSpan w:val="2"/>
          </w:tcPr>
          <w:p>
            <w:pPr>
              <w:jc w:val="center"/>
              <w:ind w:left="330"/>
              <w:spacing w:after="0"/>
              <w:rPr>
                <w:sz w:val="20"/>
                <w:szCs w:val="20"/>
                <w:color w:val="auto"/>
              </w:rPr>
            </w:pPr>
            <w:r>
              <w:rPr>
                <w:rFonts w:ascii="Arial" w:cs="Arial" w:eastAsia="Arial" w:hAnsi="Arial"/>
                <w:sz w:val="18"/>
                <w:szCs w:val="18"/>
                <w:color w:val="auto"/>
                <w:w w:val="9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77"/>
        </w:trPr>
        <w:tc>
          <w:tcPr>
            <w:tcW w:w="40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9"/>
              </w:rPr>
              <w:t>Common Stock $.001 Par Value per Share</w:t>
            </w:r>
          </w:p>
        </w:tc>
        <w:tc>
          <w:tcPr>
            <w:tcW w:w="440" w:type="dxa"/>
            <w:vAlign w:val="bottom"/>
          </w:tcPr>
          <w:p>
            <w:pPr>
              <w:spacing w:after="0"/>
              <w:rPr>
                <w:sz w:val="24"/>
                <w:szCs w:val="24"/>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EXEL</w:t>
            </w:r>
          </w:p>
        </w:tc>
        <w:tc>
          <w:tcPr>
            <w:tcW w:w="42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200" w:lineRule="exact"/>
        <w:rPr>
          <w:sz w:val="24"/>
          <w:szCs w:val="24"/>
          <w:color w:val="auto"/>
        </w:rPr>
      </w:pPr>
    </w:p>
    <w:p>
      <w:pPr>
        <w:spacing w:after="0" w:line="353" w:lineRule="exact"/>
        <w:rPr>
          <w:sz w:val="24"/>
          <w:szCs w:val="24"/>
          <w:color w:val="auto"/>
        </w:rPr>
      </w:pPr>
    </w:p>
    <w:p>
      <w:pPr>
        <w:ind w:right="180"/>
        <w:spacing w:after="0" w:line="226"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42"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8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93"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On June 19, 2019, Exelixis, Inc. (“Exelixis”) was informed by its collaboration partner Genentech, a member of the Roche Group (“Genentech”), that IMspire170, the phase 3 trial evaluating the combination of cobimetinib, an Exelixis-discovered MEK inhibitor, and atezolizumab, an anti-PDL1 antibody discovered and developed by Genentech, did not meet its primary endpoint of progression-free survival compared to pembrolizumab, a current standard of care, in patients with previously untreated BRAF V600 wild-type advanced melanoma.</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IMspire170 showed the combination of cobimetinib and atezolizumab did not reduce the risk of disease progression or death compared to pembrolizumab. The safety profile observed in the trial was consistent with the known safety profiles of the individual medicines, and no new safety signals were identified with the combination. Genentech, the sponsor of IMspire170, informed Exelixis that Genentech intends to present results from the trial at an upcoming medical meeting.</w:t>
      </w:r>
    </w:p>
    <w:p>
      <w:pPr>
        <w:sectPr>
          <w:pgSz w:w="11900" w:h="16838" w:orient="portrait"/>
          <w:cols w:equalWidth="0" w:num="1">
            <w:col w:w="11400"/>
          </w:cols>
          <w:pgMar w:left="240" w:top="900"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4" w:lineRule="exact"/>
        <w:rPr>
          <w:sz w:val="20"/>
          <w:szCs w:val="20"/>
          <w:color w:val="auto"/>
        </w:rPr>
      </w:pPr>
    </w:p>
    <w:tbl>
      <w:tblPr>
        <w:tblLayout w:type="fixed"/>
        <w:tblInd w:w="96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EXELIXIS, INC.</w:t>
            </w:r>
          </w:p>
        </w:tc>
      </w:tr>
      <w:tr>
        <w:trPr>
          <w:trHeight w:val="567"/>
        </w:trPr>
        <w:tc>
          <w:tcPr>
            <w:tcW w:w="302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June 20, 2019</w:t>
            </w:r>
          </w:p>
        </w:tc>
        <w:tc>
          <w:tcPr>
            <w:tcW w:w="5520" w:type="dxa"/>
            <w:vAlign w:val="bottom"/>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J. H</w:t>
            </w:r>
            <w:r>
              <w:rPr>
                <w:rFonts w:ascii="Arial" w:cs="Arial" w:eastAsia="Arial" w:hAnsi="Arial"/>
                <w:sz w:val="14"/>
                <w:szCs w:val="14"/>
                <w:color w:val="auto"/>
              </w:rPr>
              <w:t>ESSEKIEL</w:t>
            </w:r>
          </w:p>
        </w:tc>
      </w:tr>
      <w:tr>
        <w:trPr>
          <w:trHeight w:val="27"/>
        </w:trPr>
        <w:tc>
          <w:tcPr>
            <w:tcW w:w="24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37"/>
        </w:trPr>
        <w:tc>
          <w:tcPr>
            <w:tcW w:w="302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Date</w:t>
            </w:r>
          </w:p>
        </w:tc>
        <w:tc>
          <w:tcPr>
            <w:tcW w:w="5520" w:type="dxa"/>
            <w:vAlign w:val="bottom"/>
          </w:tcPr>
          <w:p>
            <w:pPr>
              <w:jc w:val="center"/>
              <w:spacing w:after="0"/>
              <w:rPr>
                <w:sz w:val="20"/>
                <w:szCs w:val="20"/>
                <w:color w:val="auto"/>
              </w:rPr>
            </w:pPr>
            <w:r>
              <w:rPr>
                <w:rFonts w:ascii="Arial" w:cs="Arial" w:eastAsia="Arial" w:hAnsi="Arial"/>
                <w:sz w:val="14"/>
                <w:szCs w:val="14"/>
                <w:b w:val="1"/>
                <w:bCs w:val="1"/>
                <w:color w:val="auto"/>
              </w:rPr>
              <w:t>Jeffrey J. Hessekiel</w:t>
            </w:r>
          </w:p>
        </w:tc>
      </w:tr>
      <w:tr>
        <w:trPr>
          <w:trHeight w:val="257"/>
        </w:trPr>
        <w:tc>
          <w:tcPr>
            <w:tcW w:w="2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General Counsel</w:t>
            </w:r>
          </w:p>
        </w:tc>
      </w:tr>
    </w:tbl>
    <w:p>
      <w:pPr>
        <w:spacing w:after="0" w:line="1" w:lineRule="exact"/>
        <w:rPr>
          <w:sz w:val="20"/>
          <w:szCs w:val="20"/>
          <w:color w:val="auto"/>
        </w:rPr>
      </w:pPr>
    </w:p>
    <w:sectPr>
      <w:pgSz w:w="11900" w:h="16838" w:orient="portrait"/>
      <w:cols w:equalWidth="0" w:num="1">
        <w:col w:w="11000"/>
      </w:cols>
      <w:pgMar w:left="24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2019-12-01T13:47:47Z</dcterms:created>
  <dcterms:modified xsi:type="dcterms:W3CDTF">2019-12-01T13:47:47Z</dcterms:modified>
</cp:coreProperties>
</file>