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Haley Patrick J.</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EXELIXIS,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1851 HARBOR BAY PARKWAY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EXELIXIS,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EXEL</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02/26/2026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945"/>
        <w:spacing w:after="0"/>
        <w:rPr>
          <w:sz w:val="20"/>
          <w:szCs w:val="20"/>
          <w:color w:val="auto"/>
        </w:rPr>
      </w:pPr>
      <w:r>
        <w:rPr>
          <w:rFonts w:ascii="Times New Roman" w:cs="Times New Roman" w:eastAsia="Times New Roman" w:hAnsi="Times New Roman"/>
          <w:sz w:val="17"/>
          <w:szCs w:val="17"/>
          <w:color w:val="0000FF"/>
        </w:rPr>
        <w:t>EVP, Commercial</w:t>
      </w:r>
    </w:p>
    <w:p>
      <w:pPr>
        <w:spacing w:after="0" w:line="42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380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500" w:type="dxa"/>
            <w:vAlign w:val="bottom"/>
            <w:gridSpan w:val="9"/>
          </w:tcPr>
          <w:p>
            <w:pPr>
              <w:ind w:left="1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0" w:type="dxa"/>
            <w:vAlign w:val="bottom"/>
            <w:gridSpan w:val="4"/>
          </w:tcPr>
          <w:p>
            <w:pPr>
              <w:ind w:left="160"/>
              <w:spacing w:after="0"/>
              <w:rPr>
                <w:sz w:val="20"/>
                <w:szCs w:val="20"/>
                <w:color w:val="auto"/>
              </w:rPr>
            </w:pPr>
            <w:r>
              <w:rPr>
                <w:rFonts w:ascii="Arial" w:cs="Arial" w:eastAsia="Arial" w:hAnsi="Arial"/>
                <w:sz w:val="13"/>
                <w:szCs w:val="13"/>
                <w:color w:val="auto"/>
              </w:rPr>
              <w:t>Line)</w:t>
            </w: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ALAMEDA</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0"/>
                <w:szCs w:val="10"/>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94502</w:t>
            </w: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96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64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6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4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vMerge w:val="restart"/>
          </w:tcPr>
          <w:p>
            <w:pPr>
              <w:spacing w:after="0"/>
              <w:rPr>
                <w:sz w:val="6"/>
                <w:szCs w:val="6"/>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64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vMerge w:val="continue"/>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7"/>
          </w:tcPr>
          <w:p>
            <w:pPr>
              <w:spacing w:after="0"/>
              <w:rPr>
                <w:sz w:val="10"/>
                <w:szCs w:val="10"/>
                <w:color w:val="auto"/>
              </w:rPr>
            </w:pPr>
          </w:p>
        </w:tc>
        <w:tc>
          <w:tcPr>
            <w:tcW w:w="26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2"/>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20" w:type="dxa"/>
            <w:vAlign w:val="bottom"/>
            <w:tcBorders>
              <w:top w:val="single" w:sz="8" w:color="2C2C2C"/>
            </w:tcBorders>
            <w:gridSpan w:val="14"/>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40" w:type="dxa"/>
            <w:vAlign w:val="bottom"/>
            <w:gridSpan w:val="7"/>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3"/>
          </w:tcPr>
          <w:p>
            <w:pPr>
              <w:ind w:left="8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840"/>
              <w:spacing w:after="0"/>
              <w:rPr>
                <w:sz w:val="20"/>
                <w:szCs w:val="20"/>
                <w:color w:val="auto"/>
              </w:rPr>
            </w:pPr>
            <w:r>
              <w:rPr>
                <w:rFonts w:ascii="Times New Roman" w:cs="Times New Roman" w:eastAsia="Times New Roman" w:hAnsi="Times New Roman"/>
                <w:sz w:val="17"/>
                <w:szCs w:val="17"/>
                <w:color w:val="0000FF"/>
              </w:rPr>
              <w:t>02/26/2026</w:t>
            </w:r>
            <w:r>
              <w:rPr>
                <w:rFonts w:ascii="Times New Roman" w:cs="Times New Roman" w:eastAsia="Times New Roman" w:hAnsi="Times New Roman"/>
                <w:sz w:val="22"/>
                <w:szCs w:val="22"/>
                <w:color w:val="008000"/>
                <w:vertAlign w:val="superscript"/>
              </w:rPr>
              <w:t>(1)</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w w:val="97"/>
              </w:rPr>
              <w:t>40,459</w:t>
            </w:r>
            <w:r>
              <w:rPr>
                <w:rFonts w:ascii="Times New Roman" w:cs="Times New Roman" w:eastAsia="Times New Roman" w:hAnsi="Times New Roman"/>
                <w:sz w:val="22"/>
                <w:szCs w:val="22"/>
                <w:color w:val="008000"/>
                <w:w w:val="97"/>
                <w:vertAlign w:val="superscript"/>
              </w:rPr>
              <w:t>(1)</w:t>
            </w:r>
          </w:p>
        </w:tc>
        <w:tc>
          <w:tcPr>
            <w:tcW w:w="6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360" w:type="dxa"/>
            <w:vAlign w:val="bottom"/>
            <w:tcBorders>
              <w:bottom w:val="single" w:sz="8" w:color="2C2C2C"/>
            </w:tcBorders>
            <w:gridSpan w:val="2"/>
          </w:tcPr>
          <w:p>
            <w:pPr>
              <w:ind w:left="160"/>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1380" w:type="dxa"/>
            <w:vAlign w:val="bottom"/>
            <w:tcBorders>
              <w:bottom w:val="single" w:sz="8" w:color="2C2C2C"/>
            </w:tcBorders>
            <w:gridSpan w:val="3"/>
          </w:tcPr>
          <w:p>
            <w:pPr>
              <w:ind w:left="400"/>
              <w:spacing w:after="0"/>
              <w:rPr>
                <w:sz w:val="20"/>
                <w:szCs w:val="20"/>
                <w:color w:val="auto"/>
              </w:rPr>
            </w:pPr>
            <w:r>
              <w:rPr>
                <w:rFonts w:ascii="Times New Roman" w:cs="Times New Roman" w:eastAsia="Times New Roman" w:hAnsi="Times New Roman"/>
                <w:sz w:val="17"/>
                <w:szCs w:val="17"/>
                <w:color w:val="0000FF"/>
              </w:rPr>
              <w:t>422,367</w:t>
            </w:r>
            <w:r>
              <w:rPr>
                <w:rFonts w:ascii="Times New Roman" w:cs="Times New Roman" w:eastAsia="Times New Roman" w:hAnsi="Times New Roman"/>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0" w:type="dxa"/>
            <w:vAlign w:val="bottom"/>
            <w:gridSpan w:val="3"/>
          </w:tcPr>
          <w:p>
            <w:pPr>
              <w:ind w:left="40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00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Exelixis, Inc. common stock ("Common Stock") that will be issued to the Reporting Person upon the vesting of restricted stock units ("RSUs"). The RSUs were granted to the Reporting Person on the Transaction Date pursuant to the Exelixis, Inc. 2017 Equity Incentive Plan. The RSUs will vest as to 1/4th of the original number of shares subject to the RSU award on May 15, 2027 and thereafter as to 1/4th of the original number of shares subject to the RSU award on each May 15th until fully vested.</w:t>
      </w:r>
    </w:p>
    <w:p>
      <w:pPr>
        <w:spacing w:after="0" w:line="20" w:lineRule="exact"/>
        <w:rPr>
          <w:rFonts w:ascii="Times New Roman" w:cs="Times New Roman" w:eastAsia="Times New Roman" w:hAnsi="Times New Roman"/>
          <w:sz w:val="13"/>
          <w:szCs w:val="13"/>
          <w:color w:val="008000"/>
        </w:rPr>
      </w:pPr>
    </w:p>
    <w:p>
      <w:pPr>
        <w:ind w:left="40" w:right="2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422,367 shares of Common Stock that will be issued to the Reporting Person upon vesting of RSUs and the performance-based restricted stock unit award granted to the Reporting Person on March 31, 2025 ("One-Time Award PSUs"). Each RSU is the economic equivalent of one share of Common Stock and each One-Time Award PSU represents a contingent right to receive one share of Common Stock.</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Nina Ayer, Attorney in Fact 03/02/2026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spacing w:after="0" w:line="5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692954" TargetMode="External"/><Relationship Id="rId14" Type="http://schemas.openxmlformats.org/officeDocument/2006/relationships/hyperlink" Target="http://www.sec.gov/cgi-bin/browse-edgar?action=getcompany&amp;CIK=00009397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2026-03-02T19:02:34Z</dcterms:created>
  <dcterms:modified xsi:type="dcterms:W3CDTF">2026-03-02T19:02:34Z</dcterms:modified>
</cp:coreProperties>
</file>