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4</w:t>
            </w:r>
          </w:p>
        </w:tc>
        <w:tc>
          <w:tcPr>
            <w:tcW w:w="6220" w:type="dxa"/>
            <w:vAlign w:val="bottom"/>
            <w:gridSpan w:val="1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20" w:type="dxa"/>
            <w:vAlign w:val="bottom"/>
            <w:gridSpan w:val="19"/>
            <w:vMerge w:val="restart"/>
          </w:tcPr>
          <w:p>
            <w:pPr>
              <w:jc w:val="center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2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640" w:type="dxa"/>
            <w:vAlign w:val="bottom"/>
            <w:gridSpan w:val="18"/>
            <w:vMerge w:val="restart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4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or Section 30(h) of the Investment Company Act of 1940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ind w:left="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Garber Alan M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EXELIXIS,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EXEL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2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EXELIXIS,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1851 HARBOR BAY PARKWAY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3"/>
          </w:tcPr>
          <w:p>
            <w:pPr>
              <w:ind w:left="2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ALAMEDA</w:t>
            </w: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0" w:type="dxa"/>
            <w:vAlign w:val="bottom"/>
            <w:gridSpan w:val="2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7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7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06/01/2023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44,087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19.39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44,087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05/31/2030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44,087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-5678170</wp:posOffset>
            </wp:positionV>
            <wp:extent cx="7045960" cy="56915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69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280" w:firstLine="3"/>
        <w:spacing w:after="0" w:line="251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 granted pursuant to the Exelixis, Inc. 2017 Equity Incentive Plan. The option is exercisable immediately, subject to repurchase provisions, and will vest as to 100% of the shares subject to the option on the first anniversary of the date of grant, subject to the Reporting Person's continuous service through such date.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Nina Ayer, Attorney in Fact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06/02/2023</w:t>
            </w:r>
          </w:p>
        </w:tc>
      </w:tr>
      <w:tr>
        <w:trPr>
          <w:trHeight w:val="226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3"/>
        <w:spacing w:after="0" w:line="336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312907" TargetMode="External"/><Relationship Id="rId9" Type="http://schemas.openxmlformats.org/officeDocument/2006/relationships/hyperlink" Target="http://www.sec.gov/cgi-bin/browse-edgar?action=getcompany&amp;CIK=0000939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2023-06-02T20:43:04Z</dcterms:created>
  <dcterms:modified xsi:type="dcterms:W3CDTF">2023-06-02T20:43:04Z</dcterms:modified>
</cp:coreProperties>
</file>