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4"/>
          <w:szCs w:val="24"/>
          <w:color w:val="auto"/>
        </w:rPr>
      </w:pPr>
    </w:p>
    <w:p>
      <w:pPr>
        <w:spacing w:after="0" w:line="353"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272415</wp:posOffset>
            </wp:positionV>
            <wp:extent cx="22802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140"/>
        <w:spacing w:after="0"/>
        <w:rPr>
          <w:sz w:val="20"/>
          <w:szCs w:val="20"/>
          <w:color w:val="auto"/>
        </w:rPr>
      </w:pPr>
      <w:r>
        <w:rPr>
          <w:rFonts w:ascii="Arial" w:cs="Arial" w:eastAsia="Arial" w:hAnsi="Arial"/>
          <w:sz w:val="25"/>
          <w:szCs w:val="25"/>
          <w:b w:val="1"/>
          <w:bCs w:val="1"/>
          <w:color w:val="auto"/>
        </w:rPr>
        <w:t>FORM10-Q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47625</wp:posOffset>
            </wp:positionV>
            <wp:extent cx="22802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7" w:lineRule="exact"/>
        <w:rPr>
          <w:sz w:val="24"/>
          <w:szCs w:val="24"/>
          <w:color w:val="auto"/>
        </w:rPr>
      </w:pPr>
    </w:p>
    <w:p>
      <w:pPr>
        <w:jc w:val="center"/>
        <w:ind w:right="180"/>
        <w:spacing w:after="0"/>
        <w:rPr>
          <w:sz w:val="20"/>
          <w:szCs w:val="20"/>
          <w:color w:val="auto"/>
        </w:rPr>
      </w:pPr>
      <w:r>
        <w:rPr>
          <w:rFonts w:ascii="Arial" w:cs="Arial" w:eastAsia="Arial" w:hAnsi="Arial"/>
          <w:sz w:val="17"/>
          <w:szCs w:val="17"/>
          <w:color w:val="auto"/>
        </w:rPr>
        <w:t>QUARTERLY REPORT PURSUANT TO SECTION 13 OR 15(d) OF THE SECURITIES</w:t>
      </w:r>
    </w:p>
    <w:p>
      <w:pPr>
        <w:spacing w:after="0" w:line="34" w:lineRule="exact"/>
        <w:rPr>
          <w:sz w:val="24"/>
          <w:szCs w:val="24"/>
          <w:color w:val="auto"/>
        </w:rPr>
      </w:pPr>
    </w:p>
    <w:p>
      <w:pPr>
        <w:ind w:left="2040" w:hanging="320"/>
        <w:spacing w:after="0"/>
        <w:tabs>
          <w:tab w:leader="none" w:pos="20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EXCHANGE ACT OF 1934</w:t>
      </w:r>
    </w:p>
    <w:p>
      <w:pPr>
        <w:spacing w:after="0" w:line="105" w:lineRule="exact"/>
        <w:rPr>
          <w:sz w:val="24"/>
          <w:szCs w:val="24"/>
          <w:color w:val="auto"/>
        </w:rPr>
      </w:pPr>
    </w:p>
    <w:p>
      <w:pPr>
        <w:jc w:val="center"/>
        <w:ind w:right="-39"/>
        <w:spacing w:after="0"/>
        <w:rPr>
          <w:sz w:val="20"/>
          <w:szCs w:val="20"/>
          <w:color w:val="auto"/>
        </w:rPr>
      </w:pPr>
      <w:r>
        <w:rPr>
          <w:rFonts w:ascii="Arial" w:cs="Arial" w:eastAsia="Arial" w:hAnsi="Arial"/>
          <w:sz w:val="15"/>
          <w:szCs w:val="15"/>
          <w:color w:val="auto"/>
        </w:rPr>
        <w:t>For the quarterly period ended April 3, 2026</w:t>
      </w:r>
    </w:p>
    <w:p>
      <w:pPr>
        <w:spacing w:after="0" w:line="28" w:lineRule="exact"/>
        <w:rPr>
          <w:sz w:val="24"/>
          <w:szCs w:val="24"/>
          <w:color w:val="auto"/>
        </w:rPr>
      </w:pPr>
    </w:p>
    <w:p>
      <w:pPr>
        <w:jc w:val="center"/>
        <w:ind w:right="-39"/>
        <w:spacing w:after="0"/>
        <w:rPr>
          <w:sz w:val="20"/>
          <w:szCs w:val="20"/>
          <w:color w:val="auto"/>
        </w:rPr>
      </w:pPr>
      <w:r>
        <w:rPr>
          <w:rFonts w:ascii="Arial" w:cs="Arial" w:eastAsia="Arial" w:hAnsi="Arial"/>
          <w:sz w:val="15"/>
          <w:szCs w:val="15"/>
          <w:color w:val="auto"/>
        </w:rPr>
        <w:t>or</w:t>
      </w:r>
    </w:p>
    <w:p>
      <w:pPr>
        <w:spacing w:after="0" w:line="368" w:lineRule="exact"/>
        <w:rPr>
          <w:sz w:val="24"/>
          <w:szCs w:val="24"/>
          <w:color w:val="auto"/>
        </w:rPr>
      </w:pPr>
    </w:p>
    <w:p>
      <w:pPr>
        <w:jc w:val="center"/>
        <w:ind w:right="180"/>
        <w:spacing w:after="0"/>
        <w:rPr>
          <w:sz w:val="20"/>
          <w:szCs w:val="20"/>
          <w:color w:val="auto"/>
        </w:rPr>
      </w:pPr>
      <w:r>
        <w:rPr>
          <w:rFonts w:ascii="Arial" w:cs="Arial" w:eastAsia="Arial" w:hAnsi="Arial"/>
          <w:sz w:val="17"/>
          <w:szCs w:val="17"/>
          <w:color w:val="auto"/>
        </w:rPr>
        <w:t>TRANSITION REPORT PURSUANT TO SECTION 13 OR 15(d) OF THE SECURITIES</w:t>
      </w:r>
    </w:p>
    <w:p>
      <w:pPr>
        <w:spacing w:after="0" w:line="34" w:lineRule="exact"/>
        <w:rPr>
          <w:sz w:val="24"/>
          <w:szCs w:val="24"/>
          <w:color w:val="auto"/>
        </w:rPr>
      </w:pPr>
    </w:p>
    <w:p>
      <w:pPr>
        <w:ind w:left="2040" w:hanging="320"/>
        <w:spacing w:after="0"/>
        <w:tabs>
          <w:tab w:leader="none" w:pos="20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EXCHANGE ACT OF 1934</w:t>
      </w:r>
    </w:p>
    <w:p>
      <w:pPr>
        <w:spacing w:after="0" w:line="118" w:lineRule="exact"/>
        <w:rPr>
          <w:sz w:val="24"/>
          <w:szCs w:val="24"/>
          <w:color w:val="auto"/>
        </w:rPr>
      </w:pPr>
    </w:p>
    <w:p>
      <w:pPr>
        <w:jc w:val="center"/>
        <w:ind w:right="-39"/>
        <w:spacing w:after="0"/>
        <w:rPr>
          <w:sz w:val="20"/>
          <w:szCs w:val="20"/>
          <w:color w:val="auto"/>
        </w:rPr>
      </w:pPr>
      <w:r>
        <w:rPr>
          <w:rFonts w:ascii="Arial" w:cs="Arial" w:eastAsia="Arial" w:hAnsi="Arial"/>
          <w:sz w:val="15"/>
          <w:szCs w:val="15"/>
          <w:color w:val="auto"/>
        </w:rPr>
        <w:t>For the transition period from to</w:t>
      </w:r>
    </w:p>
    <w:p>
      <w:pPr>
        <w:spacing w:after="0" w:line="182"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 xml:space="preserve">Commission File Number: </w:t>
      </w:r>
      <w:r>
        <w:rPr>
          <w:rFonts w:ascii="Arial" w:cs="Arial" w:eastAsia="Arial" w:hAnsi="Arial"/>
          <w:sz w:val="16"/>
          <w:szCs w:val="16"/>
          <w:color w:val="auto"/>
        </w:rPr>
        <w:t>000-30235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132080</wp:posOffset>
            </wp:positionV>
            <wp:extent cx="22885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88540" cy="82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243840</wp:posOffset>
            </wp:positionV>
            <wp:extent cx="1517015" cy="403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015" cy="4032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EXELIXIS, INC.</w:t>
      </w:r>
    </w:p>
    <w:p>
      <w:pPr>
        <w:spacing w:after="0" w:line="258"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32385</wp:posOffset>
            </wp:positionV>
            <wp:extent cx="22885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ectPr>
          <w:pgSz w:w="11900" w:h="16838" w:orient="portrait"/>
          <w:cols w:equalWidth="0" w:num="1">
            <w:col w:w="11220"/>
          </w:cols>
          <w:pgMar w:left="320" w:top="292" w:right="359" w:bottom="719" w:gutter="0" w:footer="0" w:header="0"/>
        </w:sectPr>
      </w:pPr>
    </w:p>
    <w:p>
      <w:pPr>
        <w:spacing w:after="0" w:line="356" w:lineRule="exact"/>
        <w:rPr>
          <w:sz w:val="24"/>
          <w:szCs w:val="24"/>
          <w:color w:val="auto"/>
        </w:rPr>
      </w:pPr>
    </w:p>
    <w:p>
      <w:pPr>
        <w:ind w:left="186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336"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04-3257395</w:t>
      </w:r>
    </w:p>
    <w:p>
      <w:pPr>
        <w:spacing w:after="0" w:line="84" w:lineRule="exact"/>
        <w:rPr>
          <w:sz w:val="24"/>
          <w:szCs w:val="24"/>
          <w:color w:val="auto"/>
        </w:rPr>
      </w:pPr>
    </w:p>
    <w:p>
      <w:pPr>
        <w:sectPr>
          <w:pgSz w:w="11900" w:h="16838" w:orient="portrait"/>
          <w:cols w:equalWidth="0" w:num="2">
            <w:col w:w="7760" w:space="720"/>
            <w:col w:w="2740"/>
          </w:cols>
          <w:pgMar w:left="320" w:top="292" w:right="359" w:bottom="719" w:gutter="0" w:footer="0" w:header="0"/>
          <w:type w:val="continuous"/>
        </w:sectPr>
      </w:pPr>
    </w:p>
    <w:p>
      <w:pPr>
        <w:ind w:left="400"/>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 Identification Number)</w:t>
      </w:r>
    </w:p>
    <w:p>
      <w:pPr>
        <w:spacing w:after="0" w:line="200" w:lineRule="exact"/>
        <w:rPr>
          <w:sz w:val="24"/>
          <w:szCs w:val="24"/>
          <w:color w:val="auto"/>
        </w:rPr>
      </w:pPr>
    </w:p>
    <w:p>
      <w:pPr>
        <w:sectPr>
          <w:pgSz w:w="11900" w:h="16838" w:orient="portrait"/>
          <w:cols w:equalWidth="0" w:num="2">
            <w:col w:w="7000" w:space="720"/>
            <w:col w:w="3500"/>
          </w:cols>
          <w:pgMar w:left="320" w:top="292" w:right="359" w:bottom="719" w:gutter="0" w:footer="0" w:header="0"/>
          <w:type w:val="continuous"/>
        </w:sectPr>
      </w:pPr>
    </w:p>
    <w:p>
      <w:pPr>
        <w:spacing w:after="0" w:line="3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1851 Harbor Bay Parkway</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Alameda, CA 94502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(650) 837-7000</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118"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27" w:lineRule="exact"/>
        <w:rPr>
          <w:sz w:val="24"/>
          <w:szCs w:val="24"/>
          <w:color w:val="auto"/>
        </w:rPr>
      </w:pPr>
    </w:p>
    <w:tbl>
      <w:tblPr>
        <w:tblLayout w:type="fixed"/>
        <w:tblInd w:w="400" w:type="dxa"/>
        <w:tblCellMar>
          <w:top w:w="0" w:type="dxa"/>
          <w:left w:w="0" w:type="dxa"/>
          <w:bottom w:w="0" w:type="dxa"/>
          <w:right w:w="0" w:type="dxa"/>
        </w:tblCellMar>
      </w:tblPr>
      <w:tr>
        <w:trPr>
          <w:trHeight w:val="184"/>
        </w:trPr>
        <w:tc>
          <w:tcPr>
            <w:tcW w:w="120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2040" w:type="dxa"/>
            <w:vAlign w:val="bottom"/>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Trading Symbol(s)</w:t>
            </w:r>
          </w:p>
        </w:tc>
        <w:tc>
          <w:tcPr>
            <w:tcW w:w="1100" w:type="dxa"/>
            <w:vAlign w:val="bottom"/>
          </w:tcPr>
          <w:p>
            <w:pPr>
              <w:spacing w:after="0"/>
              <w:rPr>
                <w:sz w:val="16"/>
                <w:szCs w:val="16"/>
                <w:color w:val="auto"/>
              </w:rPr>
            </w:pPr>
          </w:p>
        </w:tc>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89"/>
        </w:trPr>
        <w:tc>
          <w:tcPr>
            <w:tcW w:w="4540" w:type="dxa"/>
            <w:vAlign w:val="bottom"/>
            <w:gridSpan w:val="3"/>
          </w:tcPr>
          <w:p>
            <w:pPr>
              <w:jc w:val="center"/>
              <w:ind w:right="840"/>
              <w:spacing w:after="0"/>
              <w:rPr>
                <w:sz w:val="20"/>
                <w:szCs w:val="20"/>
                <w:color w:val="auto"/>
              </w:rPr>
            </w:pPr>
            <w:r>
              <w:rPr>
                <w:rFonts w:ascii="Arial" w:cs="Arial" w:eastAsia="Arial" w:hAnsi="Arial"/>
                <w:sz w:val="18"/>
                <w:szCs w:val="18"/>
                <w:b w:val="1"/>
                <w:bCs w:val="1"/>
                <w:color w:val="auto"/>
                <w:w w:val="99"/>
              </w:rPr>
              <w:t>Common Stock, $0.001 Par Value per Share</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rPr>
              <w:t>EXEL</w:t>
            </w:r>
          </w:p>
        </w:tc>
        <w:tc>
          <w:tcPr>
            <w:tcW w:w="1100" w:type="dxa"/>
            <w:vAlign w:val="bottom"/>
          </w:tcPr>
          <w:p>
            <w:pPr>
              <w:spacing w:after="0"/>
              <w:rPr>
                <w:sz w:val="24"/>
                <w:szCs w:val="24"/>
                <w:color w:val="auto"/>
              </w:rPr>
            </w:pPr>
          </w:p>
        </w:tc>
        <w:tc>
          <w:tcPr>
            <w:tcW w:w="3200" w:type="dxa"/>
            <w:vAlign w:val="bottom"/>
          </w:tcPr>
          <w:p>
            <w:pPr>
              <w:jc w:val="center"/>
              <w:spacing w:after="0"/>
              <w:rPr>
                <w:sz w:val="20"/>
                <w:szCs w:val="20"/>
                <w:color w:val="auto"/>
              </w:rPr>
            </w:pPr>
            <w:r>
              <w:rPr>
                <w:rFonts w:ascii="Arial" w:cs="Arial" w:eastAsia="Arial" w:hAnsi="Arial"/>
                <w:sz w:val="18"/>
                <w:szCs w:val="18"/>
                <w:b w:val="1"/>
                <w:bCs w:val="1"/>
                <w:color w:val="auto"/>
                <w:w w:val="99"/>
              </w:rPr>
              <w:t>The Nasdaq Stock Market LLC</w:t>
            </w:r>
          </w:p>
        </w:tc>
      </w:tr>
    </w:tbl>
    <w:p>
      <w:pPr>
        <w:spacing w:after="0" w:line="163" w:lineRule="exact"/>
        <w:rPr>
          <w:sz w:val="24"/>
          <w:szCs w:val="24"/>
          <w:color w:val="auto"/>
        </w:rPr>
      </w:pPr>
    </w:p>
    <w:p>
      <w:pPr>
        <w:ind w:right="100" w:firstLine="324"/>
        <w:spacing w:after="0" w:line="20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8" w:lineRule="exact"/>
        <w:rPr>
          <w:sz w:val="24"/>
          <w:szCs w:val="24"/>
          <w:color w:val="auto"/>
        </w:rPr>
      </w:pPr>
    </w:p>
    <w:p>
      <w:pPr>
        <w:ind w:right="140" w:firstLine="324"/>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5" w:lineRule="exact"/>
        <w:rPr>
          <w:sz w:val="24"/>
          <w:szCs w:val="24"/>
          <w:color w:val="auto"/>
        </w:rPr>
      </w:pPr>
    </w:p>
    <w:p>
      <w:pPr>
        <w:jc w:val="both"/>
        <w:ind w:firstLine="324"/>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8" w:lineRule="exact"/>
        <w:rPr>
          <w:sz w:val="24"/>
          <w:szCs w:val="24"/>
          <w:color w:val="auto"/>
        </w:rPr>
      </w:pPr>
    </w:p>
    <w:tbl>
      <w:tblPr>
        <w:tblLayout w:type="fixed"/>
        <w:tblInd w:w="1140" w:type="dxa"/>
        <w:tblCellMar>
          <w:top w:w="0" w:type="dxa"/>
          <w:left w:w="0" w:type="dxa"/>
          <w:bottom w:w="0" w:type="dxa"/>
          <w:right w:w="0" w:type="dxa"/>
        </w:tblCellMar>
      </w:tblPr>
      <w:tr>
        <w:trPr>
          <w:trHeight w:val="243"/>
        </w:trPr>
        <w:tc>
          <w:tcPr>
            <w:tcW w:w="23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080" w:type="dxa"/>
            <w:vAlign w:val="bottom"/>
          </w:tcPr>
          <w:p>
            <w:pPr>
              <w:ind w:left="720"/>
              <w:spacing w:after="0" w:line="161" w:lineRule="exact"/>
              <w:rPr>
                <w:sz w:val="20"/>
                <w:szCs w:val="20"/>
                <w:color w:val="auto"/>
              </w:rPr>
            </w:pPr>
            <w:r>
              <w:rPr>
                <w:rFonts w:ascii="MS PGothic" w:cs="MS PGothic" w:eastAsia="MS PGothic" w:hAnsi="MS PGothic"/>
                <w:sz w:val="16"/>
                <w:szCs w:val="16"/>
                <w:color w:val="auto"/>
              </w:rPr>
              <w:t>☒</w:t>
            </w:r>
          </w:p>
        </w:tc>
        <w:tc>
          <w:tcPr>
            <w:tcW w:w="3720" w:type="dxa"/>
            <w:vAlign w:val="bottom"/>
          </w:tcPr>
          <w:p>
            <w:pPr>
              <w:ind w:left="1200"/>
              <w:spacing w:after="0"/>
              <w:rPr>
                <w:sz w:val="20"/>
                <w:szCs w:val="20"/>
                <w:color w:val="auto"/>
              </w:rPr>
            </w:pPr>
            <w:r>
              <w:rPr>
                <w:rFonts w:ascii="Arial" w:cs="Arial" w:eastAsia="Arial" w:hAnsi="Arial"/>
                <w:sz w:val="16"/>
                <w:szCs w:val="16"/>
                <w:color w:val="auto"/>
              </w:rPr>
              <w:t>Accelerated filer</w:t>
            </w:r>
          </w:p>
        </w:tc>
        <w:tc>
          <w:tcPr>
            <w:tcW w:w="720" w:type="dxa"/>
            <w:vAlign w:val="bottom"/>
          </w:tcPr>
          <w:p>
            <w:pPr>
              <w:ind w:left="5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2340" w:type="dxa"/>
            <w:vAlign w:val="bottom"/>
          </w:tcPr>
          <w:p>
            <w:pPr>
              <w:spacing w:after="0"/>
              <w:rPr>
                <w:sz w:val="20"/>
                <w:szCs w:val="20"/>
                <w:color w:val="auto"/>
              </w:rPr>
            </w:pPr>
            <w:r>
              <w:rPr>
                <w:rFonts w:ascii="Arial" w:cs="Arial" w:eastAsia="Arial" w:hAnsi="Arial"/>
                <w:sz w:val="16"/>
                <w:szCs w:val="16"/>
                <w:color w:val="auto"/>
              </w:rPr>
              <w:t>Non-accelerated filer</w:t>
            </w:r>
          </w:p>
        </w:tc>
        <w:tc>
          <w:tcPr>
            <w:tcW w:w="2080" w:type="dxa"/>
            <w:vAlign w:val="bottom"/>
          </w:tcPr>
          <w:p>
            <w:pPr>
              <w:ind w:left="720"/>
              <w:spacing w:after="0" w:line="161" w:lineRule="exact"/>
              <w:rPr>
                <w:sz w:val="20"/>
                <w:szCs w:val="20"/>
                <w:color w:val="auto"/>
              </w:rPr>
            </w:pPr>
            <w:r>
              <w:rPr>
                <w:rFonts w:ascii="MS PGothic" w:cs="MS PGothic" w:eastAsia="MS PGothic" w:hAnsi="MS PGothic"/>
                <w:sz w:val="16"/>
                <w:szCs w:val="16"/>
                <w:color w:val="auto"/>
              </w:rPr>
              <w:t>☐</w:t>
            </w:r>
          </w:p>
        </w:tc>
        <w:tc>
          <w:tcPr>
            <w:tcW w:w="3720" w:type="dxa"/>
            <w:vAlign w:val="bottom"/>
          </w:tcPr>
          <w:p>
            <w:pPr>
              <w:ind w:left="1200"/>
              <w:spacing w:after="0"/>
              <w:rPr>
                <w:sz w:val="20"/>
                <w:szCs w:val="20"/>
                <w:color w:val="auto"/>
              </w:rPr>
            </w:pPr>
            <w:r>
              <w:rPr>
                <w:rFonts w:ascii="Arial" w:cs="Arial" w:eastAsia="Arial" w:hAnsi="Arial"/>
                <w:sz w:val="16"/>
                <w:szCs w:val="16"/>
                <w:color w:val="auto"/>
              </w:rPr>
              <w:t>Smaller reporting company</w:t>
            </w:r>
          </w:p>
        </w:tc>
        <w:tc>
          <w:tcPr>
            <w:tcW w:w="720" w:type="dxa"/>
            <w:vAlign w:val="bottom"/>
          </w:tcPr>
          <w:p>
            <w:pPr>
              <w:ind w:left="5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34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3720" w:type="dxa"/>
            <w:vAlign w:val="bottom"/>
          </w:tcPr>
          <w:p>
            <w:pPr>
              <w:ind w:left="1200"/>
              <w:spacing w:after="0"/>
              <w:rPr>
                <w:sz w:val="20"/>
                <w:szCs w:val="20"/>
                <w:color w:val="auto"/>
              </w:rPr>
            </w:pPr>
            <w:r>
              <w:rPr>
                <w:rFonts w:ascii="Arial" w:cs="Arial" w:eastAsia="Arial" w:hAnsi="Arial"/>
                <w:sz w:val="16"/>
                <w:szCs w:val="16"/>
                <w:color w:val="auto"/>
              </w:rPr>
              <w:t>Emerging growth company</w:t>
            </w:r>
          </w:p>
        </w:tc>
        <w:tc>
          <w:tcPr>
            <w:tcW w:w="720" w:type="dxa"/>
            <w:vAlign w:val="bottom"/>
          </w:tcPr>
          <w:p>
            <w:pPr>
              <w:ind w:left="5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41" w:lineRule="exact"/>
        <w:rPr>
          <w:sz w:val="24"/>
          <w:szCs w:val="24"/>
          <w:color w:val="auto"/>
        </w:rPr>
      </w:pPr>
    </w:p>
    <w:p>
      <w:pPr>
        <w:ind w:right="320" w:firstLine="324"/>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p>
      <w:pPr>
        <w:ind w:left="340" w:right="1740"/>
        <w:spacing w:after="0" w:line="301"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April 27, 2026, there were 251,355,083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520065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2" w:right="359" w:bottom="719"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EXELIXIS,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QUARTERLY REPORT ON FORM 10-Q</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INDEX</w:t>
      </w: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224"/>
        </w:trPr>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120" w:type="dxa"/>
            <w:vAlign w:val="bottom"/>
            <w:tcBorders>
              <w:bottom w:val="single" w:sz="8" w:color="auto"/>
            </w:tcBorders>
            <w:gridSpan w:val="3"/>
          </w:tcPr>
          <w:p>
            <w:pPr>
              <w:ind w:left="360"/>
              <w:spacing w:after="0"/>
              <w:rPr>
                <w:sz w:val="20"/>
                <w:szCs w:val="20"/>
                <w:color w:val="auto"/>
              </w:rPr>
            </w:pPr>
            <w:r>
              <w:rPr>
                <w:rFonts w:ascii="Arial" w:cs="Arial" w:eastAsia="Arial" w:hAnsi="Arial"/>
                <w:sz w:val="16"/>
                <w:szCs w:val="16"/>
                <w:b w:val="1"/>
                <w:bCs w:val="1"/>
                <w:color w:val="auto"/>
              </w:rPr>
              <w:t>Page</w:t>
            </w:r>
          </w:p>
        </w:tc>
      </w:tr>
      <w:tr>
        <w:trPr>
          <w:trHeight w:val="189"/>
        </w:trPr>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00" w:type="dxa"/>
            <w:vAlign w:val="bottom"/>
            <w:gridSpan w:val="13"/>
          </w:tcPr>
          <w:p>
            <w:pPr>
              <w:jc w:val="center"/>
              <w:ind w:right="2980"/>
              <w:spacing w:after="0" w:line="189" w:lineRule="exact"/>
              <w:rPr>
                <w:sz w:val="20"/>
                <w:szCs w:val="20"/>
                <w:color w:val="auto"/>
              </w:rPr>
            </w:pPr>
            <w:r>
              <w:rPr>
                <w:rFonts w:ascii="Arial" w:cs="Arial" w:eastAsia="Arial" w:hAnsi="Arial"/>
                <w:sz w:val="18"/>
                <w:szCs w:val="18"/>
                <w:b w:val="1"/>
                <w:bCs w:val="1"/>
                <w:color w:val="0000FF"/>
                <w:w w:val="99"/>
              </w:rPr>
              <w:t>PART I - FINANCIAL INFORMATION</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1.</w:t>
            </w:r>
          </w:p>
        </w:tc>
        <w:tc>
          <w:tcPr>
            <w:tcW w:w="1680" w:type="dxa"/>
            <w:vAlign w:val="bottom"/>
            <w:gridSpan w:val="6"/>
          </w:tcPr>
          <w:p>
            <w:pPr>
              <w:spacing w:after="0"/>
              <w:rPr>
                <w:sz w:val="20"/>
                <w:szCs w:val="20"/>
                <w:color w:val="auto"/>
              </w:rPr>
            </w:pPr>
            <w:r>
              <w:rPr>
                <w:rFonts w:ascii="Arial" w:cs="Arial" w:eastAsia="Arial" w:hAnsi="Arial"/>
                <w:sz w:val="18"/>
                <w:szCs w:val="18"/>
                <w:color w:val="0000FF"/>
                <w:w w:val="98"/>
              </w:rPr>
              <w:t>Financial Statements</w:t>
            </w:r>
          </w:p>
        </w:tc>
        <w:tc>
          <w:tcPr>
            <w:tcW w:w="1320" w:type="dxa"/>
            <w:vAlign w:val="bottom"/>
            <w:gridSpan w:val="4"/>
          </w:tcPr>
          <w:p>
            <w:pPr>
              <w:spacing w:after="0"/>
              <w:rPr>
                <w:sz w:val="21"/>
                <w:szCs w:val="21"/>
                <w:color w:val="auto"/>
              </w:rPr>
            </w:pPr>
          </w:p>
        </w:tc>
        <w:tc>
          <w:tcPr>
            <w:tcW w:w="3060" w:type="dxa"/>
            <w:vAlign w:val="bottom"/>
            <w:tcBorders>
              <w:top w:val="single" w:sz="8" w:color="0000FF"/>
            </w:tcBorders>
            <w:gridSpan w:val="10"/>
          </w:tcPr>
          <w:p>
            <w:pPr>
              <w:spacing w:after="0"/>
              <w:rPr>
                <w:sz w:val="21"/>
                <w:szCs w:val="21"/>
                <w:color w:val="auto"/>
              </w:rPr>
            </w:pPr>
          </w:p>
        </w:tc>
        <w:tc>
          <w:tcPr>
            <w:tcW w:w="2940" w:type="dxa"/>
            <w:vAlign w:val="bottom"/>
            <w:gridSpan w:val="3"/>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0000FF"/>
                <w:w w:val="99"/>
              </w:rPr>
              <w:t>3</w:t>
            </w:r>
          </w:p>
        </w:tc>
        <w:tc>
          <w:tcPr>
            <w:tcW w:w="520" w:type="dxa"/>
            <w:vAlign w:val="bottom"/>
          </w:tcPr>
          <w:p>
            <w:pPr>
              <w:spacing w:after="0"/>
              <w:rPr>
                <w:sz w:val="21"/>
                <w:szCs w:val="21"/>
                <w:color w:val="auto"/>
              </w:rPr>
            </w:pPr>
          </w:p>
        </w:tc>
      </w:tr>
      <w:tr>
        <w:trPr>
          <w:trHeight w:val="20"/>
        </w:trPr>
        <w:tc>
          <w:tcPr>
            <w:tcW w:w="1100" w:type="dxa"/>
            <w:vAlign w:val="bottom"/>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780" w:type="dxa"/>
            <w:vAlign w:val="bottom"/>
            <w:gridSpan w:val="22"/>
          </w:tcPr>
          <w:p>
            <w:pPr>
              <w:spacing w:after="0"/>
              <w:rPr>
                <w:sz w:val="20"/>
                <w:szCs w:val="20"/>
                <w:color w:val="auto"/>
              </w:rPr>
            </w:pPr>
            <w:r>
              <w:rPr>
                <w:rFonts w:ascii="Arial" w:cs="Arial" w:eastAsia="Arial" w:hAnsi="Arial"/>
                <w:sz w:val="18"/>
                <w:szCs w:val="18"/>
                <w:color w:val="0000FF"/>
              </w:rPr>
              <w:t>Condensed Consolidated Balance Sheets (Unaudited)</w:t>
            </w:r>
          </w:p>
        </w:tc>
        <w:tc>
          <w:tcPr>
            <w:tcW w:w="600" w:type="dxa"/>
            <w:vAlign w:val="bottom"/>
            <w:gridSpan w:val="2"/>
          </w:tcPr>
          <w:p>
            <w:pPr>
              <w:jc w:val="center"/>
              <w:ind w:left="411"/>
              <w:spacing w:after="0"/>
              <w:rPr>
                <w:sz w:val="20"/>
                <w:szCs w:val="20"/>
                <w:color w:val="auto"/>
              </w:rPr>
            </w:pPr>
            <w:r>
              <w:rPr>
                <w:rFonts w:ascii="Arial" w:cs="Arial" w:eastAsia="Arial" w:hAnsi="Arial"/>
                <w:sz w:val="18"/>
                <w:szCs w:val="18"/>
                <w:color w:val="0000FF"/>
                <w:w w:val="99"/>
              </w:rPr>
              <w:t>3</w:t>
            </w:r>
          </w:p>
        </w:tc>
        <w:tc>
          <w:tcPr>
            <w:tcW w:w="520" w:type="dxa"/>
            <w:vAlign w:val="bottom"/>
          </w:tcPr>
          <w:p>
            <w:pPr>
              <w:spacing w:after="0"/>
              <w:rPr>
                <w:sz w:val="21"/>
                <w:szCs w:val="21"/>
                <w:color w:val="auto"/>
              </w:rPr>
            </w:pPr>
          </w:p>
        </w:tc>
      </w:tr>
      <w:tr>
        <w:trPr>
          <w:trHeight w:val="20"/>
        </w:trPr>
        <w:tc>
          <w:tcPr>
            <w:tcW w:w="110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780" w:type="dxa"/>
            <w:vAlign w:val="bottom"/>
            <w:gridSpan w:val="22"/>
          </w:tcPr>
          <w:p>
            <w:pPr>
              <w:spacing w:after="0"/>
              <w:rPr>
                <w:sz w:val="20"/>
                <w:szCs w:val="20"/>
                <w:color w:val="auto"/>
              </w:rPr>
            </w:pPr>
            <w:r>
              <w:rPr>
                <w:rFonts w:ascii="Arial" w:cs="Arial" w:eastAsia="Arial" w:hAnsi="Arial"/>
                <w:sz w:val="18"/>
                <w:szCs w:val="18"/>
                <w:color w:val="0000FF"/>
              </w:rPr>
              <w:t>Condensed Consolidated Statements of Income (Unaudited)</w:t>
            </w:r>
          </w:p>
        </w:tc>
        <w:tc>
          <w:tcPr>
            <w:tcW w:w="600" w:type="dxa"/>
            <w:vAlign w:val="bottom"/>
            <w:gridSpan w:val="2"/>
          </w:tcPr>
          <w:p>
            <w:pPr>
              <w:jc w:val="center"/>
              <w:ind w:left="411"/>
              <w:spacing w:after="0"/>
              <w:rPr>
                <w:sz w:val="20"/>
                <w:szCs w:val="20"/>
                <w:color w:val="auto"/>
              </w:rPr>
            </w:pPr>
            <w:r>
              <w:rPr>
                <w:rFonts w:ascii="Arial" w:cs="Arial" w:eastAsia="Arial" w:hAnsi="Arial"/>
                <w:sz w:val="18"/>
                <w:szCs w:val="18"/>
                <w:color w:val="0000FF"/>
                <w:w w:val="99"/>
              </w:rPr>
              <w:t>4</w:t>
            </w:r>
          </w:p>
        </w:tc>
        <w:tc>
          <w:tcPr>
            <w:tcW w:w="520" w:type="dxa"/>
            <w:vAlign w:val="bottom"/>
          </w:tcPr>
          <w:p>
            <w:pPr>
              <w:spacing w:after="0"/>
              <w:rPr>
                <w:sz w:val="21"/>
                <w:szCs w:val="21"/>
                <w:color w:val="auto"/>
              </w:rPr>
            </w:pPr>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780" w:type="dxa"/>
            <w:vAlign w:val="bottom"/>
            <w:gridSpan w:val="22"/>
          </w:tcPr>
          <w:p>
            <w:pPr>
              <w:spacing w:after="0"/>
              <w:rPr>
                <w:sz w:val="20"/>
                <w:szCs w:val="20"/>
                <w:color w:val="auto"/>
              </w:rPr>
            </w:pPr>
            <w:r>
              <w:rPr>
                <w:rFonts w:ascii="Arial" w:cs="Arial" w:eastAsia="Arial" w:hAnsi="Arial"/>
                <w:sz w:val="18"/>
                <w:szCs w:val="18"/>
                <w:color w:val="0000FF"/>
              </w:rPr>
              <w:t>Condensed Consolidated Statements of Comprehensive Income (Unaudited)</w:t>
            </w:r>
          </w:p>
        </w:tc>
        <w:tc>
          <w:tcPr>
            <w:tcW w:w="600" w:type="dxa"/>
            <w:vAlign w:val="bottom"/>
            <w:gridSpan w:val="2"/>
          </w:tcPr>
          <w:p>
            <w:pPr>
              <w:jc w:val="center"/>
              <w:ind w:left="411"/>
              <w:spacing w:after="0"/>
              <w:rPr>
                <w:sz w:val="20"/>
                <w:szCs w:val="20"/>
                <w:color w:val="auto"/>
              </w:rPr>
            </w:pPr>
            <w:r>
              <w:rPr>
                <w:rFonts w:ascii="Arial" w:cs="Arial" w:eastAsia="Arial" w:hAnsi="Arial"/>
                <w:sz w:val="18"/>
                <w:szCs w:val="18"/>
                <w:color w:val="0000FF"/>
                <w:w w:val="99"/>
              </w:rPr>
              <w:t>4</w:t>
            </w:r>
          </w:p>
        </w:tc>
        <w:tc>
          <w:tcPr>
            <w:tcW w:w="520" w:type="dxa"/>
            <w:vAlign w:val="bottom"/>
          </w:tcPr>
          <w:p>
            <w:pPr>
              <w:spacing w:after="0"/>
              <w:rPr>
                <w:sz w:val="21"/>
                <w:szCs w:val="21"/>
                <w:color w:val="auto"/>
              </w:rPr>
            </w:pPr>
          </w:p>
        </w:tc>
      </w:tr>
      <w:tr>
        <w:trPr>
          <w:trHeight w:val="20"/>
        </w:trPr>
        <w:tc>
          <w:tcPr>
            <w:tcW w:w="110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40" w:type="dxa"/>
            <w:vAlign w:val="bottom"/>
            <w:gridSpan w:val="19"/>
          </w:tcPr>
          <w:p>
            <w:pPr>
              <w:spacing w:after="0"/>
              <w:rPr>
                <w:sz w:val="20"/>
                <w:szCs w:val="20"/>
                <w:color w:val="auto"/>
              </w:rPr>
            </w:pPr>
            <w:r>
              <w:rPr>
                <w:rFonts w:ascii="Arial" w:cs="Arial" w:eastAsia="Arial" w:hAnsi="Arial"/>
                <w:sz w:val="18"/>
                <w:szCs w:val="18"/>
                <w:color w:val="0000FF"/>
                <w:w w:val="99"/>
              </w:rPr>
              <w:t>Condensed Consolidated Statements of Stockholders’ Equity (Unaudited)</w:t>
            </w:r>
          </w:p>
        </w:tc>
        <w:tc>
          <w:tcPr>
            <w:tcW w:w="260" w:type="dxa"/>
            <w:vAlign w:val="bottom"/>
          </w:tcPr>
          <w:p>
            <w:pPr>
              <w:spacing w:after="0"/>
              <w:rPr>
                <w:sz w:val="21"/>
                <w:szCs w:val="21"/>
                <w:color w:val="auto"/>
              </w:rPr>
            </w:pPr>
          </w:p>
        </w:tc>
        <w:tc>
          <w:tcPr>
            <w:tcW w:w="2680" w:type="dxa"/>
            <w:vAlign w:val="bottom"/>
            <w:gridSpan w:val="2"/>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0000FF"/>
                <w:w w:val="99"/>
              </w:rPr>
              <w:t>5</w:t>
            </w:r>
          </w:p>
        </w:tc>
        <w:tc>
          <w:tcPr>
            <w:tcW w:w="520" w:type="dxa"/>
            <w:vAlign w:val="bottom"/>
          </w:tcPr>
          <w:p>
            <w:pPr>
              <w:spacing w:after="0"/>
              <w:rPr>
                <w:sz w:val="21"/>
                <w:szCs w:val="21"/>
                <w:color w:val="auto"/>
              </w:rPr>
            </w:pPr>
          </w:p>
        </w:tc>
      </w:tr>
      <w:tr>
        <w:trPr>
          <w:trHeight w:val="20"/>
        </w:trPr>
        <w:tc>
          <w:tcPr>
            <w:tcW w:w="110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40" w:type="dxa"/>
            <w:vAlign w:val="bottom"/>
            <w:gridSpan w:val="19"/>
          </w:tcPr>
          <w:p>
            <w:pPr>
              <w:spacing w:after="0"/>
              <w:rPr>
                <w:sz w:val="20"/>
                <w:szCs w:val="20"/>
                <w:color w:val="auto"/>
              </w:rPr>
            </w:pPr>
            <w:r>
              <w:rPr>
                <w:rFonts w:ascii="Arial" w:cs="Arial" w:eastAsia="Arial" w:hAnsi="Arial"/>
                <w:sz w:val="18"/>
                <w:szCs w:val="18"/>
                <w:color w:val="0000FF"/>
              </w:rPr>
              <w:t>Condensed Consolidated Statements of Cash Flows (Unaudited)</w:t>
            </w:r>
          </w:p>
        </w:tc>
        <w:tc>
          <w:tcPr>
            <w:tcW w:w="2940" w:type="dxa"/>
            <w:vAlign w:val="bottom"/>
            <w:gridSpan w:val="3"/>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0000FF"/>
                <w:w w:val="99"/>
              </w:rPr>
              <w:t>6</w:t>
            </w:r>
          </w:p>
        </w:tc>
        <w:tc>
          <w:tcPr>
            <w:tcW w:w="520" w:type="dxa"/>
            <w:vAlign w:val="bottom"/>
          </w:tcPr>
          <w:p>
            <w:pPr>
              <w:spacing w:after="0"/>
              <w:rPr>
                <w:sz w:val="21"/>
                <w:szCs w:val="21"/>
                <w:color w:val="auto"/>
              </w:rPr>
            </w:pPr>
          </w:p>
        </w:tc>
      </w:tr>
      <w:tr>
        <w:trPr>
          <w:trHeight w:val="20"/>
        </w:trPr>
        <w:tc>
          <w:tcPr>
            <w:tcW w:w="110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780" w:type="dxa"/>
            <w:vAlign w:val="bottom"/>
            <w:gridSpan w:val="22"/>
          </w:tcPr>
          <w:p>
            <w:pPr>
              <w:spacing w:after="0"/>
              <w:rPr>
                <w:sz w:val="20"/>
                <w:szCs w:val="20"/>
                <w:color w:val="auto"/>
              </w:rPr>
            </w:pPr>
            <w:r>
              <w:rPr>
                <w:rFonts w:ascii="Arial" w:cs="Arial" w:eastAsia="Arial" w:hAnsi="Arial"/>
                <w:sz w:val="18"/>
                <w:szCs w:val="18"/>
                <w:color w:val="0000FF"/>
              </w:rPr>
              <w:t>Notes to Condensed Consolidated Financial Statements (Unaudited)</w:t>
            </w:r>
          </w:p>
        </w:tc>
        <w:tc>
          <w:tcPr>
            <w:tcW w:w="600" w:type="dxa"/>
            <w:vAlign w:val="bottom"/>
            <w:gridSpan w:val="2"/>
          </w:tcPr>
          <w:p>
            <w:pPr>
              <w:jc w:val="center"/>
              <w:ind w:left="411"/>
              <w:spacing w:after="0"/>
              <w:rPr>
                <w:sz w:val="20"/>
                <w:szCs w:val="20"/>
                <w:color w:val="auto"/>
              </w:rPr>
            </w:pPr>
            <w:r>
              <w:rPr>
                <w:rFonts w:ascii="Arial" w:cs="Arial" w:eastAsia="Arial" w:hAnsi="Arial"/>
                <w:sz w:val="18"/>
                <w:szCs w:val="18"/>
                <w:color w:val="0000FF"/>
                <w:w w:val="99"/>
              </w:rPr>
              <w:t>7</w:t>
            </w:r>
          </w:p>
        </w:tc>
        <w:tc>
          <w:tcPr>
            <w:tcW w:w="520" w:type="dxa"/>
            <w:vAlign w:val="bottom"/>
          </w:tcPr>
          <w:p>
            <w:pPr>
              <w:spacing w:after="0"/>
              <w:rPr>
                <w:sz w:val="21"/>
                <w:szCs w:val="21"/>
                <w:color w:val="auto"/>
              </w:rPr>
            </w:pPr>
          </w:p>
        </w:tc>
      </w:tr>
      <w:tr>
        <w:trPr>
          <w:trHeight w:val="20"/>
        </w:trPr>
        <w:tc>
          <w:tcPr>
            <w:tcW w:w="110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2.</w:t>
            </w:r>
          </w:p>
        </w:tc>
        <w:tc>
          <w:tcPr>
            <w:tcW w:w="7080" w:type="dxa"/>
            <w:vAlign w:val="bottom"/>
            <w:gridSpan w:val="22"/>
          </w:tcPr>
          <w:p>
            <w:pPr>
              <w:spacing w:after="0"/>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1920" w:type="dxa"/>
            <w:vAlign w:val="bottom"/>
          </w:tcPr>
          <w:p>
            <w:pPr>
              <w:spacing w:after="0"/>
              <w:rPr>
                <w:sz w:val="21"/>
                <w:szCs w:val="21"/>
                <w:color w:val="auto"/>
              </w:rPr>
            </w:pPr>
          </w:p>
        </w:tc>
        <w:tc>
          <w:tcPr>
            <w:tcW w:w="1120" w:type="dxa"/>
            <w:vAlign w:val="bottom"/>
            <w:gridSpan w:val="3"/>
          </w:tcPr>
          <w:p>
            <w:pPr>
              <w:jc w:val="center"/>
              <w:spacing w:after="0"/>
              <w:rPr>
                <w:sz w:val="20"/>
                <w:szCs w:val="20"/>
                <w:color w:val="auto"/>
              </w:rPr>
            </w:pPr>
            <w:r>
              <w:rPr>
                <w:rFonts w:ascii="Arial" w:cs="Arial" w:eastAsia="Arial" w:hAnsi="Arial"/>
                <w:sz w:val="18"/>
                <w:szCs w:val="18"/>
                <w:color w:val="0000FF"/>
                <w:w w:val="99"/>
              </w:rPr>
              <w:t>22</w:t>
            </w:r>
          </w:p>
        </w:tc>
      </w:tr>
      <w:tr>
        <w:trPr>
          <w:trHeight w:val="20"/>
        </w:trPr>
        <w:tc>
          <w:tcPr>
            <w:tcW w:w="1100" w:type="dxa"/>
            <w:vAlign w:val="bottom"/>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3.</w:t>
            </w:r>
          </w:p>
        </w:tc>
        <w:tc>
          <w:tcPr>
            <w:tcW w:w="7080" w:type="dxa"/>
            <w:vAlign w:val="bottom"/>
            <w:gridSpan w:val="22"/>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1920" w:type="dxa"/>
            <w:vAlign w:val="bottom"/>
          </w:tcPr>
          <w:p>
            <w:pPr>
              <w:spacing w:after="0"/>
              <w:rPr>
                <w:sz w:val="21"/>
                <w:szCs w:val="21"/>
                <w:color w:val="auto"/>
              </w:rPr>
            </w:pPr>
          </w:p>
        </w:tc>
        <w:tc>
          <w:tcPr>
            <w:tcW w:w="1120" w:type="dxa"/>
            <w:vAlign w:val="bottom"/>
            <w:gridSpan w:val="3"/>
          </w:tcPr>
          <w:p>
            <w:pPr>
              <w:jc w:val="center"/>
              <w:spacing w:after="0"/>
              <w:rPr>
                <w:sz w:val="20"/>
                <w:szCs w:val="20"/>
                <w:color w:val="auto"/>
              </w:rPr>
            </w:pPr>
            <w:r>
              <w:rPr>
                <w:rFonts w:ascii="Arial" w:cs="Arial" w:eastAsia="Arial" w:hAnsi="Arial"/>
                <w:sz w:val="18"/>
                <w:szCs w:val="18"/>
                <w:color w:val="0000FF"/>
                <w:w w:val="99"/>
              </w:rPr>
              <w:t>36</w:t>
            </w:r>
          </w:p>
        </w:tc>
      </w:tr>
      <w:tr>
        <w:trPr>
          <w:trHeight w:val="20"/>
        </w:trPr>
        <w:tc>
          <w:tcPr>
            <w:tcW w:w="11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3140" w:type="dxa"/>
            <w:vAlign w:val="bottom"/>
            <w:gridSpan w:val="4"/>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4.</w:t>
            </w:r>
          </w:p>
        </w:tc>
        <w:tc>
          <w:tcPr>
            <w:tcW w:w="4700" w:type="dxa"/>
            <w:vAlign w:val="bottom"/>
            <w:gridSpan w:val="14"/>
          </w:tcPr>
          <w:p>
            <w:pPr>
              <w:spacing w:after="0"/>
              <w:rPr>
                <w:sz w:val="20"/>
                <w:szCs w:val="20"/>
                <w:color w:val="auto"/>
              </w:rPr>
            </w:pPr>
            <w:r>
              <w:rPr>
                <w:rFonts w:ascii="Arial" w:cs="Arial" w:eastAsia="Arial" w:hAnsi="Arial"/>
                <w:sz w:val="18"/>
                <w:szCs w:val="18"/>
                <w:color w:val="0000FF"/>
              </w:rPr>
              <w:t>Controls and Procedures</w:t>
            </w:r>
          </w:p>
        </w:tc>
        <w:tc>
          <w:tcPr>
            <w:tcW w:w="4300" w:type="dxa"/>
            <w:vAlign w:val="bottom"/>
            <w:gridSpan w:val="9"/>
          </w:tcPr>
          <w:p>
            <w:pPr>
              <w:spacing w:after="0"/>
              <w:rPr>
                <w:sz w:val="21"/>
                <w:szCs w:val="21"/>
                <w:color w:val="auto"/>
              </w:rPr>
            </w:pPr>
          </w:p>
        </w:tc>
        <w:tc>
          <w:tcPr>
            <w:tcW w:w="1120" w:type="dxa"/>
            <w:vAlign w:val="bottom"/>
            <w:gridSpan w:val="3"/>
          </w:tcPr>
          <w:p>
            <w:pPr>
              <w:jc w:val="center"/>
              <w:spacing w:after="0"/>
              <w:rPr>
                <w:sz w:val="20"/>
                <w:szCs w:val="20"/>
                <w:color w:val="auto"/>
              </w:rPr>
            </w:pPr>
            <w:r>
              <w:rPr>
                <w:rFonts w:ascii="Arial" w:cs="Arial" w:eastAsia="Arial" w:hAnsi="Arial"/>
                <w:sz w:val="18"/>
                <w:szCs w:val="18"/>
                <w:color w:val="0000FF"/>
                <w:w w:val="99"/>
              </w:rPr>
              <w:t>36</w:t>
            </w:r>
          </w:p>
        </w:tc>
      </w:tr>
      <w:tr>
        <w:trPr>
          <w:trHeight w:val="250"/>
        </w:trPr>
        <w:tc>
          <w:tcPr>
            <w:tcW w:w="1100" w:type="dxa"/>
            <w:vAlign w:val="bottom"/>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38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5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60" w:type="dxa"/>
            <w:vAlign w:val="bottom"/>
            <w:gridSpan w:val="12"/>
          </w:tcPr>
          <w:p>
            <w:pPr>
              <w:jc w:val="center"/>
              <w:ind w:right="3140"/>
              <w:spacing w:after="0"/>
              <w:rPr>
                <w:sz w:val="20"/>
                <w:szCs w:val="20"/>
                <w:color w:val="auto"/>
              </w:rPr>
            </w:pPr>
            <w:r>
              <w:rPr>
                <w:rFonts w:ascii="Arial" w:cs="Arial" w:eastAsia="Arial" w:hAnsi="Arial"/>
                <w:sz w:val="18"/>
                <w:szCs w:val="18"/>
                <w:b w:val="1"/>
                <w:bCs w:val="1"/>
                <w:color w:val="0000FF"/>
                <w:w w:val="98"/>
              </w:rPr>
              <w:t>PART II - OTHER INFORMATION</w:t>
            </w:r>
          </w:p>
        </w:tc>
        <w:tc>
          <w:tcPr>
            <w:tcW w:w="500" w:type="dxa"/>
            <w:vAlign w:val="bottom"/>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520" w:type="dxa"/>
            <w:vAlign w:val="bottom"/>
          </w:tcPr>
          <w:p>
            <w:pPr>
              <w:spacing w:after="0"/>
              <w:rPr>
                <w:sz w:val="21"/>
                <w:szCs w:val="2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1.</w:t>
            </w:r>
          </w:p>
        </w:tc>
        <w:tc>
          <w:tcPr>
            <w:tcW w:w="3140" w:type="dxa"/>
            <w:vAlign w:val="bottom"/>
            <w:gridSpan w:val="11"/>
          </w:tcPr>
          <w:p>
            <w:pPr>
              <w:spacing w:after="0"/>
              <w:rPr>
                <w:sz w:val="20"/>
                <w:szCs w:val="20"/>
                <w:color w:val="auto"/>
              </w:rPr>
            </w:pPr>
            <w:r>
              <w:rPr>
                <w:rFonts w:ascii="Arial" w:cs="Arial" w:eastAsia="Arial" w:hAnsi="Arial"/>
                <w:sz w:val="18"/>
                <w:szCs w:val="18"/>
                <w:color w:val="0000FF"/>
              </w:rPr>
              <w:t>Legal Proceedings</w:t>
            </w:r>
          </w:p>
        </w:tc>
        <w:tc>
          <w:tcPr>
            <w:tcW w:w="2720" w:type="dxa"/>
            <w:vAlign w:val="bottom"/>
            <w:tcBorders>
              <w:top w:val="single" w:sz="8" w:color="0000FF"/>
            </w:tcBorders>
            <w:gridSpan w:val="8"/>
          </w:tcPr>
          <w:p>
            <w:pPr>
              <w:spacing w:after="0"/>
              <w:rPr>
                <w:sz w:val="21"/>
                <w:szCs w:val="21"/>
                <w:color w:val="auto"/>
              </w:rPr>
            </w:pPr>
          </w:p>
        </w:tc>
        <w:tc>
          <w:tcPr>
            <w:tcW w:w="3140" w:type="dxa"/>
            <w:vAlign w:val="bottom"/>
            <w:gridSpan w:val="4"/>
          </w:tcPr>
          <w:p>
            <w:pPr>
              <w:spacing w:after="0"/>
              <w:rPr>
                <w:sz w:val="21"/>
                <w:szCs w:val="21"/>
                <w:color w:val="auto"/>
              </w:rPr>
            </w:pPr>
          </w:p>
        </w:tc>
        <w:tc>
          <w:tcPr>
            <w:tcW w:w="1120" w:type="dxa"/>
            <w:vAlign w:val="bottom"/>
            <w:gridSpan w:val="3"/>
          </w:tcPr>
          <w:p>
            <w:pPr>
              <w:jc w:val="center"/>
              <w:spacing w:after="0"/>
              <w:rPr>
                <w:sz w:val="20"/>
                <w:szCs w:val="20"/>
                <w:color w:val="auto"/>
              </w:rPr>
            </w:pPr>
            <w:r>
              <w:rPr>
                <w:rFonts w:ascii="Arial" w:cs="Arial" w:eastAsia="Arial" w:hAnsi="Arial"/>
                <w:sz w:val="18"/>
                <w:szCs w:val="18"/>
                <w:color w:val="0000FF"/>
                <w:w w:val="99"/>
              </w:rPr>
              <w:t>37</w:t>
            </w:r>
          </w:p>
        </w:tc>
      </w:tr>
      <w:tr>
        <w:trPr>
          <w:trHeight w:val="20"/>
        </w:trPr>
        <w:tc>
          <w:tcPr>
            <w:tcW w:w="1100" w:type="dxa"/>
            <w:vAlign w:val="bottom"/>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1A.</w:t>
            </w:r>
          </w:p>
        </w:tc>
        <w:tc>
          <w:tcPr>
            <w:tcW w:w="1000" w:type="dxa"/>
            <w:vAlign w:val="bottom"/>
            <w:gridSpan w:val="3"/>
          </w:tcPr>
          <w:p>
            <w:pPr>
              <w:spacing w:after="0"/>
              <w:rPr>
                <w:sz w:val="20"/>
                <w:szCs w:val="20"/>
                <w:color w:val="auto"/>
              </w:rPr>
            </w:pPr>
            <w:r>
              <w:rPr>
                <w:rFonts w:ascii="Arial" w:cs="Arial" w:eastAsia="Arial" w:hAnsi="Arial"/>
                <w:sz w:val="18"/>
                <w:szCs w:val="18"/>
                <w:color w:val="0000FF"/>
                <w:w w:val="97"/>
              </w:rPr>
              <w:t>Risk Factors</w:t>
            </w:r>
          </w:p>
        </w:tc>
        <w:tc>
          <w:tcPr>
            <w:tcW w:w="480" w:type="dxa"/>
            <w:vAlign w:val="bottom"/>
            <w:gridSpan w:val="2"/>
          </w:tcPr>
          <w:p>
            <w:pPr>
              <w:spacing w:after="0"/>
              <w:rPr>
                <w:sz w:val="21"/>
                <w:szCs w:val="21"/>
                <w:color w:val="auto"/>
              </w:rPr>
            </w:pPr>
          </w:p>
        </w:tc>
        <w:tc>
          <w:tcPr>
            <w:tcW w:w="7520" w:type="dxa"/>
            <w:vAlign w:val="bottom"/>
            <w:gridSpan w:val="18"/>
          </w:tcPr>
          <w:p>
            <w:pPr>
              <w:spacing w:after="0"/>
              <w:rPr>
                <w:sz w:val="21"/>
                <w:szCs w:val="21"/>
                <w:color w:val="auto"/>
              </w:rPr>
            </w:pPr>
          </w:p>
        </w:tc>
        <w:tc>
          <w:tcPr>
            <w:tcW w:w="1120" w:type="dxa"/>
            <w:vAlign w:val="bottom"/>
            <w:gridSpan w:val="3"/>
          </w:tcPr>
          <w:p>
            <w:pPr>
              <w:jc w:val="center"/>
              <w:spacing w:after="0"/>
              <w:rPr>
                <w:sz w:val="20"/>
                <w:szCs w:val="20"/>
                <w:color w:val="auto"/>
              </w:rPr>
            </w:pPr>
            <w:r>
              <w:rPr>
                <w:rFonts w:ascii="Arial" w:cs="Arial" w:eastAsia="Arial" w:hAnsi="Arial"/>
                <w:sz w:val="18"/>
                <w:szCs w:val="18"/>
                <w:color w:val="0000FF"/>
                <w:w w:val="99"/>
              </w:rPr>
              <w:t>37</w:t>
            </w:r>
          </w:p>
        </w:tc>
      </w:tr>
      <w:tr>
        <w:trPr>
          <w:trHeight w:val="20"/>
        </w:trPr>
        <w:tc>
          <w:tcPr>
            <w:tcW w:w="11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980" w:type="dxa"/>
            <w:vAlign w:val="bottom"/>
            <w:gridSpan w:val="7"/>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2.</w:t>
            </w:r>
          </w:p>
        </w:tc>
        <w:tc>
          <w:tcPr>
            <w:tcW w:w="9000" w:type="dxa"/>
            <w:vAlign w:val="bottom"/>
            <w:gridSpan w:val="23"/>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1120" w:type="dxa"/>
            <w:vAlign w:val="bottom"/>
            <w:gridSpan w:val="3"/>
          </w:tcPr>
          <w:p>
            <w:pPr>
              <w:jc w:val="center"/>
              <w:spacing w:after="0"/>
              <w:rPr>
                <w:sz w:val="20"/>
                <w:szCs w:val="20"/>
                <w:color w:val="auto"/>
              </w:rPr>
            </w:pPr>
            <w:r>
              <w:rPr>
                <w:rFonts w:ascii="Arial" w:cs="Arial" w:eastAsia="Arial" w:hAnsi="Arial"/>
                <w:sz w:val="18"/>
                <w:szCs w:val="18"/>
                <w:color w:val="0000FF"/>
                <w:w w:val="99"/>
              </w:rPr>
              <w:t>37</w:t>
            </w:r>
          </w:p>
        </w:tc>
      </w:tr>
      <w:tr>
        <w:trPr>
          <w:trHeight w:val="20"/>
        </w:trPr>
        <w:tc>
          <w:tcPr>
            <w:tcW w:w="1100" w:type="dxa"/>
            <w:vAlign w:val="bottom"/>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3.</w:t>
            </w:r>
          </w:p>
        </w:tc>
        <w:tc>
          <w:tcPr>
            <w:tcW w:w="4840" w:type="dxa"/>
            <w:vAlign w:val="bottom"/>
            <w:gridSpan w:val="15"/>
          </w:tcPr>
          <w:p>
            <w:pPr>
              <w:spacing w:after="0"/>
              <w:rPr>
                <w:sz w:val="20"/>
                <w:szCs w:val="20"/>
                <w:color w:val="auto"/>
              </w:rPr>
            </w:pPr>
            <w:r>
              <w:rPr>
                <w:rFonts w:ascii="Arial" w:cs="Arial" w:eastAsia="Arial" w:hAnsi="Arial"/>
                <w:sz w:val="18"/>
                <w:szCs w:val="18"/>
                <w:color w:val="0000FF"/>
              </w:rPr>
              <w:t>Defaults Upon Senior Securities</w:t>
            </w:r>
          </w:p>
        </w:tc>
        <w:tc>
          <w:tcPr>
            <w:tcW w:w="4160" w:type="dxa"/>
            <w:vAlign w:val="bottom"/>
            <w:gridSpan w:val="8"/>
          </w:tcPr>
          <w:p>
            <w:pPr>
              <w:spacing w:after="0"/>
              <w:rPr>
                <w:sz w:val="21"/>
                <w:szCs w:val="21"/>
                <w:color w:val="auto"/>
              </w:rPr>
            </w:pPr>
          </w:p>
        </w:tc>
        <w:tc>
          <w:tcPr>
            <w:tcW w:w="1120" w:type="dxa"/>
            <w:vAlign w:val="bottom"/>
            <w:gridSpan w:val="3"/>
          </w:tcPr>
          <w:p>
            <w:pPr>
              <w:jc w:val="center"/>
              <w:spacing w:after="0"/>
              <w:rPr>
                <w:sz w:val="20"/>
                <w:szCs w:val="20"/>
                <w:color w:val="auto"/>
              </w:rPr>
            </w:pPr>
            <w:r>
              <w:rPr>
                <w:rFonts w:ascii="Arial" w:cs="Arial" w:eastAsia="Arial" w:hAnsi="Arial"/>
                <w:sz w:val="18"/>
                <w:szCs w:val="18"/>
                <w:color w:val="0000FF"/>
                <w:w w:val="99"/>
              </w:rPr>
              <w:t>37</w:t>
            </w:r>
          </w:p>
        </w:tc>
      </w:tr>
      <w:tr>
        <w:trPr>
          <w:trHeight w:val="20"/>
        </w:trPr>
        <w:tc>
          <w:tcPr>
            <w:tcW w:w="1100" w:type="dxa"/>
            <w:vAlign w:val="bottom"/>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4.</w:t>
            </w:r>
          </w:p>
        </w:tc>
        <w:tc>
          <w:tcPr>
            <w:tcW w:w="2540" w:type="dxa"/>
            <w:vAlign w:val="bottom"/>
            <w:gridSpan w:val="9"/>
          </w:tcPr>
          <w:p>
            <w:pPr>
              <w:spacing w:after="0"/>
              <w:rPr>
                <w:sz w:val="20"/>
                <w:szCs w:val="20"/>
                <w:color w:val="auto"/>
              </w:rPr>
            </w:pPr>
            <w:r>
              <w:rPr>
                <w:rFonts w:ascii="Arial" w:cs="Arial" w:eastAsia="Arial" w:hAnsi="Arial"/>
                <w:sz w:val="18"/>
                <w:szCs w:val="18"/>
                <w:color w:val="0000FF"/>
              </w:rPr>
              <w:t>Mine Safety Disclosures</w:t>
            </w:r>
          </w:p>
        </w:tc>
        <w:tc>
          <w:tcPr>
            <w:tcW w:w="6460" w:type="dxa"/>
            <w:vAlign w:val="bottom"/>
            <w:gridSpan w:val="14"/>
          </w:tcPr>
          <w:p>
            <w:pPr>
              <w:spacing w:after="0"/>
              <w:rPr>
                <w:sz w:val="21"/>
                <w:szCs w:val="21"/>
                <w:color w:val="auto"/>
              </w:rPr>
            </w:pPr>
          </w:p>
        </w:tc>
        <w:tc>
          <w:tcPr>
            <w:tcW w:w="1120" w:type="dxa"/>
            <w:vAlign w:val="bottom"/>
            <w:gridSpan w:val="3"/>
          </w:tcPr>
          <w:p>
            <w:pPr>
              <w:jc w:val="center"/>
              <w:spacing w:after="0"/>
              <w:rPr>
                <w:sz w:val="20"/>
                <w:szCs w:val="20"/>
                <w:color w:val="auto"/>
              </w:rPr>
            </w:pPr>
            <w:r>
              <w:rPr>
                <w:rFonts w:ascii="Arial" w:cs="Arial" w:eastAsia="Arial" w:hAnsi="Arial"/>
                <w:sz w:val="18"/>
                <w:szCs w:val="18"/>
                <w:color w:val="0000FF"/>
                <w:w w:val="99"/>
              </w:rPr>
              <w:t>37</w:t>
            </w:r>
          </w:p>
        </w:tc>
      </w:tr>
      <w:tr>
        <w:trPr>
          <w:trHeight w:val="20"/>
        </w:trPr>
        <w:tc>
          <w:tcPr>
            <w:tcW w:w="1100" w:type="dxa"/>
            <w:vAlign w:val="bottom"/>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5.</w:t>
            </w:r>
          </w:p>
        </w:tc>
        <w:tc>
          <w:tcPr>
            <w:tcW w:w="1400" w:type="dxa"/>
            <w:vAlign w:val="bottom"/>
            <w:gridSpan w:val="4"/>
          </w:tcPr>
          <w:p>
            <w:pPr>
              <w:spacing w:after="0"/>
              <w:rPr>
                <w:sz w:val="20"/>
                <w:szCs w:val="20"/>
                <w:color w:val="auto"/>
              </w:rPr>
            </w:pPr>
            <w:r>
              <w:rPr>
                <w:rFonts w:ascii="Arial" w:cs="Arial" w:eastAsia="Arial" w:hAnsi="Arial"/>
                <w:sz w:val="18"/>
                <w:szCs w:val="18"/>
                <w:color w:val="0000FF"/>
                <w:w w:val="98"/>
              </w:rPr>
              <w:t>Other Information</w:t>
            </w:r>
          </w:p>
        </w:tc>
        <w:tc>
          <w:tcPr>
            <w:tcW w:w="520" w:type="dxa"/>
            <w:vAlign w:val="bottom"/>
            <w:gridSpan w:val="3"/>
          </w:tcPr>
          <w:p>
            <w:pPr>
              <w:spacing w:after="0"/>
              <w:rPr>
                <w:sz w:val="21"/>
                <w:szCs w:val="21"/>
                <w:color w:val="auto"/>
              </w:rPr>
            </w:pPr>
          </w:p>
        </w:tc>
        <w:tc>
          <w:tcPr>
            <w:tcW w:w="7080" w:type="dxa"/>
            <w:vAlign w:val="bottom"/>
            <w:gridSpan w:val="16"/>
          </w:tcPr>
          <w:p>
            <w:pPr>
              <w:spacing w:after="0"/>
              <w:rPr>
                <w:sz w:val="21"/>
                <w:szCs w:val="21"/>
                <w:color w:val="auto"/>
              </w:rPr>
            </w:pPr>
          </w:p>
        </w:tc>
        <w:tc>
          <w:tcPr>
            <w:tcW w:w="1120" w:type="dxa"/>
            <w:vAlign w:val="bottom"/>
            <w:gridSpan w:val="3"/>
          </w:tcPr>
          <w:p>
            <w:pPr>
              <w:jc w:val="center"/>
              <w:spacing w:after="0"/>
              <w:rPr>
                <w:sz w:val="20"/>
                <w:szCs w:val="20"/>
                <w:color w:val="auto"/>
              </w:rPr>
            </w:pPr>
            <w:r>
              <w:rPr>
                <w:rFonts w:ascii="Arial" w:cs="Arial" w:eastAsia="Arial" w:hAnsi="Arial"/>
                <w:sz w:val="18"/>
                <w:szCs w:val="18"/>
                <w:color w:val="0000FF"/>
                <w:w w:val="99"/>
              </w:rPr>
              <w:t>38</w:t>
            </w:r>
          </w:p>
        </w:tc>
      </w:tr>
      <w:tr>
        <w:trPr>
          <w:trHeight w:val="20"/>
        </w:trPr>
        <w:tc>
          <w:tcPr>
            <w:tcW w:w="11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520" w:type="dxa"/>
            <w:vAlign w:val="bottom"/>
            <w:gridSpan w:val="8"/>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3980" w:type="dxa"/>
            <w:vAlign w:val="bottom"/>
            <w:gridSpan w:val="7"/>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auto"/>
              </w:rPr>
              <w:t>Item 6.</w:t>
            </w:r>
          </w:p>
        </w:tc>
        <w:tc>
          <w:tcPr>
            <w:tcW w:w="1400" w:type="dxa"/>
            <w:vAlign w:val="bottom"/>
            <w:gridSpan w:val="4"/>
          </w:tcPr>
          <w:p>
            <w:pPr>
              <w:spacing w:after="0"/>
              <w:rPr>
                <w:sz w:val="20"/>
                <w:szCs w:val="20"/>
                <w:color w:val="auto"/>
              </w:rPr>
            </w:pPr>
            <w:r>
              <w:rPr>
                <w:rFonts w:ascii="Arial" w:cs="Arial" w:eastAsia="Arial" w:hAnsi="Arial"/>
                <w:sz w:val="18"/>
                <w:szCs w:val="18"/>
                <w:color w:val="0000FF"/>
              </w:rPr>
              <w:t>Exhibits</w:t>
            </w:r>
          </w:p>
        </w:tc>
        <w:tc>
          <w:tcPr>
            <w:tcW w:w="7600" w:type="dxa"/>
            <w:vAlign w:val="bottom"/>
            <w:gridSpan w:val="19"/>
          </w:tcPr>
          <w:p>
            <w:pPr>
              <w:spacing w:after="0"/>
              <w:rPr>
                <w:sz w:val="21"/>
                <w:szCs w:val="21"/>
                <w:color w:val="auto"/>
              </w:rPr>
            </w:pPr>
          </w:p>
        </w:tc>
        <w:tc>
          <w:tcPr>
            <w:tcW w:w="1120" w:type="dxa"/>
            <w:vAlign w:val="bottom"/>
            <w:gridSpan w:val="3"/>
          </w:tcPr>
          <w:p>
            <w:pPr>
              <w:jc w:val="center"/>
              <w:spacing w:after="0"/>
              <w:rPr>
                <w:sz w:val="20"/>
                <w:szCs w:val="20"/>
                <w:color w:val="auto"/>
              </w:rPr>
            </w:pPr>
            <w:r>
              <w:rPr>
                <w:rFonts w:ascii="Arial" w:cs="Arial" w:eastAsia="Arial" w:hAnsi="Arial"/>
                <w:sz w:val="18"/>
                <w:szCs w:val="18"/>
                <w:color w:val="0000FF"/>
                <w:w w:val="99"/>
              </w:rPr>
              <w:t>38</w:t>
            </w:r>
          </w:p>
        </w:tc>
      </w:tr>
      <w:tr>
        <w:trPr>
          <w:trHeight w:val="250"/>
        </w:trPr>
        <w:tc>
          <w:tcPr>
            <w:tcW w:w="1100" w:type="dxa"/>
            <w:vAlign w:val="bottom"/>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80" w:type="dxa"/>
            <w:vAlign w:val="bottom"/>
            <w:gridSpan w:val="11"/>
          </w:tcPr>
          <w:p>
            <w:pPr>
              <w:jc w:val="center"/>
              <w:ind w:right="3920"/>
              <w:spacing w:after="0"/>
              <w:rPr>
                <w:sz w:val="20"/>
                <w:szCs w:val="20"/>
                <w:color w:val="auto"/>
              </w:rPr>
            </w:pPr>
            <w:r>
              <w:rPr>
                <w:rFonts w:ascii="Arial" w:cs="Arial" w:eastAsia="Arial" w:hAnsi="Arial"/>
                <w:sz w:val="18"/>
                <w:szCs w:val="18"/>
                <w:b w:val="1"/>
                <w:bCs w:val="1"/>
                <w:color w:val="0000FF"/>
                <w:w w:val="98"/>
              </w:rPr>
              <w:t>SIGNATURES</w:t>
            </w:r>
          </w:p>
        </w:tc>
        <w:tc>
          <w:tcPr>
            <w:tcW w:w="500" w:type="dxa"/>
            <w:vAlign w:val="bottom"/>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520" w:type="dxa"/>
            <w:vAlign w:val="bottom"/>
          </w:tcPr>
          <w:p>
            <w:pPr>
              <w:spacing w:after="0"/>
              <w:rPr>
                <w:sz w:val="21"/>
                <w:szCs w:val="21"/>
                <w:color w:val="auto"/>
              </w:rPr>
            </w:pPr>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2" w:name="page3"/>
    <w:bookmarkEnd w:id="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r>
        <w:rPr>
          <w:rFonts w:ascii="Arial" w:cs="Arial" w:eastAsia="Arial" w:hAnsi="Arial"/>
          <w:sz w:val="18"/>
          <w:szCs w:val="18"/>
          <w:color w:val="auto"/>
        </w:rPr>
        <w:t>—</w:t>
      </w:r>
      <w:r>
        <w:rPr>
          <w:rFonts w:ascii="Arial" w:cs="Arial" w:eastAsia="Arial" w:hAnsi="Arial"/>
          <w:sz w:val="18"/>
          <w:szCs w:val="18"/>
          <w:b w:val="1"/>
          <w:bCs w:val="1"/>
          <w:color w:val="auto"/>
        </w:rPr>
        <w:t>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EXELIXIS,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data)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gridSpan w:val="2"/>
          </w:tcPr>
          <w:p>
            <w:pPr>
              <w:ind w:left="100"/>
              <w:spacing w:after="0"/>
              <w:rPr>
                <w:sz w:val="20"/>
                <w:szCs w:val="20"/>
                <w:color w:val="auto"/>
              </w:rPr>
            </w:pPr>
            <w:r>
              <w:rPr>
                <w:rFonts w:ascii="Arial" w:cs="Arial" w:eastAsia="Arial" w:hAnsi="Arial"/>
                <w:sz w:val="16"/>
                <w:szCs w:val="16"/>
                <w:b w:val="1"/>
                <w:bCs w:val="1"/>
                <w:color w:val="auto"/>
              </w:rPr>
              <w:t>March 31, 2026</w:t>
            </w:r>
          </w:p>
        </w:tc>
        <w:tc>
          <w:tcPr>
            <w:tcW w:w="140" w:type="dxa"/>
            <w:vAlign w:val="bottom"/>
          </w:tcPr>
          <w:p>
            <w:pPr>
              <w:spacing w:after="0"/>
              <w:rPr>
                <w:sz w:val="19"/>
                <w:szCs w:val="19"/>
                <w:color w:val="auto"/>
              </w:rPr>
            </w:pPr>
          </w:p>
        </w:tc>
        <w:tc>
          <w:tcPr>
            <w:tcW w:w="1660" w:type="dxa"/>
            <w:vAlign w:val="bottom"/>
          </w:tcPr>
          <w:p>
            <w:pPr>
              <w:jc w:val="right"/>
              <w:ind w:right="90"/>
              <w:spacing w:after="0"/>
              <w:rPr>
                <w:sz w:val="20"/>
                <w:szCs w:val="20"/>
                <w:color w:val="auto"/>
              </w:rPr>
            </w:pPr>
            <w:r>
              <w:rPr>
                <w:rFonts w:ascii="Arial" w:cs="Arial" w:eastAsia="Arial" w:hAnsi="Arial"/>
                <w:sz w:val="16"/>
                <w:szCs w:val="16"/>
                <w:b w:val="1"/>
                <w:bCs w:val="1"/>
                <w:color w:val="auto"/>
              </w:rPr>
              <w:t>December 31, 2025</w:t>
            </w:r>
          </w:p>
        </w:tc>
      </w:tr>
      <w:tr>
        <w:trPr>
          <w:trHeight w:val="254"/>
        </w:trPr>
        <w:tc>
          <w:tcPr>
            <w:tcW w:w="7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auto"/>
            </w:tcBorders>
            <w:shd w:val="clear" w:color="auto" w:fill="CCEEFF"/>
          </w:tcPr>
          <w:p>
            <w:pPr>
              <w:spacing w:after="0"/>
              <w:rPr>
                <w:sz w:val="22"/>
                <w:szCs w:val="22"/>
                <w:color w:val="auto"/>
              </w:rPr>
            </w:pPr>
          </w:p>
        </w:tc>
        <w:tc>
          <w:tcPr>
            <w:tcW w:w="15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660" w:type="dxa"/>
            <w:vAlign w:val="bottom"/>
            <w:tcBorders>
              <w:top w:val="single" w:sz="8" w:color="auto"/>
            </w:tcBorders>
            <w:shd w:val="clear" w:color="auto" w:fill="CCEEFF"/>
          </w:tcPr>
          <w:p>
            <w:pPr>
              <w:spacing w:after="0"/>
              <w:rPr>
                <w:sz w:val="22"/>
                <w:szCs w:val="22"/>
                <w:color w:val="auto"/>
              </w:rPr>
            </w:pPr>
          </w:p>
        </w:tc>
      </w:tr>
      <w:tr>
        <w:trPr>
          <w:trHeight w:val="247"/>
        </w:trPr>
        <w:tc>
          <w:tcPr>
            <w:tcW w:w="75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3"/>
        </w:trPr>
        <w:tc>
          <w:tcPr>
            <w:tcW w:w="7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226,152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482,488</w:t>
            </w:r>
          </w:p>
        </w:tc>
      </w:tr>
      <w:tr>
        <w:trPr>
          <w:trHeight w:val="247"/>
        </w:trPr>
        <w:tc>
          <w:tcPr>
            <w:tcW w:w="752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551,055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576,603</w:t>
            </w:r>
          </w:p>
        </w:tc>
      </w:tr>
      <w:tr>
        <w:trPr>
          <w:trHeight w:val="23"/>
        </w:trPr>
        <w:tc>
          <w:tcPr>
            <w:tcW w:w="7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Trade receivables, net</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328,947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286,916</w:t>
            </w:r>
          </w:p>
        </w:tc>
      </w:tr>
      <w:tr>
        <w:trPr>
          <w:trHeight w:val="247"/>
        </w:trPr>
        <w:tc>
          <w:tcPr>
            <w:tcW w:w="752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26,605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21,686</w:t>
            </w:r>
          </w:p>
        </w:tc>
      </w:tr>
      <w:tr>
        <w:trPr>
          <w:trHeight w:val="23"/>
        </w:trPr>
        <w:tc>
          <w:tcPr>
            <w:tcW w:w="7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7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75,878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75,596</w:t>
            </w:r>
          </w:p>
        </w:tc>
      </w:tr>
      <w:tr>
        <w:trPr>
          <w:trHeight w:val="241"/>
        </w:trPr>
        <w:tc>
          <w:tcPr>
            <w:tcW w:w="7520" w:type="dxa"/>
            <w:vAlign w:val="bottom"/>
          </w:tcPr>
          <w:p>
            <w:pPr>
              <w:ind w:left="440"/>
              <w:spacing w:after="0"/>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1,208,637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1,443,289</w:t>
            </w:r>
          </w:p>
        </w:tc>
      </w:tr>
      <w:tr>
        <w:trPr>
          <w:trHeight w:val="23"/>
        </w:trPr>
        <w:tc>
          <w:tcPr>
            <w:tcW w:w="7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marketable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649,144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603,603</w:t>
            </w:r>
          </w:p>
        </w:tc>
      </w:tr>
      <w:tr>
        <w:trPr>
          <w:trHeight w:val="247"/>
        </w:trPr>
        <w:tc>
          <w:tcPr>
            <w:tcW w:w="752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95,524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98,960</w:t>
            </w:r>
          </w:p>
        </w:tc>
      </w:tr>
      <w:tr>
        <w:trPr>
          <w:trHeight w:val="23"/>
        </w:trPr>
        <w:tc>
          <w:tcPr>
            <w:tcW w:w="7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 net</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293,730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292,582</w:t>
            </w:r>
          </w:p>
        </w:tc>
      </w:tr>
      <w:tr>
        <w:trPr>
          <w:trHeight w:val="247"/>
        </w:trPr>
        <w:tc>
          <w:tcPr>
            <w:tcW w:w="7520" w:type="dxa"/>
            <w:vAlign w:val="bottom"/>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63,684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63,684</w:t>
            </w:r>
          </w:p>
        </w:tc>
      </w:tr>
      <w:tr>
        <w:trPr>
          <w:trHeight w:val="23"/>
        </w:trPr>
        <w:tc>
          <w:tcPr>
            <w:tcW w:w="7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Right-of-use assets and other non-current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282,874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342,305</w:t>
            </w:r>
          </w:p>
        </w:tc>
      </w:tr>
      <w:tr>
        <w:trPr>
          <w:trHeight w:val="264"/>
        </w:trPr>
        <w:tc>
          <w:tcPr>
            <w:tcW w:w="7520" w:type="dxa"/>
            <w:vAlign w:val="bottom"/>
          </w:tcPr>
          <w:p>
            <w:pPr>
              <w:ind w:left="44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2,593,593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2,844,423</w:t>
            </w:r>
          </w:p>
        </w:tc>
      </w:tr>
      <w:tr>
        <w:trPr>
          <w:trHeight w:val="20"/>
        </w:trPr>
        <w:tc>
          <w:tcPr>
            <w:tcW w:w="75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37"/>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r>
      <w:tr>
        <w:trPr>
          <w:trHeight w:val="247"/>
        </w:trPr>
        <w:tc>
          <w:tcPr>
            <w:tcW w:w="75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3"/>
        </w:trPr>
        <w:tc>
          <w:tcPr>
            <w:tcW w:w="7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29,623</w:t>
            </w:r>
          </w:p>
        </w:tc>
      </w:tr>
      <w:tr>
        <w:trPr>
          <w:trHeight w:val="247"/>
        </w:trPr>
        <w:tc>
          <w:tcPr>
            <w:tcW w:w="7520" w:type="dxa"/>
            <w:vAlign w:val="bottom"/>
          </w:tcPr>
          <w:p>
            <w:pPr>
              <w:ind w:left="220"/>
              <w:spacing w:after="0"/>
              <w:rPr>
                <w:sz w:val="20"/>
                <w:szCs w:val="20"/>
                <w:color w:val="auto"/>
              </w:rPr>
            </w:pPr>
            <w:r>
              <w:rPr>
                <w:rFonts w:ascii="Arial" w:cs="Arial" w:eastAsia="Arial" w:hAnsi="Arial"/>
                <w:sz w:val="18"/>
                <w:szCs w:val="18"/>
                <w:color w:val="auto"/>
              </w:rPr>
              <w:t>Accrued compensation and benefits</w:t>
            </w: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87,512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102,218</w:t>
            </w:r>
          </w:p>
        </w:tc>
      </w:tr>
      <w:tr>
        <w:trPr>
          <w:trHeight w:val="23"/>
        </w:trPr>
        <w:tc>
          <w:tcPr>
            <w:tcW w:w="7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Accrued clinical trial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65,742</w:t>
            </w:r>
          </w:p>
        </w:tc>
      </w:tr>
      <w:tr>
        <w:trPr>
          <w:trHeight w:val="247"/>
        </w:trPr>
        <w:tc>
          <w:tcPr>
            <w:tcW w:w="7520" w:type="dxa"/>
            <w:vAlign w:val="bottom"/>
          </w:tcPr>
          <w:p>
            <w:pPr>
              <w:ind w:left="220"/>
              <w:spacing w:after="0"/>
              <w:rPr>
                <w:sz w:val="20"/>
                <w:szCs w:val="20"/>
                <w:color w:val="auto"/>
              </w:rPr>
            </w:pPr>
            <w:r>
              <w:rPr>
                <w:rFonts w:ascii="Arial" w:cs="Arial" w:eastAsia="Arial" w:hAnsi="Arial"/>
                <w:sz w:val="18"/>
                <w:szCs w:val="18"/>
                <w:color w:val="auto"/>
              </w:rPr>
              <w:t>Rebates and fees due to customers</w:t>
            </w: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65,892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59,896</w:t>
            </w:r>
          </w:p>
        </w:tc>
      </w:tr>
      <w:tr>
        <w:trPr>
          <w:trHeight w:val="23"/>
        </w:trPr>
        <w:tc>
          <w:tcPr>
            <w:tcW w:w="7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Accrued collaboration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22,783</w:t>
            </w:r>
          </w:p>
        </w:tc>
      </w:tr>
      <w:tr>
        <w:trPr>
          <w:trHeight w:val="247"/>
        </w:trPr>
        <w:tc>
          <w:tcPr>
            <w:tcW w:w="7520" w:type="dxa"/>
            <w:vAlign w:val="bottom"/>
          </w:tcPr>
          <w:p>
            <w:pPr>
              <w:ind w:left="220"/>
              <w:spacing w:after="0"/>
              <w:rPr>
                <w:sz w:val="20"/>
                <w:szCs w:val="20"/>
                <w:color w:val="auto"/>
              </w:rPr>
            </w:pPr>
            <w:r>
              <w:rPr>
                <w:rFonts w:ascii="Arial" w:cs="Arial" w:eastAsia="Arial" w:hAnsi="Arial"/>
                <w:sz w:val="18"/>
                <w:szCs w:val="18"/>
                <w:color w:val="auto"/>
              </w:rPr>
              <w:t>Other current liabilities</w:t>
            </w: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100,286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125,382</w:t>
            </w:r>
          </w:p>
        </w:tc>
      </w:tr>
      <w:tr>
        <w:trPr>
          <w:trHeight w:val="23"/>
        </w:trPr>
        <w:tc>
          <w:tcPr>
            <w:tcW w:w="7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3"/>
        </w:trPr>
        <w:tc>
          <w:tcPr>
            <w:tcW w:w="75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370,975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405,644</w:t>
            </w:r>
          </w:p>
        </w:tc>
      </w:tr>
      <w:tr>
        <w:trPr>
          <w:trHeight w:val="247"/>
        </w:trPr>
        <w:tc>
          <w:tcPr>
            <w:tcW w:w="7520" w:type="dxa"/>
            <w:vAlign w:val="bottom"/>
          </w:tcPr>
          <w:p>
            <w:pPr>
              <w:ind w:left="20"/>
              <w:spacing w:after="0"/>
              <w:rPr>
                <w:sz w:val="20"/>
                <w:szCs w:val="20"/>
                <w:color w:val="auto"/>
              </w:rPr>
            </w:pPr>
            <w:r>
              <w:rPr>
                <w:rFonts w:ascii="Arial" w:cs="Arial" w:eastAsia="Arial" w:hAnsi="Arial"/>
                <w:sz w:val="18"/>
                <w:szCs w:val="18"/>
                <w:color w:val="auto"/>
              </w:rPr>
              <w:t>Non-current operating lease liabilities</w:t>
            </w: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169,541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173,038</w:t>
            </w:r>
          </w:p>
        </w:tc>
      </w:tr>
      <w:tr>
        <w:trPr>
          <w:trHeight w:val="23"/>
        </w:trPr>
        <w:tc>
          <w:tcPr>
            <w:tcW w:w="7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117,329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104,422</w:t>
            </w:r>
          </w:p>
        </w:tc>
      </w:tr>
      <w:tr>
        <w:trPr>
          <w:trHeight w:val="240"/>
        </w:trPr>
        <w:tc>
          <w:tcPr>
            <w:tcW w:w="7520" w:type="dxa"/>
            <w:vAlign w:val="bottom"/>
          </w:tcPr>
          <w:p>
            <w:pPr>
              <w:ind w:left="48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657,845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683,104</w:t>
            </w:r>
          </w:p>
        </w:tc>
      </w:tr>
      <w:tr>
        <w:trPr>
          <w:trHeight w:val="23"/>
        </w:trPr>
        <w:tc>
          <w:tcPr>
            <w:tcW w:w="7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0"/>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11)</w:t>
            </w:r>
          </w:p>
        </w:tc>
        <w:tc>
          <w:tcPr>
            <w:tcW w:w="24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r>
      <w:tr>
        <w:trPr>
          <w:trHeight w:val="247"/>
        </w:trPr>
        <w:tc>
          <w:tcPr>
            <w:tcW w:w="752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3"/>
        </w:trPr>
        <w:tc>
          <w:tcPr>
            <w:tcW w:w="7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Preferred stock, $0.001 par value, 10,000 shares authorized and no shares issued</w:t>
            </w:r>
          </w:p>
        </w:tc>
        <w:tc>
          <w:tcPr>
            <w:tcW w:w="2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7520" w:type="dxa"/>
            <w:vAlign w:val="bottom"/>
          </w:tcPr>
          <w:p>
            <w:pPr>
              <w:ind w:left="220"/>
              <w:spacing w:after="0"/>
              <w:rPr>
                <w:sz w:val="20"/>
                <w:szCs w:val="20"/>
                <w:color w:val="auto"/>
              </w:rPr>
            </w:pPr>
            <w:r>
              <w:rPr>
                <w:rFonts w:ascii="Arial" w:cs="Arial" w:eastAsia="Arial" w:hAnsi="Arial"/>
                <w:sz w:val="18"/>
                <w:szCs w:val="18"/>
                <w:color w:val="auto"/>
              </w:rPr>
              <w:t>Common stock, $0.001 par value; 400,000 shares authorized; issued and outstanding:</w:t>
            </w:r>
          </w:p>
        </w:tc>
        <w:tc>
          <w:tcPr>
            <w:tcW w:w="2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9"/>
        </w:trPr>
        <w:tc>
          <w:tcPr>
            <w:tcW w:w="7520" w:type="dxa"/>
            <w:vAlign w:val="bottom"/>
          </w:tcPr>
          <w:p>
            <w:pPr>
              <w:ind w:left="220"/>
              <w:spacing w:after="0"/>
              <w:rPr>
                <w:sz w:val="20"/>
                <w:szCs w:val="20"/>
                <w:color w:val="auto"/>
              </w:rPr>
            </w:pPr>
            <w:r>
              <w:rPr>
                <w:rFonts w:ascii="Arial" w:cs="Arial" w:eastAsia="Arial" w:hAnsi="Arial"/>
                <w:sz w:val="18"/>
                <w:szCs w:val="18"/>
                <w:color w:val="auto"/>
              </w:rPr>
              <w:t>253,701 and 262,483 at March 31, 2026, and December 31, 2025, respectively</w:t>
            </w:r>
          </w:p>
        </w:tc>
        <w:tc>
          <w:tcPr>
            <w:tcW w:w="2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262</w:t>
            </w:r>
          </w:p>
        </w:tc>
      </w:tr>
      <w:tr>
        <w:trPr>
          <w:trHeight w:val="23"/>
        </w:trPr>
        <w:tc>
          <w:tcPr>
            <w:tcW w:w="7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Additional paid-in-capital</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2,151,703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2,234,411</w:t>
            </w:r>
          </w:p>
        </w:tc>
      </w:tr>
      <w:tr>
        <w:trPr>
          <w:trHeight w:val="247"/>
        </w:trPr>
        <w:tc>
          <w:tcPr>
            <w:tcW w:w="7520" w:type="dxa"/>
            <w:vAlign w:val="bottom"/>
          </w:tcPr>
          <w:p>
            <w:pPr>
              <w:ind w:left="220"/>
              <w:spacing w:after="0"/>
              <w:rPr>
                <w:sz w:val="20"/>
                <w:szCs w:val="20"/>
                <w:color w:val="auto"/>
              </w:rPr>
            </w:pPr>
            <w:r>
              <w:rPr>
                <w:rFonts w:ascii="Arial" w:cs="Arial" w:eastAsia="Arial" w:hAnsi="Arial"/>
                <w:sz w:val="18"/>
                <w:szCs w:val="18"/>
                <w:color w:val="auto"/>
              </w:rPr>
              <w:t>Accumulated other comprehensive income (loss)</w:t>
            </w: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3,476</w:t>
            </w:r>
          </w:p>
        </w:tc>
      </w:tr>
      <w:tr>
        <w:trPr>
          <w:trHeight w:val="23"/>
        </w:trPr>
        <w:tc>
          <w:tcPr>
            <w:tcW w:w="7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7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Accumulated deficit</w:t>
            </w: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(215,794)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(76,830)</w:t>
            </w:r>
          </w:p>
        </w:tc>
      </w:tr>
      <w:tr>
        <w:trPr>
          <w:trHeight w:val="240"/>
        </w:trPr>
        <w:tc>
          <w:tcPr>
            <w:tcW w:w="7520" w:type="dxa"/>
            <w:vAlign w:val="bottom"/>
          </w:tcPr>
          <w:p>
            <w:pPr>
              <w:ind w:left="48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1,935,748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2,161,319</w:t>
            </w:r>
          </w:p>
        </w:tc>
      </w:tr>
      <w:tr>
        <w:trPr>
          <w:trHeight w:val="23"/>
        </w:trPr>
        <w:tc>
          <w:tcPr>
            <w:tcW w:w="7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89"/>
        </w:trPr>
        <w:tc>
          <w:tcPr>
            <w:tcW w:w="75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2,593,593</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2,844,423</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2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EXELIXIS,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INCOME</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data)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19" w:lineRule="exact"/>
        <w:rPr>
          <w:sz w:val="20"/>
          <w:szCs w:val="20"/>
          <w:color w:val="auto"/>
        </w:rPr>
      </w:pPr>
    </w:p>
    <w:tbl>
      <w:tblPr>
        <w:tblLayout w:type="fixed"/>
        <w:tblInd w:w="20" w:type="dxa"/>
        <w:tblCellMar>
          <w:top w:w="0" w:type="dxa"/>
          <w:left w:w="0" w:type="dxa"/>
          <w:bottom w:w="0" w:type="dxa"/>
          <w:right w:w="0" w:type="dxa"/>
        </w:tblCellMar>
      </w:tblPr>
      <w:tr>
        <w:trPr>
          <w:trHeight w:val="226"/>
        </w:trPr>
        <w:tc>
          <w:tcPr>
            <w:tcW w:w="75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gridSpan w:val="4"/>
          </w:tcPr>
          <w:p>
            <w:pPr>
              <w:jc w:val="right"/>
              <w:ind w:right="531"/>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37"/>
        </w:trPr>
        <w:tc>
          <w:tcPr>
            <w:tcW w:w="754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11"/>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11"/>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234"/>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540" w:type="dxa"/>
            <w:vAlign w:val="bottom"/>
          </w:tcPr>
          <w:p>
            <w:pPr>
              <w:ind w:left="220"/>
              <w:spacing w:after="0"/>
              <w:rPr>
                <w:sz w:val="20"/>
                <w:szCs w:val="20"/>
                <w:color w:val="auto"/>
              </w:rPr>
            </w:pPr>
            <w:r>
              <w:rPr>
                <w:rFonts w:ascii="Arial" w:cs="Arial" w:eastAsia="Arial" w:hAnsi="Arial"/>
                <w:sz w:val="18"/>
                <w:szCs w:val="18"/>
                <w:color w:val="auto"/>
              </w:rPr>
              <w:t>Net product revenues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554,977</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513,283</w:t>
            </w:r>
          </w:p>
        </w:tc>
        <w:tc>
          <w:tcPr>
            <w:tcW w:w="0" w:type="dxa"/>
            <w:vAlign w:val="bottom"/>
          </w:tcPr>
          <w:p>
            <w:pPr>
              <w:spacing w:after="0"/>
              <w:rPr>
                <w:sz w:val="1"/>
                <w:szCs w:val="1"/>
                <w:color w:val="auto"/>
              </w:rPr>
            </w:pPr>
          </w:p>
        </w:tc>
      </w:tr>
      <w:tr>
        <w:trPr>
          <w:trHeight w:val="23"/>
        </w:trPr>
        <w:tc>
          <w:tcPr>
            <w:tcW w:w="7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Collaboration revenues</w:t>
            </w:r>
          </w:p>
        </w:tc>
        <w:tc>
          <w:tcPr>
            <w:tcW w:w="3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55,835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42,164</w:t>
            </w:r>
          </w:p>
        </w:tc>
        <w:tc>
          <w:tcPr>
            <w:tcW w:w="0" w:type="dxa"/>
            <w:vAlign w:val="bottom"/>
          </w:tcPr>
          <w:p>
            <w:pPr>
              <w:spacing w:after="0"/>
              <w:rPr>
                <w:sz w:val="1"/>
                <w:szCs w:val="1"/>
                <w:color w:val="auto"/>
              </w:rPr>
            </w:pPr>
          </w:p>
        </w:tc>
      </w:tr>
      <w:tr>
        <w:trPr>
          <w:trHeight w:val="241"/>
        </w:trPr>
        <w:tc>
          <w:tcPr>
            <w:tcW w:w="7540" w:type="dxa"/>
            <w:vAlign w:val="bottom"/>
          </w:tcPr>
          <w:p>
            <w:pPr>
              <w:ind w:left="500"/>
              <w:spacing w:after="0"/>
              <w:rPr>
                <w:sz w:val="20"/>
                <w:szCs w:val="20"/>
                <w:color w:val="auto"/>
              </w:rPr>
            </w:pPr>
            <w:r>
              <w:rPr>
                <w:rFonts w:ascii="Arial" w:cs="Arial" w:eastAsia="Arial" w:hAnsi="Arial"/>
                <w:sz w:val="18"/>
                <w:szCs w:val="18"/>
                <w:color w:val="auto"/>
              </w:rPr>
              <w:t>Total revenues</w:t>
            </w:r>
          </w:p>
        </w:tc>
        <w:tc>
          <w:tcPr>
            <w:tcW w:w="3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610,812</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555,447</w:t>
            </w:r>
          </w:p>
        </w:tc>
        <w:tc>
          <w:tcPr>
            <w:tcW w:w="0" w:type="dxa"/>
            <w:vAlign w:val="bottom"/>
          </w:tcPr>
          <w:p>
            <w:pPr>
              <w:spacing w:after="0"/>
              <w:rPr>
                <w:sz w:val="1"/>
                <w:szCs w:val="1"/>
                <w:color w:val="auto"/>
              </w:rPr>
            </w:pPr>
          </w:p>
        </w:tc>
      </w:tr>
      <w:tr>
        <w:trPr>
          <w:trHeight w:val="23"/>
        </w:trPr>
        <w:tc>
          <w:tcPr>
            <w:tcW w:w="75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540" w:type="dxa"/>
            <w:vAlign w:val="bottom"/>
          </w:tcPr>
          <w:p>
            <w:pPr>
              <w:ind w:left="220"/>
              <w:spacing w:after="0"/>
              <w:rPr>
                <w:sz w:val="20"/>
                <w:szCs w:val="20"/>
                <w:color w:val="auto"/>
              </w:rPr>
            </w:pPr>
            <w:r>
              <w:rPr>
                <w:rFonts w:ascii="Arial" w:cs="Arial" w:eastAsia="Arial" w:hAnsi="Arial"/>
                <w:sz w:val="18"/>
                <w:szCs w:val="18"/>
                <w:color w:val="auto"/>
              </w:rPr>
              <w:t>Cost of goods sold</w:t>
            </w:r>
          </w:p>
        </w:tc>
        <w:tc>
          <w:tcPr>
            <w:tcW w:w="3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19,953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19,172</w:t>
            </w:r>
          </w:p>
        </w:tc>
        <w:tc>
          <w:tcPr>
            <w:tcW w:w="0" w:type="dxa"/>
            <w:vAlign w:val="bottom"/>
          </w:tcPr>
          <w:p>
            <w:pPr>
              <w:spacing w:after="0"/>
              <w:rPr>
                <w:sz w:val="1"/>
                <w:szCs w:val="1"/>
                <w:color w:val="auto"/>
              </w:rPr>
            </w:pPr>
          </w:p>
        </w:tc>
      </w:tr>
      <w:tr>
        <w:trPr>
          <w:trHeight w:val="23"/>
        </w:trPr>
        <w:tc>
          <w:tcPr>
            <w:tcW w:w="7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3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199,916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212,233</w:t>
            </w:r>
          </w:p>
        </w:tc>
        <w:tc>
          <w:tcPr>
            <w:tcW w:w="0" w:type="dxa"/>
            <w:vAlign w:val="bottom"/>
          </w:tcPr>
          <w:p>
            <w:pPr>
              <w:spacing w:after="0"/>
              <w:rPr>
                <w:sz w:val="1"/>
                <w:szCs w:val="1"/>
                <w:color w:val="auto"/>
              </w:rPr>
            </w:pPr>
          </w:p>
        </w:tc>
      </w:tr>
      <w:tr>
        <w:trPr>
          <w:trHeight w:val="247"/>
        </w:trPr>
        <w:tc>
          <w:tcPr>
            <w:tcW w:w="7540" w:type="dxa"/>
            <w:vAlign w:val="bottom"/>
          </w:tcPr>
          <w:p>
            <w:pPr>
              <w:ind w:left="220"/>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139,602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137,183</w:t>
            </w:r>
          </w:p>
        </w:tc>
        <w:tc>
          <w:tcPr>
            <w:tcW w:w="0" w:type="dxa"/>
            <w:vAlign w:val="bottom"/>
          </w:tcPr>
          <w:p>
            <w:pPr>
              <w:spacing w:after="0"/>
              <w:rPr>
                <w:sz w:val="1"/>
                <w:szCs w:val="1"/>
                <w:color w:val="auto"/>
              </w:rPr>
            </w:pPr>
          </w:p>
        </w:tc>
      </w:tr>
      <w:tr>
        <w:trPr>
          <w:trHeight w:val="23"/>
        </w:trPr>
        <w:tc>
          <w:tcPr>
            <w:tcW w:w="75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359,471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368,588</w:t>
            </w:r>
          </w:p>
        </w:tc>
        <w:tc>
          <w:tcPr>
            <w:tcW w:w="0" w:type="dxa"/>
            <w:vAlign w:val="bottom"/>
          </w:tcPr>
          <w:p>
            <w:pPr>
              <w:spacing w:after="0"/>
              <w:rPr>
                <w:sz w:val="1"/>
                <w:szCs w:val="1"/>
                <w:color w:val="auto"/>
              </w:rPr>
            </w:pPr>
          </w:p>
        </w:tc>
      </w:tr>
      <w:tr>
        <w:trPr>
          <w:trHeight w:val="241"/>
        </w:trPr>
        <w:tc>
          <w:tcPr>
            <w:tcW w:w="754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3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251,341</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186,859</w:t>
            </w:r>
          </w:p>
        </w:tc>
        <w:tc>
          <w:tcPr>
            <w:tcW w:w="0" w:type="dxa"/>
            <w:vAlign w:val="bottom"/>
          </w:tcPr>
          <w:p>
            <w:pPr>
              <w:spacing w:after="0"/>
              <w:rPr>
                <w:sz w:val="1"/>
                <w:szCs w:val="1"/>
                <w:color w:val="auto"/>
              </w:rPr>
            </w:pPr>
          </w:p>
        </w:tc>
      </w:tr>
      <w:tr>
        <w:trPr>
          <w:trHeight w:val="23"/>
        </w:trPr>
        <w:tc>
          <w:tcPr>
            <w:tcW w:w="7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3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16,127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19,076</w:t>
            </w:r>
          </w:p>
        </w:tc>
        <w:tc>
          <w:tcPr>
            <w:tcW w:w="0" w:type="dxa"/>
            <w:vAlign w:val="bottom"/>
          </w:tcPr>
          <w:p>
            <w:pPr>
              <w:spacing w:after="0"/>
              <w:rPr>
                <w:sz w:val="1"/>
                <w:szCs w:val="1"/>
                <w:color w:val="auto"/>
              </w:rPr>
            </w:pPr>
          </w:p>
        </w:tc>
      </w:tr>
      <w:tr>
        <w:trPr>
          <w:trHeight w:val="247"/>
        </w:trPr>
        <w:tc>
          <w:tcPr>
            <w:tcW w:w="7540" w:type="dxa"/>
            <w:vAlign w:val="bottom"/>
          </w:tcPr>
          <w:p>
            <w:pPr>
              <w:ind w:left="220"/>
              <w:spacing w:after="0"/>
              <w:rPr>
                <w:sz w:val="20"/>
                <w:szCs w:val="20"/>
                <w:color w:val="auto"/>
              </w:rPr>
            </w:pPr>
            <w:r>
              <w:rPr>
                <w:rFonts w:ascii="Arial" w:cs="Arial" w:eastAsia="Arial" w:hAnsi="Arial"/>
                <w:sz w:val="18"/>
                <w:szCs w:val="18"/>
                <w:color w:val="auto"/>
              </w:rPr>
              <w:t>Other income (expenses), net</w:t>
            </w:r>
          </w:p>
        </w:tc>
        <w:tc>
          <w:tcPr>
            <w:tcW w:w="3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3"/>
        </w:trPr>
        <w:tc>
          <w:tcPr>
            <w:tcW w:w="75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267,687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205,690</w:t>
            </w:r>
          </w:p>
        </w:tc>
        <w:tc>
          <w:tcPr>
            <w:tcW w:w="0" w:type="dxa"/>
            <w:vAlign w:val="bottom"/>
          </w:tcPr>
          <w:p>
            <w:pPr>
              <w:spacing w:after="0"/>
              <w:rPr>
                <w:sz w:val="1"/>
                <w:szCs w:val="1"/>
                <w:color w:val="auto"/>
              </w:rPr>
            </w:pPr>
          </w:p>
        </w:tc>
      </w:tr>
      <w:tr>
        <w:trPr>
          <w:trHeight w:val="247"/>
        </w:trPr>
        <w:tc>
          <w:tcPr>
            <w:tcW w:w="754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3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57,220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46,074</w:t>
            </w:r>
          </w:p>
        </w:tc>
        <w:tc>
          <w:tcPr>
            <w:tcW w:w="0" w:type="dxa"/>
            <w:vAlign w:val="bottom"/>
          </w:tcPr>
          <w:p>
            <w:pPr>
              <w:spacing w:after="0"/>
              <w:rPr>
                <w:sz w:val="1"/>
                <w:szCs w:val="1"/>
                <w:color w:val="auto"/>
              </w:rPr>
            </w:pPr>
          </w:p>
        </w:tc>
      </w:tr>
      <w:tr>
        <w:trPr>
          <w:trHeight w:val="23"/>
        </w:trPr>
        <w:tc>
          <w:tcPr>
            <w:tcW w:w="75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210,467</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159,616</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income per share:</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54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47"/>
        </w:trPr>
        <w:tc>
          <w:tcPr>
            <w:tcW w:w="7540" w:type="dxa"/>
            <w:vAlign w:val="bottom"/>
          </w:tcPr>
          <w:p>
            <w:pPr>
              <w:ind w:left="220"/>
              <w:spacing w:after="0"/>
              <w:rPr>
                <w:sz w:val="20"/>
                <w:szCs w:val="20"/>
                <w:color w:val="auto"/>
              </w:rPr>
            </w:pPr>
            <w:r>
              <w:rPr>
                <w:rFonts w:ascii="Arial" w:cs="Arial" w:eastAsia="Arial" w:hAnsi="Arial"/>
                <w:sz w:val="18"/>
                <w:szCs w:val="18"/>
                <w:color w:val="auto"/>
              </w:rPr>
              <w:t>Diluted</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0.79</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3"/>
        </w:trPr>
        <w:tc>
          <w:tcPr>
            <w:tcW w:w="7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3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7540" w:type="dxa"/>
            <w:vAlign w:val="bottom"/>
          </w:tcPr>
          <w:p>
            <w:pPr>
              <w:ind w:left="220"/>
              <w:spacing w:after="0"/>
              <w:rPr>
                <w:sz w:val="20"/>
                <w:szCs w:val="20"/>
                <w:color w:val="auto"/>
              </w:rPr>
            </w:pPr>
            <w:r>
              <w:rPr>
                <w:rFonts w:ascii="Arial" w:cs="Arial" w:eastAsia="Arial" w:hAnsi="Arial"/>
                <w:sz w:val="18"/>
                <w:szCs w:val="18"/>
                <w:color w:val="auto"/>
              </w:rPr>
              <w:t>Basic</w:t>
            </w:r>
          </w:p>
        </w:tc>
        <w:tc>
          <w:tcPr>
            <w:tcW w:w="3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258,329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278,804</w:t>
            </w:r>
          </w:p>
        </w:tc>
        <w:tc>
          <w:tcPr>
            <w:tcW w:w="0" w:type="dxa"/>
            <w:vAlign w:val="bottom"/>
          </w:tcPr>
          <w:p>
            <w:pPr>
              <w:spacing w:after="0"/>
              <w:rPr>
                <w:sz w:val="1"/>
                <w:szCs w:val="1"/>
                <w:color w:val="auto"/>
              </w:rPr>
            </w:pPr>
          </w:p>
        </w:tc>
      </w:tr>
      <w:tr>
        <w:trPr>
          <w:trHeight w:val="23"/>
        </w:trPr>
        <w:tc>
          <w:tcPr>
            <w:tcW w:w="7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7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38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267,322</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288,177</w:t>
            </w:r>
          </w:p>
        </w:tc>
        <w:tc>
          <w:tcPr>
            <w:tcW w:w="0" w:type="dxa"/>
            <w:vAlign w:val="bottom"/>
          </w:tcPr>
          <w:p>
            <w:pPr>
              <w:spacing w:after="0"/>
              <w:rPr>
                <w:sz w:val="1"/>
                <w:szCs w:val="1"/>
                <w:color w:val="auto"/>
              </w:rPr>
            </w:pPr>
          </w:p>
        </w:tc>
      </w:tr>
      <w:tr>
        <w:trPr>
          <w:trHeight w:val="23"/>
        </w:trPr>
        <w:tc>
          <w:tcPr>
            <w:tcW w:w="75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EXELIXIS,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COMPREHENSIVE INCOME</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5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32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36"/>
        </w:trPr>
        <w:tc>
          <w:tcPr>
            <w:tcW w:w="75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34"/>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32"/>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247"/>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210,467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159,616</w:t>
            </w:r>
          </w:p>
        </w:tc>
        <w:tc>
          <w:tcPr>
            <w:tcW w:w="0" w:type="dxa"/>
            <w:vAlign w:val="bottom"/>
          </w:tcPr>
          <w:p>
            <w:pPr>
              <w:spacing w:after="0"/>
              <w:rPr>
                <w:sz w:val="1"/>
                <w:szCs w:val="1"/>
                <w:color w:val="auto"/>
              </w:rPr>
            </w:pPr>
          </w:p>
        </w:tc>
      </w:tr>
      <w:tr>
        <w:trPr>
          <w:trHeight w:val="247"/>
        </w:trPr>
        <w:tc>
          <w:tcPr>
            <w:tcW w:w="752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4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7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7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unrealized gains (losses) on available-for-sale debt securities, net of tax impact of</w:t>
            </w:r>
          </w:p>
        </w:tc>
        <w:tc>
          <w:tcPr>
            <w:tcW w:w="400" w:type="dxa"/>
            <w:vAlign w:val="bottom"/>
            <w:shd w:val="clear" w:color="auto" w:fill="CCEEFF"/>
          </w:tcPr>
          <w:p>
            <w:pPr>
              <w:spacing w:after="0"/>
              <w:rPr>
                <w:sz w:val="19"/>
                <w:szCs w:val="19"/>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(3,891)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3,357</w:t>
            </w:r>
          </w:p>
        </w:tc>
        <w:tc>
          <w:tcPr>
            <w:tcW w:w="0" w:type="dxa"/>
            <w:vAlign w:val="bottom"/>
          </w:tcPr>
          <w:p>
            <w:pPr>
              <w:spacing w:after="0"/>
              <w:rPr>
                <w:sz w:val="1"/>
                <w:szCs w:val="1"/>
                <w:color w:val="auto"/>
              </w:rPr>
            </w:pPr>
          </w:p>
        </w:tc>
      </w:tr>
      <w:tr>
        <w:trPr>
          <w:trHeight w:val="131"/>
        </w:trPr>
        <w:tc>
          <w:tcPr>
            <w:tcW w:w="7520" w:type="dxa"/>
            <w:vAlign w:val="bottom"/>
            <w:vMerge w:val="restart"/>
            <w:shd w:val="clear" w:color="auto" w:fill="CCEEFF"/>
          </w:tcPr>
          <w:p>
            <w:pPr>
              <w:ind w:left="220"/>
              <w:spacing w:after="0"/>
              <w:rPr>
                <w:sz w:val="20"/>
                <w:szCs w:val="20"/>
                <w:color w:val="auto"/>
              </w:rPr>
            </w:pPr>
            <w:r>
              <w:rPr>
                <w:rFonts w:ascii="Arial" w:cs="Arial" w:eastAsia="Arial" w:hAnsi="Arial"/>
                <w:sz w:val="18"/>
                <w:szCs w:val="18"/>
                <w:color w:val="auto"/>
              </w:rPr>
              <w:t>$1,147 and $(983), respectively</w:t>
            </w:r>
          </w:p>
        </w:tc>
        <w:tc>
          <w:tcPr>
            <w:tcW w:w="400" w:type="dxa"/>
            <w:vAlign w:val="bottom"/>
            <w:shd w:val="clear" w:color="auto" w:fill="CCEEFF"/>
          </w:tcPr>
          <w:p>
            <w:pPr>
              <w:spacing w:after="0"/>
              <w:rPr>
                <w:sz w:val="11"/>
                <w:szCs w:val="11"/>
                <w:color w:val="auto"/>
              </w:rPr>
            </w:pPr>
          </w:p>
        </w:tc>
        <w:tc>
          <w:tcPr>
            <w:tcW w:w="142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3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7520" w:type="dxa"/>
            <w:vAlign w:val="bottom"/>
            <w:tcBorders>
              <w:bottom w:val="single" w:sz="8" w:color="CCEEFF"/>
            </w:tcBorders>
            <w:vMerge w:val="continue"/>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spacing w:after="0"/>
              <w:rPr>
                <w:sz w:val="11"/>
                <w:szCs w:val="11"/>
                <w:color w:val="auto"/>
              </w:rPr>
            </w:pPr>
          </w:p>
        </w:tc>
        <w:tc>
          <w:tcPr>
            <w:tcW w:w="14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spacing w:after="0"/>
              <w:rPr>
                <w:sz w:val="11"/>
                <w:szCs w:val="11"/>
                <w:color w:val="auto"/>
              </w:rPr>
            </w:pPr>
          </w:p>
        </w:tc>
        <w:tc>
          <w:tcPr>
            <w:tcW w:w="138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40"/>
        </w:trPr>
        <w:tc>
          <w:tcPr>
            <w:tcW w:w="752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206,576</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162,973</w:t>
            </w:r>
          </w:p>
        </w:tc>
        <w:tc>
          <w:tcPr>
            <w:tcW w:w="0" w:type="dxa"/>
            <w:vAlign w:val="bottom"/>
          </w:tcPr>
          <w:p>
            <w:pPr>
              <w:spacing w:after="0"/>
              <w:rPr>
                <w:sz w:val="1"/>
                <w:szCs w:val="1"/>
                <w:color w:val="auto"/>
              </w:rPr>
            </w:pPr>
          </w:p>
        </w:tc>
      </w:tr>
      <w:tr>
        <w:trPr>
          <w:trHeight w:val="23"/>
        </w:trPr>
        <w:tc>
          <w:tcPr>
            <w:tcW w:w="75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4" w:name="page5"/>
    <w:bookmarkEnd w:id="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EXELIXIS,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48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680" w:type="dxa"/>
            <w:vAlign w:val="bottom"/>
            <w:tcBorders>
              <w:bottom w:val="single" w:sz="8" w:color="auto"/>
            </w:tcBorders>
            <w:gridSpan w:val="10"/>
          </w:tcPr>
          <w:p>
            <w:pPr>
              <w:spacing w:after="0"/>
              <w:rPr>
                <w:sz w:val="20"/>
                <w:szCs w:val="20"/>
                <w:color w:val="auto"/>
              </w:rPr>
            </w:pPr>
            <w:r>
              <w:rPr>
                <w:rFonts w:ascii="Arial" w:cs="Arial" w:eastAsia="Arial" w:hAnsi="Arial"/>
                <w:sz w:val="16"/>
                <w:szCs w:val="16"/>
                <w:b w:val="1"/>
                <w:bCs w:val="1"/>
                <w:color w:val="auto"/>
              </w:rPr>
              <w:t>Three Months Ended March 31, 2026</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4480" w:type="dxa"/>
            <w:vAlign w:val="bottom"/>
          </w:tcPr>
          <w:p>
            <w:pPr>
              <w:spacing w:after="0"/>
              <w:rPr>
                <w:sz w:val="17"/>
                <w:szCs w:val="17"/>
                <w:color w:val="auto"/>
              </w:rPr>
            </w:pPr>
          </w:p>
        </w:tc>
        <w:tc>
          <w:tcPr>
            <w:tcW w:w="1980" w:type="dxa"/>
            <w:vAlign w:val="bottom"/>
            <w:gridSpan w:val="4"/>
            <w:vMerge w:val="restart"/>
          </w:tcPr>
          <w:p>
            <w:pPr>
              <w:jc w:val="right"/>
              <w:ind w:right="311"/>
              <w:spacing w:after="0"/>
              <w:rPr>
                <w:sz w:val="20"/>
                <w:szCs w:val="20"/>
                <w:color w:val="auto"/>
              </w:rPr>
            </w:pPr>
            <w:r>
              <w:rPr>
                <w:rFonts w:ascii="Arial" w:cs="Arial" w:eastAsia="Arial" w:hAnsi="Arial"/>
                <w:sz w:val="16"/>
                <w:szCs w:val="16"/>
                <w:b w:val="1"/>
                <w:bCs w:val="1"/>
                <w:color w:val="auto"/>
              </w:rPr>
              <w:t>Common Stock</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Accumulated</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480" w:type="dxa"/>
            <w:vAlign w:val="bottom"/>
          </w:tcPr>
          <w:p>
            <w:pPr>
              <w:spacing w:after="0"/>
              <w:rPr>
                <w:sz w:val="15"/>
                <w:szCs w:val="15"/>
                <w:color w:val="auto"/>
              </w:rPr>
            </w:pPr>
          </w:p>
        </w:tc>
        <w:tc>
          <w:tcPr>
            <w:tcW w:w="1980" w:type="dxa"/>
            <w:vAlign w:val="bottom"/>
            <w:tcBorders>
              <w:bottom w:val="single" w:sz="8" w:color="auto"/>
            </w:tcBorders>
            <w:gridSpan w:val="4"/>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center"/>
              <w:ind w:right="80"/>
              <w:spacing w:after="0" w:line="156" w:lineRule="exact"/>
              <w:rPr>
                <w:sz w:val="20"/>
                <w:szCs w:val="20"/>
                <w:color w:val="auto"/>
              </w:rPr>
            </w:pPr>
            <w:r>
              <w:rPr>
                <w:rFonts w:ascii="Arial" w:cs="Arial" w:eastAsia="Arial" w:hAnsi="Arial"/>
                <w:sz w:val="16"/>
                <w:szCs w:val="16"/>
                <w:b w:val="1"/>
                <w:bCs w:val="1"/>
                <w:color w:val="auto"/>
              </w:rPr>
              <w:t>Additional</w:t>
            </w:r>
          </w:p>
        </w:tc>
        <w:tc>
          <w:tcPr>
            <w:tcW w:w="120" w:type="dxa"/>
            <w:vAlign w:val="bottom"/>
          </w:tcPr>
          <w:p>
            <w:pPr>
              <w:spacing w:after="0"/>
              <w:rPr>
                <w:sz w:val="15"/>
                <w:szCs w:val="15"/>
                <w:color w:val="auto"/>
              </w:rPr>
            </w:pPr>
          </w:p>
        </w:tc>
        <w:tc>
          <w:tcPr>
            <w:tcW w:w="1220" w:type="dxa"/>
            <w:vAlign w:val="bottom"/>
            <w:gridSpan w:val="2"/>
          </w:tcPr>
          <w:p>
            <w:pPr>
              <w:jc w:val="center"/>
              <w:ind w:right="220"/>
              <w:spacing w:after="0" w:line="156" w:lineRule="exact"/>
              <w:rPr>
                <w:sz w:val="20"/>
                <w:szCs w:val="20"/>
                <w:color w:val="auto"/>
              </w:rPr>
            </w:pPr>
            <w:r>
              <w:rPr>
                <w:rFonts w:ascii="Arial" w:cs="Arial" w:eastAsia="Arial" w:hAnsi="Arial"/>
                <w:sz w:val="16"/>
                <w:szCs w:val="16"/>
                <w:b w:val="1"/>
                <w:bCs w:val="1"/>
                <w:color w:val="auto"/>
              </w:rPr>
              <w:t>Other</w:t>
            </w: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center"/>
              <w:ind w:right="72"/>
              <w:spacing w:after="0" w:line="156" w:lineRule="exact"/>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195"/>
        </w:trPr>
        <w:tc>
          <w:tcPr>
            <w:tcW w:w="4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Paid-in</w:t>
            </w:r>
          </w:p>
        </w:tc>
        <w:tc>
          <w:tcPr>
            <w:tcW w:w="1340" w:type="dxa"/>
            <w:vAlign w:val="bottom"/>
            <w:gridSpan w:val="3"/>
          </w:tcPr>
          <w:p>
            <w:pPr>
              <w:ind w:left="20"/>
              <w:spacing w:after="0"/>
              <w:rPr>
                <w:sz w:val="20"/>
                <w:szCs w:val="20"/>
                <w:color w:val="auto"/>
              </w:rPr>
            </w:pPr>
            <w:r>
              <w:rPr>
                <w:rFonts w:ascii="Arial" w:cs="Arial" w:eastAsia="Arial" w:hAnsi="Arial"/>
                <w:sz w:val="16"/>
                <w:szCs w:val="16"/>
                <w:b w:val="1"/>
                <w:bCs w:val="1"/>
                <w:color w:val="auto"/>
              </w:rPr>
              <w:t>Comprehensive</w:t>
            </w:r>
          </w:p>
        </w:tc>
        <w:tc>
          <w:tcPr>
            <w:tcW w:w="1160" w:type="dxa"/>
            <w:vAlign w:val="bottom"/>
            <w:gridSpan w:val="3"/>
          </w:tcPr>
          <w:p>
            <w:pPr>
              <w:ind w:left="20"/>
              <w:spacing w:after="0"/>
              <w:rPr>
                <w:sz w:val="20"/>
                <w:szCs w:val="20"/>
                <w:color w:val="auto"/>
              </w:rPr>
            </w:pPr>
            <w:r>
              <w:rPr>
                <w:rFonts w:ascii="Arial" w:cs="Arial" w:eastAsia="Arial" w:hAnsi="Arial"/>
                <w:sz w:val="16"/>
                <w:szCs w:val="16"/>
                <w:b w:val="1"/>
                <w:bCs w:val="1"/>
                <w:color w:val="auto"/>
              </w:rPr>
              <w:t>Accumulated</w:t>
            </w:r>
          </w:p>
        </w:tc>
        <w:tc>
          <w:tcPr>
            <w:tcW w:w="1100" w:type="dxa"/>
            <w:vAlign w:val="bottom"/>
            <w:gridSpan w:val="2"/>
          </w:tcPr>
          <w:p>
            <w:pPr>
              <w:ind w:left="20"/>
              <w:spacing w:after="0"/>
              <w:rPr>
                <w:sz w:val="20"/>
                <w:szCs w:val="20"/>
                <w:color w:val="auto"/>
              </w:rPr>
            </w:pPr>
            <w:r>
              <w:rPr>
                <w:rFonts w:ascii="Arial" w:cs="Arial" w:eastAsia="Arial" w:hAnsi="Arial"/>
                <w:sz w:val="16"/>
                <w:szCs w:val="16"/>
                <w:b w:val="1"/>
                <w:bCs w:val="1"/>
                <w:color w:val="auto"/>
              </w:rPr>
              <w:t>Stockholders'</w:t>
            </w:r>
          </w:p>
        </w:tc>
        <w:tc>
          <w:tcPr>
            <w:tcW w:w="0" w:type="dxa"/>
            <w:vAlign w:val="bottom"/>
          </w:tcPr>
          <w:p>
            <w:pPr>
              <w:spacing w:after="0"/>
              <w:rPr>
                <w:sz w:val="1"/>
                <w:szCs w:val="1"/>
                <w:color w:val="auto"/>
              </w:rPr>
            </w:pPr>
          </w:p>
        </w:tc>
      </w:tr>
      <w:tr>
        <w:trPr>
          <w:trHeight w:val="240"/>
        </w:trPr>
        <w:tc>
          <w:tcPr>
            <w:tcW w:w="448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ind w:right="132"/>
              <w:spacing w:after="0"/>
              <w:rPr>
                <w:sz w:val="20"/>
                <w:szCs w:val="20"/>
                <w:color w:val="auto"/>
              </w:rPr>
            </w:pPr>
            <w:r>
              <w:rPr>
                <w:rFonts w:ascii="Arial" w:cs="Arial" w:eastAsia="Arial" w:hAnsi="Arial"/>
                <w:sz w:val="16"/>
                <w:szCs w:val="16"/>
                <w:b w:val="1"/>
                <w:bCs w:val="1"/>
                <w:color w:val="auto"/>
              </w:rPr>
              <w:t>Shares</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71"/>
              <w:spacing w:after="0"/>
              <w:rPr>
                <w:sz w:val="20"/>
                <w:szCs w:val="20"/>
                <w:color w:val="auto"/>
              </w:rPr>
            </w:pPr>
            <w:r>
              <w:rPr>
                <w:rFonts w:ascii="Arial" w:cs="Arial" w:eastAsia="Arial" w:hAnsi="Arial"/>
                <w:sz w:val="16"/>
                <w:szCs w:val="16"/>
                <w:b w:val="1"/>
                <w:bCs w:val="1"/>
                <w:color w:val="auto"/>
              </w:rPr>
              <w:t>Amount</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Capital</w:t>
            </w:r>
          </w:p>
        </w:tc>
        <w:tc>
          <w:tcPr>
            <w:tcW w:w="8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Income (Loss)</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rPr>
              <w:t>Deficit</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72"/>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47"/>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2025</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262,483</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$2,234,411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3,476</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(76,830)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2,161,319</w:t>
            </w:r>
          </w:p>
        </w:tc>
        <w:tc>
          <w:tcPr>
            <w:tcW w:w="0" w:type="dxa"/>
            <w:vAlign w:val="bottom"/>
          </w:tcPr>
          <w:p>
            <w:pPr>
              <w:spacing w:after="0"/>
              <w:rPr>
                <w:sz w:val="1"/>
                <w:szCs w:val="1"/>
                <w:color w:val="auto"/>
              </w:rPr>
            </w:pPr>
          </w:p>
        </w:tc>
      </w:tr>
      <w:tr>
        <w:trPr>
          <w:trHeight w:val="247"/>
        </w:trPr>
        <w:tc>
          <w:tcPr>
            <w:tcW w:w="44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210,467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210,467</w:t>
            </w:r>
          </w:p>
        </w:tc>
        <w:tc>
          <w:tcPr>
            <w:tcW w:w="0" w:type="dxa"/>
            <w:vAlign w:val="bottom"/>
          </w:tcPr>
          <w:p>
            <w:pPr>
              <w:spacing w:after="0"/>
              <w:rPr>
                <w:sz w:val="1"/>
                <w:szCs w:val="1"/>
                <w:color w:val="auto"/>
              </w:rPr>
            </w:pPr>
          </w:p>
        </w:tc>
      </w:tr>
      <w:tr>
        <w:trPr>
          <w:trHeight w:val="23"/>
        </w:trPr>
        <w:tc>
          <w:tcPr>
            <w:tcW w:w="4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(3,891)</w:t>
            </w:r>
          </w:p>
        </w:tc>
        <w:tc>
          <w:tcPr>
            <w:tcW w:w="0" w:type="dxa"/>
            <w:vAlign w:val="bottom"/>
          </w:tcPr>
          <w:p>
            <w:pPr>
              <w:spacing w:after="0"/>
              <w:rPr>
                <w:sz w:val="1"/>
                <w:szCs w:val="1"/>
                <w:color w:val="auto"/>
              </w:rPr>
            </w:pPr>
          </w:p>
        </w:tc>
      </w:tr>
      <w:tr>
        <w:trPr>
          <w:trHeight w:val="224"/>
        </w:trPr>
        <w:tc>
          <w:tcPr>
            <w:tcW w:w="4480" w:type="dxa"/>
            <w:vAlign w:val="bottom"/>
          </w:tcPr>
          <w:p>
            <w:pPr>
              <w:ind w:left="20"/>
              <w:spacing w:after="0"/>
              <w:rPr>
                <w:sz w:val="20"/>
                <w:szCs w:val="20"/>
                <w:color w:val="auto"/>
              </w:rPr>
            </w:pPr>
            <w:r>
              <w:rPr>
                <w:rFonts w:ascii="Arial" w:cs="Arial" w:eastAsia="Arial" w:hAnsi="Arial"/>
                <w:sz w:val="18"/>
                <w:szCs w:val="18"/>
                <w:color w:val="auto"/>
              </w:rPr>
              <w:t>Issuance of common stock under the equity incentive</w:t>
            </w: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480" w:type="dxa"/>
            <w:vAlign w:val="bottom"/>
          </w:tcPr>
          <w:p>
            <w:pPr>
              <w:ind w:left="20"/>
              <w:spacing w:after="0"/>
              <w:rPr>
                <w:sz w:val="20"/>
                <w:szCs w:val="20"/>
                <w:color w:val="auto"/>
              </w:rPr>
            </w:pPr>
            <w:r>
              <w:rPr>
                <w:rFonts w:ascii="Arial" w:cs="Arial" w:eastAsia="Arial" w:hAnsi="Arial"/>
                <w:sz w:val="18"/>
                <w:szCs w:val="18"/>
                <w:color w:val="auto"/>
              </w:rPr>
              <w:t>plan</w:t>
            </w:r>
          </w:p>
        </w:tc>
        <w:tc>
          <w:tcPr>
            <w:tcW w:w="960" w:type="dxa"/>
            <w:vAlign w:val="bottom"/>
          </w:tcPr>
          <w:p>
            <w:pPr>
              <w:jc w:val="right"/>
              <w:spacing w:after="0"/>
              <w:rPr>
                <w:sz w:val="20"/>
                <w:szCs w:val="20"/>
                <w:color w:val="auto"/>
              </w:rPr>
            </w:pPr>
            <w:r>
              <w:rPr>
                <w:rFonts w:ascii="Arial" w:cs="Arial" w:eastAsia="Arial" w:hAnsi="Arial"/>
                <w:sz w:val="18"/>
                <w:szCs w:val="18"/>
                <w:color w:val="auto"/>
              </w:rPr>
              <w:t>1,239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7,593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7,595</w:t>
            </w:r>
          </w:p>
        </w:tc>
        <w:tc>
          <w:tcPr>
            <w:tcW w:w="0" w:type="dxa"/>
            <w:vAlign w:val="bottom"/>
          </w:tcPr>
          <w:p>
            <w:pPr>
              <w:spacing w:after="0"/>
              <w:rPr>
                <w:sz w:val="1"/>
                <w:szCs w:val="1"/>
                <w:color w:val="auto"/>
              </w:rPr>
            </w:pPr>
          </w:p>
        </w:tc>
      </w:tr>
      <w:tr>
        <w:trPr>
          <w:trHeight w:val="23"/>
        </w:trPr>
        <w:tc>
          <w:tcPr>
            <w:tcW w:w="4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transactions associated with taxes withheld on</w:t>
            </w: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awards</w:t>
            </w: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(34,208)</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(34,208)</w:t>
            </w:r>
          </w:p>
        </w:tc>
        <w:tc>
          <w:tcPr>
            <w:tcW w:w="0" w:type="dxa"/>
            <w:vAlign w:val="bottom"/>
          </w:tcPr>
          <w:p>
            <w:pPr>
              <w:spacing w:after="0"/>
              <w:rPr>
                <w:sz w:val="1"/>
                <w:szCs w:val="1"/>
                <w:color w:val="auto"/>
              </w:rPr>
            </w:pPr>
          </w:p>
        </w:tc>
      </w:tr>
      <w:tr>
        <w:trPr>
          <w:trHeight w:val="247"/>
        </w:trPr>
        <w:tc>
          <w:tcPr>
            <w:tcW w:w="4480" w:type="dxa"/>
            <w:vAlign w:val="bottom"/>
          </w:tcPr>
          <w:p>
            <w:pPr>
              <w:ind w:left="20"/>
              <w:spacing w:after="0"/>
              <w:rPr>
                <w:sz w:val="20"/>
                <w:szCs w:val="20"/>
                <w:color w:val="auto"/>
              </w:rPr>
            </w:pPr>
            <w:r>
              <w:rPr>
                <w:rFonts w:ascii="Arial" w:cs="Arial" w:eastAsia="Arial" w:hAnsi="Arial"/>
                <w:sz w:val="18"/>
                <w:szCs w:val="18"/>
                <w:color w:val="auto"/>
              </w:rPr>
              <w:t>Repurchases of common stock</w:t>
            </w:r>
          </w:p>
        </w:tc>
        <w:tc>
          <w:tcPr>
            <w:tcW w:w="960" w:type="dxa"/>
            <w:vAlign w:val="bottom"/>
          </w:tcPr>
          <w:p>
            <w:pPr>
              <w:jc w:val="right"/>
              <w:spacing w:after="0"/>
              <w:rPr>
                <w:sz w:val="20"/>
                <w:szCs w:val="20"/>
                <w:color w:val="auto"/>
              </w:rPr>
            </w:pPr>
            <w:r>
              <w:rPr>
                <w:rFonts w:ascii="Arial" w:cs="Arial" w:eastAsia="Arial" w:hAnsi="Arial"/>
                <w:sz w:val="18"/>
                <w:szCs w:val="18"/>
                <w:color w:val="auto"/>
              </w:rPr>
              <w:t>(10,021)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(85,297)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(349,431)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(434,738)</w:t>
            </w:r>
          </w:p>
        </w:tc>
        <w:tc>
          <w:tcPr>
            <w:tcW w:w="0" w:type="dxa"/>
            <w:vAlign w:val="bottom"/>
          </w:tcPr>
          <w:p>
            <w:pPr>
              <w:spacing w:after="0"/>
              <w:rPr>
                <w:sz w:val="1"/>
                <w:szCs w:val="1"/>
                <w:color w:val="auto"/>
              </w:rPr>
            </w:pPr>
          </w:p>
        </w:tc>
      </w:tr>
      <w:tr>
        <w:trPr>
          <w:trHeight w:val="23"/>
        </w:trPr>
        <w:tc>
          <w:tcPr>
            <w:tcW w:w="4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29,204</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29,204</w:t>
            </w:r>
          </w:p>
        </w:tc>
        <w:tc>
          <w:tcPr>
            <w:tcW w:w="0" w:type="dxa"/>
            <w:vAlign w:val="bottom"/>
          </w:tcPr>
          <w:p>
            <w:pPr>
              <w:spacing w:after="0"/>
              <w:rPr>
                <w:sz w:val="1"/>
                <w:szCs w:val="1"/>
                <w:color w:val="auto"/>
              </w:rPr>
            </w:pPr>
          </w:p>
        </w:tc>
      </w:tr>
      <w:tr>
        <w:trPr>
          <w:trHeight w:val="241"/>
        </w:trPr>
        <w:tc>
          <w:tcPr>
            <w:tcW w:w="4480" w:type="dxa"/>
            <w:vAlign w:val="bottom"/>
          </w:tcPr>
          <w:p>
            <w:pPr>
              <w:ind w:left="20"/>
              <w:spacing w:after="0"/>
              <w:rPr>
                <w:sz w:val="20"/>
                <w:szCs w:val="20"/>
                <w:color w:val="auto"/>
              </w:rPr>
            </w:pPr>
            <w:r>
              <w:rPr>
                <w:rFonts w:ascii="Arial" w:cs="Arial" w:eastAsia="Arial" w:hAnsi="Arial"/>
                <w:sz w:val="18"/>
                <w:szCs w:val="18"/>
                <w:color w:val="auto"/>
              </w:rPr>
              <w:t>Balance at March 31, 2026</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253,701</w:t>
            </w:r>
          </w:p>
        </w:tc>
        <w:tc>
          <w:tcPr>
            <w:tcW w:w="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$2,151,703</w:t>
            </w:r>
          </w:p>
        </w:tc>
        <w:tc>
          <w:tcPr>
            <w:tcW w:w="80" w:type="dxa"/>
            <w:vAlign w:val="bottom"/>
          </w:tcPr>
          <w:p>
            <w:pPr>
              <w:spacing w:after="0"/>
              <w:rPr>
                <w:sz w:val="20"/>
                <w:szCs w:val="20"/>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(415)</w:t>
            </w:r>
          </w:p>
        </w:tc>
        <w:tc>
          <w:tcPr>
            <w:tcW w:w="80" w:type="dxa"/>
            <w:vAlign w:val="bottom"/>
          </w:tcPr>
          <w:p>
            <w:pPr>
              <w:spacing w:after="0"/>
              <w:rPr>
                <w:sz w:val="20"/>
                <w:szCs w:val="20"/>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(215,794)</w:t>
            </w:r>
          </w:p>
        </w:tc>
        <w:tc>
          <w:tcPr>
            <w:tcW w:w="80" w:type="dxa"/>
            <w:vAlign w:val="bottom"/>
          </w:tcPr>
          <w:p>
            <w:pPr>
              <w:spacing w:after="0"/>
              <w:rPr>
                <w:sz w:val="20"/>
                <w:szCs w:val="20"/>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1,935,748</w:t>
            </w:r>
          </w:p>
        </w:tc>
        <w:tc>
          <w:tcPr>
            <w:tcW w:w="0" w:type="dxa"/>
            <w:vAlign w:val="bottom"/>
          </w:tcPr>
          <w:p>
            <w:pPr>
              <w:spacing w:after="0"/>
              <w:rPr>
                <w:sz w:val="1"/>
                <w:szCs w:val="1"/>
                <w:color w:val="auto"/>
              </w:rPr>
            </w:pPr>
          </w:p>
        </w:tc>
      </w:tr>
      <w:tr>
        <w:trPr>
          <w:trHeight w:val="23"/>
        </w:trPr>
        <w:tc>
          <w:tcPr>
            <w:tcW w:w="44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4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2"/>
        </w:trPr>
        <w:tc>
          <w:tcPr>
            <w:tcW w:w="448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10"/>
          </w:tcPr>
          <w:p>
            <w:pPr>
              <w:spacing w:after="0"/>
              <w:rPr>
                <w:sz w:val="20"/>
                <w:szCs w:val="20"/>
                <w:color w:val="auto"/>
              </w:rPr>
            </w:pPr>
            <w:r>
              <w:rPr>
                <w:rFonts w:ascii="Arial" w:cs="Arial" w:eastAsia="Arial" w:hAnsi="Arial"/>
                <w:sz w:val="16"/>
                <w:szCs w:val="16"/>
                <w:b w:val="1"/>
                <w:bCs w:val="1"/>
                <w:color w:val="auto"/>
              </w:rPr>
              <w:t>Three Months Ended March 31, 2025</w:t>
            </w: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4480" w:type="dxa"/>
            <w:vAlign w:val="bottom"/>
          </w:tcPr>
          <w:p>
            <w:pPr>
              <w:spacing w:after="0"/>
              <w:rPr>
                <w:sz w:val="17"/>
                <w:szCs w:val="17"/>
                <w:color w:val="auto"/>
              </w:rPr>
            </w:pPr>
          </w:p>
        </w:tc>
        <w:tc>
          <w:tcPr>
            <w:tcW w:w="1980" w:type="dxa"/>
            <w:vAlign w:val="bottom"/>
            <w:gridSpan w:val="4"/>
            <w:vMerge w:val="restart"/>
          </w:tcPr>
          <w:p>
            <w:pPr>
              <w:jc w:val="right"/>
              <w:ind w:right="311"/>
              <w:spacing w:after="0"/>
              <w:rPr>
                <w:sz w:val="20"/>
                <w:szCs w:val="20"/>
                <w:color w:val="auto"/>
              </w:rPr>
            </w:pPr>
            <w:r>
              <w:rPr>
                <w:rFonts w:ascii="Arial" w:cs="Arial" w:eastAsia="Arial" w:hAnsi="Arial"/>
                <w:sz w:val="16"/>
                <w:szCs w:val="16"/>
                <w:b w:val="1"/>
                <w:bCs w:val="1"/>
                <w:color w:val="auto"/>
              </w:rPr>
              <w:t>Common Stock</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Accumulated</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480" w:type="dxa"/>
            <w:vAlign w:val="bottom"/>
          </w:tcPr>
          <w:p>
            <w:pPr>
              <w:spacing w:after="0"/>
              <w:rPr>
                <w:sz w:val="15"/>
                <w:szCs w:val="15"/>
                <w:color w:val="auto"/>
              </w:rPr>
            </w:pPr>
          </w:p>
        </w:tc>
        <w:tc>
          <w:tcPr>
            <w:tcW w:w="1980" w:type="dxa"/>
            <w:vAlign w:val="bottom"/>
            <w:tcBorders>
              <w:bottom w:val="single" w:sz="8" w:color="auto"/>
            </w:tcBorders>
            <w:gridSpan w:val="4"/>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center"/>
              <w:ind w:right="80"/>
              <w:spacing w:after="0" w:line="156" w:lineRule="exact"/>
              <w:rPr>
                <w:sz w:val="20"/>
                <w:szCs w:val="20"/>
                <w:color w:val="auto"/>
              </w:rPr>
            </w:pPr>
            <w:r>
              <w:rPr>
                <w:rFonts w:ascii="Arial" w:cs="Arial" w:eastAsia="Arial" w:hAnsi="Arial"/>
                <w:sz w:val="16"/>
                <w:szCs w:val="16"/>
                <w:b w:val="1"/>
                <w:bCs w:val="1"/>
                <w:color w:val="auto"/>
              </w:rPr>
              <w:t>Additional</w:t>
            </w:r>
          </w:p>
        </w:tc>
        <w:tc>
          <w:tcPr>
            <w:tcW w:w="120" w:type="dxa"/>
            <w:vAlign w:val="bottom"/>
          </w:tcPr>
          <w:p>
            <w:pPr>
              <w:spacing w:after="0"/>
              <w:rPr>
                <w:sz w:val="15"/>
                <w:szCs w:val="15"/>
                <w:color w:val="auto"/>
              </w:rPr>
            </w:pPr>
          </w:p>
        </w:tc>
        <w:tc>
          <w:tcPr>
            <w:tcW w:w="1220" w:type="dxa"/>
            <w:vAlign w:val="bottom"/>
            <w:gridSpan w:val="2"/>
          </w:tcPr>
          <w:p>
            <w:pPr>
              <w:jc w:val="center"/>
              <w:ind w:right="220"/>
              <w:spacing w:after="0" w:line="156" w:lineRule="exact"/>
              <w:rPr>
                <w:sz w:val="20"/>
                <w:szCs w:val="20"/>
                <w:color w:val="auto"/>
              </w:rPr>
            </w:pPr>
            <w:r>
              <w:rPr>
                <w:rFonts w:ascii="Arial" w:cs="Arial" w:eastAsia="Arial" w:hAnsi="Arial"/>
                <w:sz w:val="16"/>
                <w:szCs w:val="16"/>
                <w:b w:val="1"/>
                <w:bCs w:val="1"/>
                <w:color w:val="auto"/>
              </w:rPr>
              <w:t>Other</w:t>
            </w: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center"/>
              <w:ind w:right="72"/>
              <w:spacing w:after="0" w:line="156" w:lineRule="exact"/>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195"/>
        </w:trPr>
        <w:tc>
          <w:tcPr>
            <w:tcW w:w="4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Paid-in</w:t>
            </w:r>
          </w:p>
        </w:tc>
        <w:tc>
          <w:tcPr>
            <w:tcW w:w="134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rPr>
              <w:t>Comprehensive</w:t>
            </w:r>
          </w:p>
        </w:tc>
        <w:tc>
          <w:tcPr>
            <w:tcW w:w="1160" w:type="dxa"/>
            <w:vAlign w:val="bottom"/>
            <w:gridSpan w:val="3"/>
          </w:tcPr>
          <w:p>
            <w:pPr>
              <w:ind w:left="20"/>
              <w:spacing w:after="0"/>
              <w:rPr>
                <w:sz w:val="20"/>
                <w:szCs w:val="20"/>
                <w:color w:val="auto"/>
              </w:rPr>
            </w:pPr>
            <w:r>
              <w:rPr>
                <w:rFonts w:ascii="Arial" w:cs="Arial" w:eastAsia="Arial" w:hAnsi="Arial"/>
                <w:sz w:val="16"/>
                <w:szCs w:val="16"/>
                <w:b w:val="1"/>
                <w:bCs w:val="1"/>
                <w:color w:val="auto"/>
              </w:rPr>
              <w:t>Accumulated</w:t>
            </w:r>
          </w:p>
        </w:tc>
        <w:tc>
          <w:tcPr>
            <w:tcW w:w="1100" w:type="dxa"/>
            <w:vAlign w:val="bottom"/>
            <w:gridSpan w:val="2"/>
          </w:tcPr>
          <w:p>
            <w:pPr>
              <w:ind w:left="20"/>
              <w:spacing w:after="0"/>
              <w:rPr>
                <w:sz w:val="20"/>
                <w:szCs w:val="20"/>
                <w:color w:val="auto"/>
              </w:rPr>
            </w:pPr>
            <w:r>
              <w:rPr>
                <w:rFonts w:ascii="Arial" w:cs="Arial" w:eastAsia="Arial" w:hAnsi="Arial"/>
                <w:sz w:val="16"/>
                <w:szCs w:val="16"/>
                <w:b w:val="1"/>
                <w:bCs w:val="1"/>
                <w:color w:val="auto"/>
              </w:rPr>
              <w:t>Stockholders'</w:t>
            </w:r>
          </w:p>
        </w:tc>
        <w:tc>
          <w:tcPr>
            <w:tcW w:w="0" w:type="dxa"/>
            <w:vAlign w:val="bottom"/>
          </w:tcPr>
          <w:p>
            <w:pPr>
              <w:spacing w:after="0"/>
              <w:rPr>
                <w:sz w:val="1"/>
                <w:szCs w:val="1"/>
                <w:color w:val="auto"/>
              </w:rPr>
            </w:pPr>
          </w:p>
        </w:tc>
      </w:tr>
      <w:tr>
        <w:trPr>
          <w:trHeight w:val="240"/>
        </w:trPr>
        <w:tc>
          <w:tcPr>
            <w:tcW w:w="448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ind w:right="132"/>
              <w:spacing w:after="0"/>
              <w:rPr>
                <w:sz w:val="20"/>
                <w:szCs w:val="20"/>
                <w:color w:val="auto"/>
              </w:rPr>
            </w:pPr>
            <w:r>
              <w:rPr>
                <w:rFonts w:ascii="Arial" w:cs="Arial" w:eastAsia="Arial" w:hAnsi="Arial"/>
                <w:sz w:val="16"/>
                <w:szCs w:val="16"/>
                <w:b w:val="1"/>
                <w:bCs w:val="1"/>
                <w:color w:val="auto"/>
              </w:rPr>
              <w:t>Shares</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71"/>
              <w:spacing w:after="0"/>
              <w:rPr>
                <w:sz w:val="20"/>
                <w:szCs w:val="20"/>
                <w:color w:val="auto"/>
              </w:rPr>
            </w:pPr>
            <w:r>
              <w:rPr>
                <w:rFonts w:ascii="Arial" w:cs="Arial" w:eastAsia="Arial" w:hAnsi="Arial"/>
                <w:sz w:val="16"/>
                <w:szCs w:val="16"/>
                <w:b w:val="1"/>
                <w:bCs w:val="1"/>
                <w:color w:val="auto"/>
              </w:rPr>
              <w:t>Amount</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Capital</w:t>
            </w:r>
          </w:p>
        </w:tc>
        <w:tc>
          <w:tcPr>
            <w:tcW w:w="8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Income (Loss)</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rPr>
              <w:t>Deficit</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72"/>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47"/>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2024</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281,732</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$2,343,915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(1,347)</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(98,647)</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2,244,203</w:t>
            </w:r>
          </w:p>
        </w:tc>
        <w:tc>
          <w:tcPr>
            <w:tcW w:w="0" w:type="dxa"/>
            <w:vAlign w:val="bottom"/>
          </w:tcPr>
          <w:p>
            <w:pPr>
              <w:spacing w:after="0"/>
              <w:rPr>
                <w:sz w:val="1"/>
                <w:szCs w:val="1"/>
                <w:color w:val="auto"/>
              </w:rPr>
            </w:pPr>
          </w:p>
        </w:tc>
      </w:tr>
      <w:tr>
        <w:trPr>
          <w:trHeight w:val="247"/>
        </w:trPr>
        <w:tc>
          <w:tcPr>
            <w:tcW w:w="44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159,616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159,616</w:t>
            </w:r>
          </w:p>
        </w:tc>
        <w:tc>
          <w:tcPr>
            <w:tcW w:w="0" w:type="dxa"/>
            <w:vAlign w:val="bottom"/>
          </w:tcPr>
          <w:p>
            <w:pPr>
              <w:spacing w:after="0"/>
              <w:rPr>
                <w:sz w:val="1"/>
                <w:szCs w:val="1"/>
                <w:color w:val="auto"/>
              </w:rPr>
            </w:pPr>
          </w:p>
        </w:tc>
      </w:tr>
      <w:tr>
        <w:trPr>
          <w:trHeight w:val="23"/>
        </w:trPr>
        <w:tc>
          <w:tcPr>
            <w:tcW w:w="4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3,357</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3,357</w:t>
            </w:r>
          </w:p>
        </w:tc>
        <w:tc>
          <w:tcPr>
            <w:tcW w:w="0" w:type="dxa"/>
            <w:vAlign w:val="bottom"/>
          </w:tcPr>
          <w:p>
            <w:pPr>
              <w:spacing w:after="0"/>
              <w:rPr>
                <w:sz w:val="1"/>
                <w:szCs w:val="1"/>
                <w:color w:val="auto"/>
              </w:rPr>
            </w:pPr>
          </w:p>
        </w:tc>
      </w:tr>
      <w:tr>
        <w:trPr>
          <w:trHeight w:val="224"/>
        </w:trPr>
        <w:tc>
          <w:tcPr>
            <w:tcW w:w="4480" w:type="dxa"/>
            <w:vAlign w:val="bottom"/>
          </w:tcPr>
          <w:p>
            <w:pPr>
              <w:ind w:left="20"/>
              <w:spacing w:after="0"/>
              <w:rPr>
                <w:sz w:val="20"/>
                <w:szCs w:val="20"/>
                <w:color w:val="auto"/>
              </w:rPr>
            </w:pPr>
            <w:r>
              <w:rPr>
                <w:rFonts w:ascii="Arial" w:cs="Arial" w:eastAsia="Arial" w:hAnsi="Arial"/>
                <w:sz w:val="18"/>
                <w:szCs w:val="18"/>
                <w:color w:val="auto"/>
              </w:rPr>
              <w:t>Issuance of common stock under the equity incentive</w:t>
            </w: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480" w:type="dxa"/>
            <w:vAlign w:val="bottom"/>
          </w:tcPr>
          <w:p>
            <w:pPr>
              <w:ind w:left="20"/>
              <w:spacing w:after="0"/>
              <w:rPr>
                <w:sz w:val="20"/>
                <w:szCs w:val="20"/>
                <w:color w:val="auto"/>
              </w:rPr>
            </w:pPr>
            <w:r>
              <w:rPr>
                <w:rFonts w:ascii="Arial" w:cs="Arial" w:eastAsia="Arial" w:hAnsi="Arial"/>
                <w:sz w:val="18"/>
                <w:szCs w:val="18"/>
                <w:color w:val="auto"/>
              </w:rPr>
              <w:t>plan</w:t>
            </w:r>
          </w:p>
        </w:tc>
        <w:tc>
          <w:tcPr>
            <w:tcW w:w="960" w:type="dxa"/>
            <w:vAlign w:val="bottom"/>
          </w:tcPr>
          <w:p>
            <w:pPr>
              <w:jc w:val="right"/>
              <w:spacing w:after="0"/>
              <w:rPr>
                <w:sz w:val="20"/>
                <w:szCs w:val="20"/>
                <w:color w:val="auto"/>
              </w:rPr>
            </w:pPr>
            <w:r>
              <w:rPr>
                <w:rFonts w:ascii="Arial" w:cs="Arial" w:eastAsia="Arial" w:hAnsi="Arial"/>
                <w:sz w:val="18"/>
                <w:szCs w:val="18"/>
                <w:color w:val="auto"/>
              </w:rPr>
              <w:t>1,362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11,562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11,563</w:t>
            </w:r>
          </w:p>
        </w:tc>
        <w:tc>
          <w:tcPr>
            <w:tcW w:w="0" w:type="dxa"/>
            <w:vAlign w:val="bottom"/>
          </w:tcPr>
          <w:p>
            <w:pPr>
              <w:spacing w:after="0"/>
              <w:rPr>
                <w:sz w:val="1"/>
                <w:szCs w:val="1"/>
                <w:color w:val="auto"/>
              </w:rPr>
            </w:pPr>
          </w:p>
        </w:tc>
      </w:tr>
      <w:tr>
        <w:trPr>
          <w:trHeight w:val="23"/>
        </w:trPr>
        <w:tc>
          <w:tcPr>
            <w:tcW w:w="4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transactions associated with taxes withheld on</w:t>
            </w: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awards</w:t>
            </w: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(22,506)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(22,506)</w:t>
            </w:r>
          </w:p>
        </w:tc>
        <w:tc>
          <w:tcPr>
            <w:tcW w:w="0" w:type="dxa"/>
            <w:vAlign w:val="bottom"/>
          </w:tcPr>
          <w:p>
            <w:pPr>
              <w:spacing w:after="0"/>
              <w:rPr>
                <w:sz w:val="1"/>
                <w:szCs w:val="1"/>
                <w:color w:val="auto"/>
              </w:rPr>
            </w:pPr>
          </w:p>
        </w:tc>
      </w:tr>
      <w:tr>
        <w:trPr>
          <w:trHeight w:val="247"/>
        </w:trPr>
        <w:tc>
          <w:tcPr>
            <w:tcW w:w="4480" w:type="dxa"/>
            <w:vAlign w:val="bottom"/>
          </w:tcPr>
          <w:p>
            <w:pPr>
              <w:ind w:left="20"/>
              <w:spacing w:after="0"/>
              <w:rPr>
                <w:sz w:val="20"/>
                <w:szCs w:val="20"/>
                <w:color w:val="auto"/>
              </w:rPr>
            </w:pPr>
            <w:r>
              <w:rPr>
                <w:rFonts w:ascii="Arial" w:cs="Arial" w:eastAsia="Arial" w:hAnsi="Arial"/>
                <w:sz w:val="18"/>
                <w:szCs w:val="18"/>
                <w:color w:val="auto"/>
              </w:rPr>
              <w:t>Repurchases of common stock</w:t>
            </w:r>
          </w:p>
        </w:tc>
        <w:tc>
          <w:tcPr>
            <w:tcW w:w="960" w:type="dxa"/>
            <w:vAlign w:val="bottom"/>
          </w:tcPr>
          <w:p>
            <w:pPr>
              <w:jc w:val="right"/>
              <w:spacing w:after="0"/>
              <w:rPr>
                <w:sz w:val="20"/>
                <w:szCs w:val="20"/>
                <w:color w:val="auto"/>
              </w:rPr>
            </w:pPr>
            <w:r>
              <w:rPr>
                <w:rFonts w:ascii="Arial" w:cs="Arial" w:eastAsia="Arial" w:hAnsi="Arial"/>
                <w:sz w:val="18"/>
                <w:szCs w:val="18"/>
                <w:color w:val="auto"/>
              </w:rPr>
              <w:t>(8,061)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(67,055)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(224,263)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(291,326)</w:t>
            </w:r>
          </w:p>
        </w:tc>
        <w:tc>
          <w:tcPr>
            <w:tcW w:w="0" w:type="dxa"/>
            <w:vAlign w:val="bottom"/>
          </w:tcPr>
          <w:p>
            <w:pPr>
              <w:spacing w:after="0"/>
              <w:rPr>
                <w:sz w:val="1"/>
                <w:szCs w:val="1"/>
                <w:color w:val="auto"/>
              </w:rPr>
            </w:pPr>
          </w:p>
        </w:tc>
      </w:tr>
      <w:tr>
        <w:trPr>
          <w:trHeight w:val="23"/>
        </w:trPr>
        <w:tc>
          <w:tcPr>
            <w:tcW w:w="4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26,117</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26,117</w:t>
            </w:r>
          </w:p>
        </w:tc>
        <w:tc>
          <w:tcPr>
            <w:tcW w:w="0" w:type="dxa"/>
            <w:vAlign w:val="bottom"/>
          </w:tcPr>
          <w:p>
            <w:pPr>
              <w:spacing w:after="0"/>
              <w:rPr>
                <w:sz w:val="1"/>
                <w:szCs w:val="1"/>
                <w:color w:val="auto"/>
              </w:rPr>
            </w:pPr>
          </w:p>
        </w:tc>
      </w:tr>
      <w:tr>
        <w:trPr>
          <w:trHeight w:val="240"/>
        </w:trPr>
        <w:tc>
          <w:tcPr>
            <w:tcW w:w="4480" w:type="dxa"/>
            <w:vAlign w:val="bottom"/>
          </w:tcPr>
          <w:p>
            <w:pPr>
              <w:ind w:left="20"/>
              <w:spacing w:after="0"/>
              <w:rPr>
                <w:sz w:val="20"/>
                <w:szCs w:val="20"/>
                <w:color w:val="auto"/>
              </w:rPr>
            </w:pPr>
            <w:r>
              <w:rPr>
                <w:rFonts w:ascii="Arial" w:cs="Arial" w:eastAsia="Arial" w:hAnsi="Arial"/>
                <w:sz w:val="18"/>
                <w:szCs w:val="18"/>
                <w:color w:val="auto"/>
              </w:rPr>
              <w:t>Balance at March 31, 2025</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275,033</w:t>
            </w:r>
          </w:p>
        </w:tc>
        <w:tc>
          <w:tcPr>
            <w:tcW w:w="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$2,292,033</w:t>
            </w:r>
          </w:p>
        </w:tc>
        <w:tc>
          <w:tcPr>
            <w:tcW w:w="80" w:type="dxa"/>
            <w:vAlign w:val="bottom"/>
          </w:tcPr>
          <w:p>
            <w:pPr>
              <w:spacing w:after="0"/>
              <w:rPr>
                <w:sz w:val="20"/>
                <w:szCs w:val="20"/>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2,010</w:t>
            </w:r>
          </w:p>
        </w:tc>
        <w:tc>
          <w:tcPr>
            <w:tcW w:w="80" w:type="dxa"/>
            <w:vAlign w:val="bottom"/>
          </w:tcPr>
          <w:p>
            <w:pPr>
              <w:spacing w:after="0"/>
              <w:rPr>
                <w:sz w:val="20"/>
                <w:szCs w:val="20"/>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(163,294)</w:t>
            </w:r>
          </w:p>
        </w:tc>
        <w:tc>
          <w:tcPr>
            <w:tcW w:w="80" w:type="dxa"/>
            <w:vAlign w:val="bottom"/>
          </w:tcPr>
          <w:p>
            <w:pPr>
              <w:spacing w:after="0"/>
              <w:rPr>
                <w:sz w:val="20"/>
                <w:szCs w:val="20"/>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2,131,024</w:t>
            </w:r>
          </w:p>
        </w:tc>
        <w:tc>
          <w:tcPr>
            <w:tcW w:w="0" w:type="dxa"/>
            <w:vAlign w:val="bottom"/>
          </w:tcPr>
          <w:p>
            <w:pPr>
              <w:spacing w:after="0"/>
              <w:rPr>
                <w:sz w:val="1"/>
                <w:szCs w:val="1"/>
                <w:color w:val="auto"/>
              </w:rPr>
            </w:pPr>
          </w:p>
        </w:tc>
      </w:tr>
      <w:tr>
        <w:trPr>
          <w:trHeight w:val="23"/>
        </w:trPr>
        <w:tc>
          <w:tcPr>
            <w:tcW w:w="44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5" w:name="page6"/>
    <w:bookmarkEnd w:id="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EXELIXIS,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5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32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6"/>
                <w:szCs w:val="16"/>
                <w:b w:val="1"/>
                <w:bCs w:val="1"/>
                <w:color w:val="auto"/>
              </w:rPr>
              <w:t>Three Months Ended March 31,</w:t>
            </w:r>
          </w:p>
        </w:tc>
      </w:tr>
      <w:tr>
        <w:trPr>
          <w:trHeight w:val="237"/>
        </w:trPr>
        <w:tc>
          <w:tcPr>
            <w:tcW w:w="75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31"/>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30"/>
              <w:spacing w:after="0"/>
              <w:rPr>
                <w:sz w:val="20"/>
                <w:szCs w:val="20"/>
                <w:color w:val="auto"/>
              </w:rPr>
            </w:pPr>
            <w:r>
              <w:rPr>
                <w:rFonts w:ascii="Arial" w:cs="Arial" w:eastAsia="Arial" w:hAnsi="Arial"/>
                <w:sz w:val="16"/>
                <w:szCs w:val="16"/>
                <w:b w:val="1"/>
                <w:bCs w:val="1"/>
                <w:color w:val="auto"/>
              </w:rPr>
              <w:t>2025</w:t>
            </w:r>
          </w:p>
        </w:tc>
      </w:tr>
      <w:tr>
        <w:trPr>
          <w:trHeight w:val="247"/>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210,467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159,616</w:t>
            </w:r>
          </w:p>
        </w:tc>
      </w:tr>
      <w:tr>
        <w:trPr>
          <w:trHeight w:val="247"/>
        </w:trPr>
        <w:tc>
          <w:tcPr>
            <w:tcW w:w="7520" w:type="dxa"/>
            <w:vAlign w:val="bottom"/>
          </w:tcPr>
          <w:p>
            <w:pPr>
              <w:ind w:left="2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4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3"/>
        </w:trPr>
        <w:tc>
          <w:tcPr>
            <w:tcW w:w="7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Depreciation and amortization</w:t>
            </w: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7,345</w:t>
            </w:r>
          </w:p>
        </w:tc>
      </w:tr>
      <w:tr>
        <w:trPr>
          <w:trHeight w:val="247"/>
        </w:trPr>
        <w:tc>
          <w:tcPr>
            <w:tcW w:w="7520" w:type="dxa"/>
            <w:vAlign w:val="bottom"/>
          </w:tcPr>
          <w:p>
            <w:pPr>
              <w:ind w:left="480"/>
              <w:spacing w:after="0"/>
              <w:rPr>
                <w:sz w:val="20"/>
                <w:szCs w:val="20"/>
                <w:color w:val="auto"/>
              </w:rPr>
            </w:pPr>
            <w:r>
              <w:rPr>
                <w:rFonts w:ascii="Arial" w:cs="Arial" w:eastAsia="Arial" w:hAnsi="Arial"/>
                <w:sz w:val="18"/>
                <w:szCs w:val="18"/>
                <w:color w:val="auto"/>
              </w:rPr>
              <w:t>Stock-based compensation</w:t>
            </w:r>
          </w:p>
        </w:tc>
        <w:tc>
          <w:tcPr>
            <w:tcW w:w="4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29,050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25,930</w:t>
            </w:r>
          </w:p>
        </w:tc>
      </w:tr>
      <w:tr>
        <w:trPr>
          <w:trHeight w:val="23"/>
        </w:trPr>
        <w:tc>
          <w:tcPr>
            <w:tcW w:w="7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Non-cash lease expense</w:t>
            </w: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5,994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6,096</w:t>
            </w:r>
          </w:p>
        </w:tc>
      </w:tr>
      <w:tr>
        <w:trPr>
          <w:trHeight w:val="247"/>
        </w:trPr>
        <w:tc>
          <w:tcPr>
            <w:tcW w:w="7520" w:type="dxa"/>
            <w:vAlign w:val="bottom"/>
          </w:tcPr>
          <w:p>
            <w:pPr>
              <w:ind w:left="480"/>
              <w:spacing w:after="0"/>
              <w:rPr>
                <w:sz w:val="20"/>
                <w:szCs w:val="20"/>
                <w:color w:val="auto"/>
              </w:rPr>
            </w:pPr>
            <w:r>
              <w:rPr>
                <w:rFonts w:ascii="Arial" w:cs="Arial" w:eastAsia="Arial" w:hAnsi="Arial"/>
                <w:sz w:val="18"/>
                <w:szCs w:val="18"/>
                <w:color w:val="auto"/>
              </w:rPr>
              <w:t>Acquired in-process research and development technology</w:t>
            </w:r>
          </w:p>
        </w:tc>
        <w:tc>
          <w:tcPr>
            <w:tcW w:w="4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
        </w:trPr>
        <w:tc>
          <w:tcPr>
            <w:tcW w:w="7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Other, net</w:t>
            </w: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(4,786)</w:t>
            </w:r>
          </w:p>
        </w:tc>
      </w:tr>
      <w:tr>
        <w:trPr>
          <w:trHeight w:val="247"/>
        </w:trPr>
        <w:tc>
          <w:tcPr>
            <w:tcW w:w="7520" w:type="dxa"/>
            <w:vAlign w:val="bottom"/>
          </w:tcPr>
          <w:p>
            <w:pPr>
              <w:ind w:left="220"/>
              <w:spacing w:after="0"/>
              <w:rPr>
                <w:sz w:val="20"/>
                <w:szCs w:val="20"/>
                <w:color w:val="auto"/>
              </w:rPr>
            </w:pPr>
            <w:r>
              <w:rPr>
                <w:rFonts w:ascii="Arial" w:cs="Arial" w:eastAsia="Arial" w:hAnsi="Arial"/>
                <w:sz w:val="18"/>
                <w:szCs w:val="18"/>
                <w:color w:val="auto"/>
              </w:rPr>
              <w:t>Changes in operating assets and liabilities:</w:t>
            </w:r>
          </w:p>
        </w:tc>
        <w:tc>
          <w:tcPr>
            <w:tcW w:w="4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3"/>
        </w:trPr>
        <w:tc>
          <w:tcPr>
            <w:tcW w:w="7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Trade receivables, net</w:t>
            </w: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(42,031)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(16,119)</w:t>
            </w:r>
          </w:p>
        </w:tc>
      </w:tr>
      <w:tr>
        <w:trPr>
          <w:trHeight w:val="247"/>
        </w:trPr>
        <w:tc>
          <w:tcPr>
            <w:tcW w:w="7520" w:type="dxa"/>
            <w:vAlign w:val="bottom"/>
          </w:tcPr>
          <w:p>
            <w:pPr>
              <w:ind w:left="480"/>
              <w:spacing w:after="0"/>
              <w:rPr>
                <w:sz w:val="20"/>
                <w:szCs w:val="20"/>
                <w:color w:val="auto"/>
              </w:rPr>
            </w:pPr>
            <w:r>
              <w:rPr>
                <w:rFonts w:ascii="Arial" w:cs="Arial" w:eastAsia="Arial" w:hAnsi="Arial"/>
                <w:sz w:val="18"/>
                <w:szCs w:val="18"/>
                <w:color w:val="auto"/>
              </w:rPr>
              <w:t>Inventory</w:t>
            </w:r>
          </w:p>
        </w:tc>
        <w:tc>
          <w:tcPr>
            <w:tcW w:w="4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(3,389)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3"/>
        </w:trPr>
        <w:tc>
          <w:tcPr>
            <w:tcW w:w="7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Prepaid expenses and other assets</w:t>
            </w: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58,653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20,320</w:t>
            </w:r>
          </w:p>
        </w:tc>
      </w:tr>
      <w:tr>
        <w:trPr>
          <w:trHeight w:val="247"/>
        </w:trPr>
        <w:tc>
          <w:tcPr>
            <w:tcW w:w="7520" w:type="dxa"/>
            <w:vAlign w:val="bottom"/>
          </w:tcPr>
          <w:p>
            <w:pPr>
              <w:ind w:left="480"/>
              <w:spacing w:after="0"/>
              <w:rPr>
                <w:sz w:val="20"/>
                <w:szCs w:val="20"/>
                <w:color w:val="auto"/>
              </w:rPr>
            </w:pPr>
            <w:r>
              <w:rPr>
                <w:rFonts w:ascii="Arial" w:cs="Arial" w:eastAsia="Arial" w:hAnsi="Arial"/>
                <w:sz w:val="18"/>
                <w:szCs w:val="18"/>
                <w:color w:val="auto"/>
              </w:rPr>
              <w:t>Accrued collaboration liabilities</w:t>
            </w:r>
          </w:p>
        </w:tc>
        <w:tc>
          <w:tcPr>
            <w:tcW w:w="4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4,044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4,605</w:t>
            </w:r>
          </w:p>
        </w:tc>
      </w:tr>
      <w:tr>
        <w:trPr>
          <w:trHeight w:val="23"/>
        </w:trPr>
        <w:tc>
          <w:tcPr>
            <w:tcW w:w="7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5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Accounts payable and other liabilities</w:t>
            </w:r>
          </w:p>
        </w:tc>
        <w:tc>
          <w:tcPr>
            <w:tcW w:w="4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(17,897)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8,501</w:t>
            </w:r>
          </w:p>
        </w:tc>
      </w:tr>
      <w:tr>
        <w:trPr>
          <w:trHeight w:val="241"/>
        </w:trPr>
        <w:tc>
          <w:tcPr>
            <w:tcW w:w="7520" w:type="dxa"/>
            <w:vAlign w:val="bottom"/>
          </w:tcPr>
          <w:p>
            <w:pPr>
              <w:ind w:left="68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251,845</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211,437</w:t>
            </w:r>
          </w:p>
        </w:tc>
      </w:tr>
      <w:tr>
        <w:trPr>
          <w:trHeight w:val="23"/>
        </w:trPr>
        <w:tc>
          <w:tcPr>
            <w:tcW w:w="75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0"/>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4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r>
      <w:tr>
        <w:trPr>
          <w:trHeight w:val="247"/>
        </w:trPr>
        <w:tc>
          <w:tcPr>
            <w:tcW w:w="7520" w:type="dxa"/>
            <w:vAlign w:val="bottom"/>
          </w:tcPr>
          <w:p>
            <w:pPr>
              <w:ind w:left="220"/>
              <w:spacing w:after="0"/>
              <w:rPr>
                <w:sz w:val="20"/>
                <w:szCs w:val="20"/>
                <w:color w:val="auto"/>
              </w:rPr>
            </w:pPr>
            <w:r>
              <w:rPr>
                <w:rFonts w:ascii="Arial" w:cs="Arial" w:eastAsia="Arial" w:hAnsi="Arial"/>
                <w:sz w:val="18"/>
                <w:szCs w:val="18"/>
                <w:color w:val="auto"/>
              </w:rPr>
              <w:t>Purchases of marketable securities</w:t>
            </w:r>
          </w:p>
        </w:tc>
        <w:tc>
          <w:tcPr>
            <w:tcW w:w="4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(274,161)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(186,701)</w:t>
            </w:r>
          </w:p>
        </w:tc>
      </w:tr>
      <w:tr>
        <w:trPr>
          <w:trHeight w:val="23"/>
        </w:trPr>
        <w:tc>
          <w:tcPr>
            <w:tcW w:w="7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Proceeds from maturities and sales of marketable securities</w:t>
            </w: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225,125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258,917</w:t>
            </w:r>
          </w:p>
        </w:tc>
      </w:tr>
      <w:tr>
        <w:trPr>
          <w:trHeight w:val="247"/>
        </w:trPr>
        <w:tc>
          <w:tcPr>
            <w:tcW w:w="7520" w:type="dxa"/>
            <w:vAlign w:val="bottom"/>
          </w:tcPr>
          <w:p>
            <w:pPr>
              <w:ind w:left="220"/>
              <w:spacing w:after="0"/>
              <w:rPr>
                <w:sz w:val="20"/>
                <w:szCs w:val="20"/>
                <w:color w:val="auto"/>
              </w:rPr>
            </w:pPr>
            <w:r>
              <w:rPr>
                <w:rFonts w:ascii="Arial" w:cs="Arial" w:eastAsia="Arial" w:hAnsi="Arial"/>
                <w:sz w:val="18"/>
                <w:szCs w:val="18"/>
                <w:color w:val="auto"/>
              </w:rPr>
              <w:t>Purchases of property, equipment and other, net</w:t>
            </w:r>
          </w:p>
        </w:tc>
        <w:tc>
          <w:tcPr>
            <w:tcW w:w="4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(1,509)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(2,952)</w:t>
            </w:r>
          </w:p>
        </w:tc>
      </w:tr>
      <w:tr>
        <w:trPr>
          <w:trHeight w:val="23"/>
        </w:trPr>
        <w:tc>
          <w:tcPr>
            <w:tcW w:w="7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Acquired in-process research and development technology</w:t>
            </w:r>
          </w:p>
        </w:tc>
        <w:tc>
          <w:tcPr>
            <w:tcW w:w="4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(19,500)</w:t>
            </w:r>
          </w:p>
        </w:tc>
      </w:tr>
      <w:tr>
        <w:trPr>
          <w:trHeight w:val="240"/>
        </w:trPr>
        <w:tc>
          <w:tcPr>
            <w:tcW w:w="7520" w:type="dxa"/>
            <w:vAlign w:val="bottom"/>
          </w:tcPr>
          <w:p>
            <w:pPr>
              <w:ind w:left="680"/>
              <w:spacing w:after="0"/>
              <w:rPr>
                <w:sz w:val="20"/>
                <w:szCs w:val="20"/>
                <w:color w:val="auto"/>
              </w:rPr>
            </w:pPr>
            <w:r>
              <w:rPr>
                <w:rFonts w:ascii="Arial" w:cs="Arial" w:eastAsia="Arial" w:hAnsi="Arial"/>
                <w:sz w:val="18"/>
                <w:szCs w:val="18"/>
                <w:color w:val="auto"/>
              </w:rPr>
              <w:t>Net cash provided by (used in) investing activities</w:t>
            </w:r>
          </w:p>
        </w:tc>
        <w:tc>
          <w:tcPr>
            <w:tcW w:w="4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(51,070)</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49,764</w:t>
            </w:r>
          </w:p>
        </w:tc>
      </w:tr>
      <w:tr>
        <w:trPr>
          <w:trHeight w:val="23"/>
        </w:trPr>
        <w:tc>
          <w:tcPr>
            <w:tcW w:w="75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0"/>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4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r>
      <w:tr>
        <w:trPr>
          <w:trHeight w:val="247"/>
        </w:trPr>
        <w:tc>
          <w:tcPr>
            <w:tcW w:w="7520" w:type="dxa"/>
            <w:vAlign w:val="bottom"/>
          </w:tcPr>
          <w:p>
            <w:pPr>
              <w:ind w:left="220"/>
              <w:spacing w:after="0"/>
              <w:rPr>
                <w:sz w:val="20"/>
                <w:szCs w:val="20"/>
                <w:color w:val="auto"/>
              </w:rPr>
            </w:pPr>
            <w:r>
              <w:rPr>
                <w:rFonts w:ascii="Arial" w:cs="Arial" w:eastAsia="Arial" w:hAnsi="Arial"/>
                <w:sz w:val="18"/>
                <w:szCs w:val="18"/>
                <w:color w:val="auto"/>
              </w:rPr>
              <w:t>Payments for repurchases of common stock</w:t>
            </w:r>
          </w:p>
        </w:tc>
        <w:tc>
          <w:tcPr>
            <w:tcW w:w="4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(430,352)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(283,934)</w:t>
            </w:r>
          </w:p>
        </w:tc>
      </w:tr>
      <w:tr>
        <w:trPr>
          <w:trHeight w:val="23"/>
        </w:trPr>
        <w:tc>
          <w:tcPr>
            <w:tcW w:w="7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Proceeds from issuance of common stock under the equity incentive plan</w:t>
            </w: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7,472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11,627</w:t>
            </w:r>
          </w:p>
        </w:tc>
      </w:tr>
      <w:tr>
        <w:trPr>
          <w:trHeight w:val="247"/>
        </w:trPr>
        <w:tc>
          <w:tcPr>
            <w:tcW w:w="7520" w:type="dxa"/>
            <w:vAlign w:val="bottom"/>
          </w:tcPr>
          <w:p>
            <w:pPr>
              <w:ind w:left="220"/>
              <w:spacing w:after="0"/>
              <w:rPr>
                <w:sz w:val="20"/>
                <w:szCs w:val="20"/>
                <w:color w:val="auto"/>
              </w:rPr>
            </w:pPr>
            <w:r>
              <w:rPr>
                <w:rFonts w:ascii="Arial" w:cs="Arial" w:eastAsia="Arial" w:hAnsi="Arial"/>
                <w:sz w:val="18"/>
                <w:szCs w:val="18"/>
                <w:color w:val="auto"/>
              </w:rPr>
              <w:t>Taxes paid related to net share settlement of equity awards</w:t>
            </w:r>
          </w:p>
        </w:tc>
        <w:tc>
          <w:tcPr>
            <w:tcW w:w="4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(34,231)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(22,516)</w:t>
            </w:r>
          </w:p>
        </w:tc>
      </w:tr>
      <w:tr>
        <w:trPr>
          <w:trHeight w:val="23"/>
        </w:trPr>
        <w:tc>
          <w:tcPr>
            <w:tcW w:w="75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75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Net cash used in financing activities</w:t>
            </w:r>
          </w:p>
        </w:tc>
        <w:tc>
          <w:tcPr>
            <w:tcW w:w="4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(457,111)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(294,823)</w:t>
            </w:r>
          </w:p>
        </w:tc>
      </w:tr>
      <w:tr>
        <w:trPr>
          <w:trHeight w:val="240"/>
        </w:trPr>
        <w:tc>
          <w:tcPr>
            <w:tcW w:w="7520" w:type="dxa"/>
            <w:vAlign w:val="bottom"/>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4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(256,336)</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(33,622)</w:t>
            </w:r>
          </w:p>
        </w:tc>
      </w:tr>
      <w:tr>
        <w:trPr>
          <w:trHeight w:val="23"/>
        </w:trPr>
        <w:tc>
          <w:tcPr>
            <w:tcW w:w="7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4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482,488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217,374</w:t>
            </w:r>
          </w:p>
        </w:tc>
      </w:tr>
      <w:tr>
        <w:trPr>
          <w:trHeight w:val="240"/>
        </w:trPr>
        <w:tc>
          <w:tcPr>
            <w:tcW w:w="752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226,152</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183,752</w:t>
            </w:r>
          </w:p>
        </w:tc>
      </w:tr>
      <w:tr>
        <w:trPr>
          <w:trHeight w:val="23"/>
        </w:trPr>
        <w:tc>
          <w:tcPr>
            <w:tcW w:w="75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75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6" w:name="page7"/>
    <w:bookmarkEnd w:id="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EXELIXIS,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146" w:lineRule="exact"/>
        <w:rPr>
          <w:sz w:val="20"/>
          <w:szCs w:val="20"/>
          <w:color w:val="auto"/>
        </w:rPr>
      </w:pPr>
    </w:p>
    <w:p>
      <w:pPr>
        <w:ind w:right="4040"/>
        <w:spacing w:after="0" w:line="438" w:lineRule="auto"/>
        <w:rPr>
          <w:sz w:val="20"/>
          <w:szCs w:val="20"/>
          <w:color w:val="auto"/>
        </w:rPr>
      </w:pPr>
      <w:r>
        <w:rPr>
          <w:rFonts w:ascii="Arial" w:cs="Arial" w:eastAsia="Arial" w:hAnsi="Arial"/>
          <w:sz w:val="18"/>
          <w:szCs w:val="18"/>
          <w:b w:val="1"/>
          <w:bCs w:val="1"/>
          <w:color w:val="auto"/>
        </w:rPr>
        <w:t>NOTE 1. ORGANIZATION AND SUMMARY OF SIGNIFICANT ACCOUNTING POLICIES Organization</w:t>
      </w:r>
    </w:p>
    <w:p>
      <w:pPr>
        <w:spacing w:after="0" w:line="1"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color w:val="auto"/>
        </w:rPr>
        <w:t>Exelixis, Inc. (Exelixis, we, our or us) is an oncology company innovating next-generation medicines and regimens at the forefront of cancer care. We have produced four marketed pharmaceutical products, two of which are formulations of our flagship molecule, cabozantinib, and we are steadily advancing and evolving our product pipeline portfolio, including our lead clinical asset, zanzalintinib, currently under review by the U.S. Food and Drug Administration (FDA) for the treatment of certain forms of colorectal cancer, as well as the focus of an extensive late-stage clinical development program in other indications. With a rational and disciplined approach to investment, we are leveraging our internal experience and expertise, and the strength of strategic partnerships, to identify and pursue opportunities across the landscape of scientific modalities, including small molecules and biotherapeutics, such as antibody-drug conjugates.</w:t>
      </w:r>
    </w:p>
    <w:p>
      <w:pPr>
        <w:spacing w:after="0" w:line="129" w:lineRule="exact"/>
        <w:rPr>
          <w:sz w:val="20"/>
          <w:szCs w:val="20"/>
          <w:color w:val="auto"/>
        </w:rPr>
      </w:pPr>
    </w:p>
    <w:p>
      <w:pPr>
        <w:ind w:right="320" w:firstLine="648"/>
        <w:spacing w:after="0" w:line="255" w:lineRule="auto"/>
        <w:rPr>
          <w:sz w:val="20"/>
          <w:szCs w:val="20"/>
          <w:color w:val="auto"/>
        </w:rPr>
      </w:pPr>
      <w:r>
        <w:rPr>
          <w:rFonts w:ascii="Arial" w:cs="Arial" w:eastAsia="Arial" w:hAnsi="Arial"/>
          <w:sz w:val="18"/>
          <w:szCs w:val="18"/>
          <w:color w:val="auto"/>
        </w:rPr>
        <w:t>Sales related to cabozantinib account for the majority of our revenues. Cabozantinib is an inhibitor of multiple tyrosine kinases, including MET, AXL, VEGF receptors and RET and has been approved by the FDA, and in other countries for all or a combination of, the following: as CABOMETYX® (cabozantinib) tablets for advanced renal cell carcinoma (RCC) (both alone and in combination with Bristol-Myers Squibb Company’s nivolumab (OPDIVO®)), previously treated hepatocellular carcinoma, previously treated, radioactive iodine-refractory differentiated thyroid cancer, and previously treated, unresectable, locally advanced or metastatic, well-differentiated pancreatic neuroendocrine tumors and extra-pancreatic neuroendocrine tumors; and as COMETRIQ® (cabozantinib) capsules for progressive, metastatic medullary thyroid cancer. For physicians treating these types of cancer, cabozantinib has become or is becoming an important medicine in their selection of effective therapies.</w:t>
      </w:r>
    </w:p>
    <w:p>
      <w:pPr>
        <w:spacing w:after="0" w:line="131" w:lineRule="exact"/>
        <w:rPr>
          <w:sz w:val="20"/>
          <w:szCs w:val="20"/>
          <w:color w:val="auto"/>
        </w:rPr>
      </w:pPr>
    </w:p>
    <w:p>
      <w:pPr>
        <w:ind w:right="160" w:firstLine="648"/>
        <w:spacing w:after="0" w:line="262" w:lineRule="auto"/>
        <w:rPr>
          <w:sz w:val="20"/>
          <w:szCs w:val="20"/>
          <w:color w:val="auto"/>
        </w:rPr>
      </w:pPr>
      <w:r>
        <w:rPr>
          <w:rFonts w:ascii="Arial" w:cs="Arial" w:eastAsia="Arial" w:hAnsi="Arial"/>
          <w:sz w:val="18"/>
          <w:szCs w:val="18"/>
          <w:color w:val="auto"/>
        </w:rPr>
        <w:t>The other two products resulting from our discovery efforts are: COTELLIC® (cobimetinib), an inhibitor of MEK, approved as part of multiple combination regimens to treat specific forms of advanced melanoma and marketed under a collaboration with Genentech, Inc. (a member of the Roche Group) (Genentech); and MINNEBRO® (esaxerenone), an oral, non-steroidal, selective blocker of the mineralocorticoid receptor, approved for the treatment of hypertension in Japan and licensed to Daiichi Sankyo Company, Limited.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71" w:lineRule="exact"/>
        <w:rPr>
          <w:sz w:val="20"/>
          <w:szCs w:val="20"/>
          <w:color w:val="auto"/>
        </w:rPr>
      </w:pPr>
    </w:p>
    <w:p>
      <w:pPr>
        <w:jc w:val="both"/>
        <w:ind w:right="520" w:firstLine="648"/>
        <w:spacing w:after="0" w:line="268" w:lineRule="auto"/>
        <w:rPr>
          <w:sz w:val="20"/>
          <w:szCs w:val="20"/>
          <w:color w:val="auto"/>
        </w:rPr>
      </w:pPr>
      <w:r>
        <w:rPr>
          <w:rFonts w:ascii="Arial" w:cs="Arial" w:eastAsia="Arial" w:hAnsi="Arial"/>
          <w:sz w:val="18"/>
          <w:szCs w:val="18"/>
          <w:color w:val="auto"/>
        </w:rPr>
        <w:t>The accompanying unaudited Condensed Consolidated Financial Statements include the accounts of Exelixis and those of our wholly owned subsidiaries. These entities’ functional currency is the U.S. dollar. All intercompany balances and transactions have been eliminated.</w:t>
      </w:r>
    </w:p>
    <w:p>
      <w:pPr>
        <w:spacing w:after="0" w:line="11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have adopted a 52- or 53-week fiscal year policy that generally ends on the Friday closest to December 31. Fiscal year 2026, which is a 52-week fiscal year, will end on January 1, 2027 and fiscal year 2025, which was a 52-week fiscal year, ended on January 2, 2026. For convenience, references in this report as of and for the fiscal periods ended April 3, 2026 and April 4, 2025, and as of and for the fiscal years ending January 1, 2027 and ended January 2, 2026, are indicated as being as of and for the periods ended March 31, 2026 and March 31, 2025, and the years ending December 31, 2026 and ended December 31, 2025, respectively.</w:t>
      </w:r>
    </w:p>
    <w:p>
      <w:pPr>
        <w:spacing w:after="0" w:line="1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accompanying Condensed Consolidated Financial Statements have been prepared in accordance with accounting principles generally accepted in the U.S. for interim financial information and pursuant to Form 10-Q and Article 10 of Regulation S-X of the Securities and Exchange Commission (SEC). Accordingly, they do not include all of the information and footnotes required by U.S. generally accepted accounting principles for complete financial statements. In our opinion, all adjustments (consisting only of normal recurring adjustments) considered necessary for a fair presentation of our financial statements for the periods presented have been included. Operating results for the three months ended March 31, 2026 are not necessarily indicative of the results that may be expected for the year ending December 31, 2026 or for any future period. The accompanying Condensed Consolidated Financial Statements and Notes thereto should be read in conjunction with our Consolidated Financial Statements and Notes thereto for the fiscal year ended December 31, 2025, included in Part II, Item 8 of our Annual Report on Form 10-K, filed with the SEC on February 10, 2026 (Fiscal 2025 Form 10-K).</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7" w:name="page8"/>
    <w:bookmarkEnd w:id="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71"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color w:val="auto"/>
        </w:rPr>
        <w:t>The preparation of the accompanying Condensed Consolidated Financial Statements conforms to accounting principles generally accepted in the U.S., which requires management to make judgments, estimates and assumptions that affect the reported amounts of assets, liabilities, equity, revenues and expenses and related disclosures. On an ongoing basis, we evaluate our significant estimates. We base our estimates on historical experience and on various other market-specific and other relevant assumptions that we believe to be reasonable under the circumstances, the results of which form the basis for making judgments about the carrying values of assets and liabilities that are not readily apparent from other sources. Actual results could differ materially from those estimates.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171" w:lineRule="exact"/>
        <w:rPr>
          <w:sz w:val="20"/>
          <w:szCs w:val="20"/>
          <w:color w:val="auto"/>
        </w:rPr>
      </w:pPr>
    </w:p>
    <w:p>
      <w:pPr>
        <w:ind w:right="320" w:firstLine="648"/>
        <w:spacing w:after="0" w:line="268" w:lineRule="auto"/>
        <w:rPr>
          <w:sz w:val="20"/>
          <w:szCs w:val="20"/>
          <w:color w:val="auto"/>
        </w:rPr>
      </w:pPr>
      <w:r>
        <w:rPr>
          <w:rFonts w:ascii="Arial" w:cs="Arial" w:eastAsia="Arial" w:hAnsi="Arial"/>
          <w:sz w:val="18"/>
          <w:szCs w:val="18"/>
          <w:color w:val="auto"/>
        </w:rPr>
        <w:t>There have been no material changes to our significant accounting policies during the three months ended March 31, 2026, as compared to the significant accounting policies disclosed in “Note 1. Organization and Summary of Significant Accounting Policies” of the “Notes to Consolidated Financial Statements” included in Part II, Item 8 of our Fiscal 2025 Form 10-K.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71" w:lineRule="exact"/>
        <w:rPr>
          <w:sz w:val="20"/>
          <w:szCs w:val="20"/>
          <w:color w:val="auto"/>
        </w:rPr>
      </w:pPr>
    </w:p>
    <w:p>
      <w:pPr>
        <w:ind w:right="360" w:firstLine="648"/>
        <w:spacing w:after="0" w:line="287" w:lineRule="auto"/>
        <w:rPr>
          <w:sz w:val="20"/>
          <w:szCs w:val="20"/>
          <w:color w:val="auto"/>
        </w:rPr>
      </w:pPr>
      <w:r>
        <w:rPr>
          <w:rFonts w:ascii="Arial" w:cs="Arial" w:eastAsia="Arial" w:hAnsi="Arial"/>
          <w:sz w:val="18"/>
          <w:szCs w:val="18"/>
          <w:color w:val="auto"/>
        </w:rPr>
        <w:t>There were no new accounting pronouncements adopted by us since our filing of the Fiscal 2025 Form 10-K, which could have a significant effect on our Condensed 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Not Yet Adopted</w:t>
      </w:r>
    </w:p>
    <w:p>
      <w:pPr>
        <w:spacing w:after="0" w:line="17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In November 2024, the Financial Accounting Standards Board (FASB) issued Accounting Standards Update (ASU) 2024-03, </w:t>
      </w:r>
      <w:r>
        <w:rPr>
          <w:rFonts w:ascii="Arial" w:cs="Arial" w:eastAsia="Arial" w:hAnsi="Arial"/>
          <w:sz w:val="18"/>
          <w:szCs w:val="18"/>
          <w:i w:val="1"/>
          <w:iCs w:val="1"/>
          <w:color w:val="auto"/>
        </w:rPr>
        <w:t>Income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 – Reporting Comprehensive Income – Expense Disaggregation Disclosures (Subtopic 220-40): Disaggregation of Income Statement Expenses </w:t>
      </w:r>
      <w:r>
        <w:rPr>
          <w:rFonts w:ascii="Arial" w:cs="Arial" w:eastAsia="Arial" w:hAnsi="Arial"/>
          <w:sz w:val="18"/>
          <w:szCs w:val="18"/>
          <w:color w:val="auto"/>
        </w:rPr>
        <w:t>(ASU 2024-03), which enhances the disclosures required for expense disaggregation in our annual and interim</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consolidated financial statements. In January 2025, the FASB issued ASU 2025-01, </w:t>
      </w:r>
      <w:r>
        <w:rPr>
          <w:rFonts w:ascii="Arial" w:cs="Arial" w:eastAsia="Arial" w:hAnsi="Arial"/>
          <w:sz w:val="18"/>
          <w:szCs w:val="18"/>
          <w:i w:val="1"/>
          <w:iCs w:val="1"/>
          <w:color w:val="auto"/>
        </w:rPr>
        <w:t>Income Statement – Reporting Comprehensive Income</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 Expense Disaggregation Disclosures (Subtopic 220-40) – Clarifying the effective Date </w:t>
      </w:r>
      <w:r>
        <w:rPr>
          <w:rFonts w:ascii="Arial" w:cs="Arial" w:eastAsia="Arial" w:hAnsi="Arial"/>
          <w:sz w:val="18"/>
          <w:szCs w:val="18"/>
          <w:color w:val="auto"/>
        </w:rPr>
        <w:t>(ASU 2025-01), which clarifies the effective date of</w:t>
      </w:r>
      <w:r>
        <w:rPr>
          <w:rFonts w:ascii="Arial" w:cs="Arial" w:eastAsia="Arial" w:hAnsi="Arial"/>
          <w:sz w:val="18"/>
          <w:szCs w:val="18"/>
          <w:i w:val="1"/>
          <w:iCs w:val="1"/>
          <w:color w:val="auto"/>
        </w:rPr>
        <w:t xml:space="preserve"> </w:t>
      </w:r>
      <w:r>
        <w:rPr>
          <w:rFonts w:ascii="Arial" w:cs="Arial" w:eastAsia="Arial" w:hAnsi="Arial"/>
          <w:sz w:val="18"/>
          <w:szCs w:val="18"/>
          <w:color w:val="auto"/>
        </w:rPr>
        <w:t>ASU 2024-03 for companies with a non-calendar year end. ASU 2024-03 is effective for us in our annual reporting for fiscal year 2027, and in our interim periods beginning in fiscal year 2028. Early adoption and retrospective application are permitted. We are currently evaluating the impact of ASU 2024-03 on our Consolidated Financial Statements.</w:t>
      </w:r>
    </w:p>
    <w:p>
      <w:pPr>
        <w:spacing w:after="0" w:line="12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In September 2025, the FASB issued ASU 2025-06, </w:t>
      </w:r>
      <w:r>
        <w:rPr>
          <w:rFonts w:ascii="Arial" w:cs="Arial" w:eastAsia="Arial" w:hAnsi="Arial"/>
          <w:sz w:val="18"/>
          <w:szCs w:val="18"/>
          <w:i w:val="1"/>
          <w:iCs w:val="1"/>
          <w:color w:val="auto"/>
        </w:rPr>
        <w:t>Intangibles – Goodwill and Other – Internal-Use Software (Subtopic 350-40):</w:t>
      </w:r>
      <w:r>
        <w:rPr>
          <w:rFonts w:ascii="Arial" w:cs="Arial" w:eastAsia="Arial" w:hAnsi="Arial"/>
          <w:sz w:val="18"/>
          <w:szCs w:val="18"/>
          <w:color w:val="auto"/>
        </w:rPr>
        <w:t xml:space="preserve"> </w:t>
      </w:r>
      <w:r>
        <w:rPr>
          <w:rFonts w:ascii="Arial" w:cs="Arial" w:eastAsia="Arial" w:hAnsi="Arial"/>
          <w:sz w:val="18"/>
          <w:szCs w:val="18"/>
          <w:i w:val="1"/>
          <w:iCs w:val="1"/>
          <w:color w:val="auto"/>
        </w:rPr>
        <w:t>Targeted Improvements to the Accounting for Internal-Use Softwar</w:t>
      </w:r>
      <w:r>
        <w:rPr>
          <w:rFonts w:ascii="Arial" w:cs="Arial" w:eastAsia="Arial" w:hAnsi="Arial"/>
          <w:sz w:val="18"/>
          <w:szCs w:val="18"/>
          <w:color w:val="auto"/>
        </w:rPr>
        <w:t>e (ASU 2025-06) to clarify and modernize the accounting for costs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to internal-use software by removing all references to software development project stages and clarifying the threshold entities apply to begin capitalizing costs. ASU 2025 -06 is effective for us in our annual reporting for fiscal year 2028. Early adoption and retrospective reporting are permitted. We do not expect the adoption of ASU 2025-06 to have a material impact on our Consolidated Financial Statements.</w:t>
      </w:r>
    </w:p>
    <w:p>
      <w:pPr>
        <w:spacing w:after="0" w:line="12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 xml:space="preserve">In December 2025, the FASB issued ASU 2025-11, </w:t>
      </w:r>
      <w:r>
        <w:rPr>
          <w:rFonts w:ascii="Arial" w:cs="Arial" w:eastAsia="Arial" w:hAnsi="Arial"/>
          <w:sz w:val="18"/>
          <w:szCs w:val="18"/>
          <w:i w:val="1"/>
          <w:iCs w:val="1"/>
          <w:color w:val="auto"/>
        </w:rPr>
        <w:t>Interim Reporting (Topic 270): Narrow-Scope Improvements</w:t>
      </w:r>
      <w:r>
        <w:rPr>
          <w:rFonts w:ascii="Arial" w:cs="Arial" w:eastAsia="Arial" w:hAnsi="Arial"/>
          <w:sz w:val="18"/>
          <w:szCs w:val="18"/>
          <w:color w:val="auto"/>
        </w:rPr>
        <w:t xml:space="preserve"> (ASU 2025-11), which clarifies the guidance in Topic 270 to improve the consistency of interim financial reporting. ASU 2025-11 provides a comprehensive list of required interim disclosures and introduces a disclosure principle requiring entities to disclose events since the end of the last annual reporting period that have a material impact on the entity. ASU 2025-11 is effective for us in our annual reporting for fiscal year 2028, and in our interim periods beginning in fiscal year 2028. Early adoption and retrospective application are permitted. We do not expect the adoption of ASU 2025-11 to have a material impact on our Consolidated Financial Statements.</w:t>
      </w:r>
    </w:p>
    <w:p>
      <w:pPr>
        <w:spacing w:after="0" w:line="12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 xml:space="preserve">In December 2025, the FASB issued ASU 2025-12, </w:t>
      </w:r>
      <w:r>
        <w:rPr>
          <w:rFonts w:ascii="Arial" w:cs="Arial" w:eastAsia="Arial" w:hAnsi="Arial"/>
          <w:sz w:val="18"/>
          <w:szCs w:val="18"/>
          <w:i w:val="1"/>
          <w:iCs w:val="1"/>
          <w:color w:val="auto"/>
        </w:rPr>
        <w:t>Codification Improvements</w:t>
      </w:r>
      <w:r>
        <w:rPr>
          <w:rFonts w:ascii="Arial" w:cs="Arial" w:eastAsia="Arial" w:hAnsi="Arial"/>
          <w:sz w:val="18"/>
          <w:szCs w:val="18"/>
          <w:color w:val="auto"/>
        </w:rPr>
        <w:t xml:space="preserve"> (ASU 2025-12), which addresses thirty-three issues, representing amendments to Accounting Standards Codification (ASC) topics that clarify, correct errors or make minor improvements. ASU 2025-12 makes the ASC topics easier to understand and apply. ASU 2025-12 is effective for us in our annual reporting for fiscal year 2027, and in our interim periods beginning in fiscal year 2027. Early adoption and retrospective application are permitted on an issue-by-issue basis. We are currently evaluating the impact of ASU 2025-12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2" w:right="359" w:bottom="1440" w:gutter="0" w:footer="0" w:header="0"/>
        </w:sectPr>
      </w:pPr>
    </w:p>
    <w:bookmarkStart w:id="8" w:name="page9"/>
    <w:bookmarkEnd w:id="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SEGMENT REPORTING</w:t>
      </w:r>
    </w:p>
    <w:p>
      <w:pPr>
        <w:spacing w:after="0" w:line="17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operate in one business segment that focuses on the discovery, development and commercialization of new medicines for difficult-to-treat cancers. Our President and Chief Executive Officer, as the chief operating decision-maker, manages and allocates resources to our operations on a total consolidated basis. Consistent with this decision-making process, our President and Chief Executive Officer uses net income to monitor budget versus actual results for purposes of evaluating performance and to make decisions about the allocation of resources.</w:t>
      </w:r>
    </w:p>
    <w:p>
      <w:pPr>
        <w:spacing w:after="0" w:line="125" w:lineRule="exact"/>
        <w:rPr>
          <w:sz w:val="20"/>
          <w:szCs w:val="20"/>
          <w:color w:val="auto"/>
        </w:rPr>
      </w:pPr>
    </w:p>
    <w:p>
      <w:pPr>
        <w:ind w:right="20" w:firstLine="648"/>
        <w:spacing w:after="0" w:line="268" w:lineRule="auto"/>
        <w:rPr>
          <w:sz w:val="20"/>
          <w:szCs w:val="20"/>
          <w:color w:val="auto"/>
        </w:rPr>
      </w:pPr>
      <w:r>
        <w:rPr>
          <w:rFonts w:ascii="Arial" w:cs="Arial" w:eastAsia="Arial" w:hAnsi="Arial"/>
          <w:sz w:val="18"/>
          <w:szCs w:val="18"/>
          <w:color w:val="auto"/>
        </w:rPr>
        <w:t>Our significant segment expenses that are regularly provided to our President and Chief Executive Officer and included in the measure of segment net income consist of consolidated expenses for our operational departments: drug discovery, development, and selling, general and administrative and other segment items.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segment and consolidated net income, including significant segment expenses were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5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320" w:type="dxa"/>
            <w:vAlign w:val="bottom"/>
            <w:tcBorders>
              <w:bottom w:val="single" w:sz="8" w:color="auto"/>
            </w:tcBorders>
            <w:gridSpan w:val="4"/>
          </w:tcPr>
          <w:p>
            <w:pPr>
              <w:jc w:val="right"/>
              <w:ind w:right="571"/>
              <w:spacing w:after="0"/>
              <w:rPr>
                <w:sz w:val="20"/>
                <w:szCs w:val="20"/>
                <w:color w:val="auto"/>
              </w:rPr>
            </w:pPr>
            <w:r>
              <w:rPr>
                <w:rFonts w:ascii="Arial" w:cs="Arial" w:eastAsia="Arial" w:hAnsi="Arial"/>
                <w:sz w:val="16"/>
                <w:szCs w:val="16"/>
                <w:b w:val="1"/>
                <w:bCs w:val="1"/>
                <w:color w:val="auto"/>
              </w:rPr>
              <w:t>Three Months Ended March 31,</w:t>
            </w:r>
          </w:p>
        </w:tc>
      </w:tr>
      <w:tr>
        <w:trPr>
          <w:trHeight w:val="237"/>
        </w:trPr>
        <w:tc>
          <w:tcPr>
            <w:tcW w:w="75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32"/>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31"/>
              <w:spacing w:after="0"/>
              <w:rPr>
                <w:sz w:val="20"/>
                <w:szCs w:val="20"/>
                <w:color w:val="auto"/>
              </w:rPr>
            </w:pPr>
            <w:r>
              <w:rPr>
                <w:rFonts w:ascii="Arial" w:cs="Arial" w:eastAsia="Arial" w:hAnsi="Arial"/>
                <w:sz w:val="16"/>
                <w:szCs w:val="16"/>
                <w:b w:val="1"/>
                <w:bCs w:val="1"/>
                <w:color w:val="auto"/>
              </w:rPr>
              <w:t>2025</w:t>
            </w:r>
          </w:p>
        </w:tc>
      </w:tr>
      <w:tr>
        <w:trPr>
          <w:trHeight w:val="247"/>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610,812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555,447</w:t>
            </w:r>
          </w:p>
        </w:tc>
      </w:tr>
      <w:tr>
        <w:trPr>
          <w:trHeight w:val="247"/>
        </w:trPr>
        <w:tc>
          <w:tcPr>
            <w:tcW w:w="7520" w:type="dxa"/>
            <w:vAlign w:val="bottom"/>
          </w:tcPr>
          <w:p>
            <w:pPr>
              <w:ind w:left="180"/>
              <w:spacing w:after="0"/>
              <w:rPr>
                <w:sz w:val="20"/>
                <w:szCs w:val="20"/>
                <w:color w:val="auto"/>
              </w:rPr>
            </w:pPr>
            <w:r>
              <w:rPr>
                <w:rFonts w:ascii="Arial" w:cs="Arial" w:eastAsia="Arial" w:hAnsi="Arial"/>
                <w:sz w:val="18"/>
                <w:szCs w:val="18"/>
                <w:color w:val="auto"/>
              </w:rPr>
              <w:t>Less:</w:t>
            </w:r>
          </w:p>
        </w:tc>
        <w:tc>
          <w:tcPr>
            <w:tcW w:w="4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3"/>
        </w:trPr>
        <w:tc>
          <w:tcPr>
            <w:tcW w:w="7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Cost of goods sold</w:t>
            </w: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19,953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19,172</w:t>
            </w:r>
          </w:p>
        </w:tc>
      </w:tr>
      <w:tr>
        <w:trPr>
          <w:trHeight w:val="247"/>
        </w:trPr>
        <w:tc>
          <w:tcPr>
            <w:tcW w:w="7520" w:type="dxa"/>
            <w:vAlign w:val="bottom"/>
          </w:tcPr>
          <w:p>
            <w:pPr>
              <w:ind w:left="360"/>
              <w:spacing w:after="0"/>
              <w:rPr>
                <w:sz w:val="20"/>
                <w:szCs w:val="20"/>
                <w:color w:val="auto"/>
              </w:rPr>
            </w:pPr>
            <w:r>
              <w:rPr>
                <w:rFonts w:ascii="Arial" w:cs="Arial" w:eastAsia="Arial" w:hAnsi="Arial"/>
                <w:sz w:val="18"/>
                <w:szCs w:val="18"/>
                <w:color w:val="auto"/>
              </w:rPr>
              <w:t>Drug discovery</w:t>
            </w:r>
          </w:p>
        </w:tc>
        <w:tc>
          <w:tcPr>
            <w:tcW w:w="4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19,476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18,253</w:t>
            </w:r>
          </w:p>
        </w:tc>
      </w:tr>
      <w:tr>
        <w:trPr>
          <w:trHeight w:val="23"/>
        </w:trPr>
        <w:tc>
          <w:tcPr>
            <w:tcW w:w="7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Development</w:t>
            </w: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135,715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153,217</w:t>
            </w:r>
          </w:p>
        </w:tc>
      </w:tr>
      <w:tr>
        <w:trPr>
          <w:trHeight w:val="247"/>
        </w:trPr>
        <w:tc>
          <w:tcPr>
            <w:tcW w:w="7520" w:type="dxa"/>
            <w:vAlign w:val="bottom"/>
          </w:tcPr>
          <w:p>
            <w:pPr>
              <w:ind w:left="360"/>
              <w:spacing w:after="0"/>
              <w:rPr>
                <w:sz w:val="20"/>
                <w:szCs w:val="20"/>
                <w:color w:val="auto"/>
              </w:rPr>
            </w:pPr>
            <w:r>
              <w:rPr>
                <w:rFonts w:ascii="Arial" w:cs="Arial" w:eastAsia="Arial" w:hAnsi="Arial"/>
                <w:sz w:val="18"/>
                <w:szCs w:val="18"/>
                <w:color w:val="auto"/>
              </w:rPr>
              <w:t>Selling, general, and administrative</w:t>
            </w:r>
          </w:p>
        </w:tc>
        <w:tc>
          <w:tcPr>
            <w:tcW w:w="4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122,870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120,775</w:t>
            </w:r>
          </w:p>
        </w:tc>
      </w:tr>
      <w:tr>
        <w:trPr>
          <w:trHeight w:val="23"/>
        </w:trPr>
        <w:tc>
          <w:tcPr>
            <w:tcW w:w="7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segment items</w:t>
            </w:r>
            <w:r>
              <w:rPr>
                <w:rFonts w:ascii="Arial" w:cs="Arial" w:eastAsia="Arial" w:hAnsi="Arial"/>
                <w:sz w:val="23"/>
                <w:szCs w:val="23"/>
                <w:color w:val="auto"/>
                <w:vertAlign w:val="superscript"/>
              </w:rPr>
              <w:t>(1)</w:t>
            </w:r>
          </w:p>
        </w:tc>
        <w:tc>
          <w:tcPr>
            <w:tcW w:w="4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61,238</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57,416</w:t>
            </w:r>
          </w:p>
        </w:tc>
      </w:tr>
      <w:tr>
        <w:trPr>
          <w:trHeight w:val="247"/>
        </w:trPr>
        <w:tc>
          <w:tcPr>
            <w:tcW w:w="752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4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(16,127)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(19,076)</w:t>
            </w:r>
          </w:p>
        </w:tc>
      </w:tr>
      <w:tr>
        <w:trPr>
          <w:trHeight w:val="23"/>
        </w:trPr>
        <w:tc>
          <w:tcPr>
            <w:tcW w:w="7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Provision for income taxes</w:t>
            </w:r>
          </w:p>
        </w:tc>
        <w:tc>
          <w:tcPr>
            <w:tcW w:w="4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57,220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46,074</w:t>
            </w:r>
          </w:p>
        </w:tc>
      </w:tr>
      <w:tr>
        <w:trPr>
          <w:trHeight w:val="264"/>
        </w:trPr>
        <w:tc>
          <w:tcPr>
            <w:tcW w:w="7520" w:type="dxa"/>
            <w:vAlign w:val="bottom"/>
          </w:tcPr>
          <w:p>
            <w:pPr>
              <w:ind w:left="600"/>
              <w:spacing w:after="0"/>
              <w:rPr>
                <w:sz w:val="20"/>
                <w:szCs w:val="20"/>
                <w:color w:val="auto"/>
              </w:rPr>
            </w:pPr>
            <w:r>
              <w:rPr>
                <w:rFonts w:ascii="Arial" w:cs="Arial" w:eastAsia="Arial" w:hAnsi="Arial"/>
                <w:sz w:val="18"/>
                <w:szCs w:val="18"/>
                <w:color w:val="auto"/>
              </w:rPr>
              <w:t>Segment and consolidated net income</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210,467</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159,616</w:t>
            </w:r>
          </w:p>
        </w:tc>
      </w:tr>
      <w:tr>
        <w:trPr>
          <w:trHeight w:val="20"/>
        </w:trPr>
        <w:tc>
          <w:tcPr>
            <w:tcW w:w="75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w:t>
      </w:r>
    </w:p>
    <w:p>
      <w:pPr>
        <w:spacing w:after="0" w:line="18" w:lineRule="exact"/>
        <w:rPr>
          <w:sz w:val="20"/>
          <w:szCs w:val="20"/>
          <w:color w:val="auto"/>
        </w:rPr>
      </w:pPr>
    </w:p>
    <w:p>
      <w:pPr>
        <w:jc w:val="both"/>
        <w:ind w:left="140" w:right="40" w:hanging="132"/>
        <w:spacing w:after="0" w:line="444" w:lineRule="auto"/>
        <w:tabs>
          <w:tab w:leader="none" w:pos="168" w:val="left"/>
        </w:tabs>
        <w:numPr>
          <w:ilvl w:val="0"/>
          <w:numId w:val="4"/>
        </w:numPr>
        <w:rPr>
          <w:rFonts w:ascii="Arial" w:cs="Arial" w:eastAsia="Arial" w:hAnsi="Arial"/>
          <w:sz w:val="19"/>
          <w:szCs w:val="19"/>
          <w:color w:val="auto"/>
          <w:vertAlign w:val="superscript"/>
        </w:rPr>
      </w:pPr>
      <w:r>
        <w:rPr>
          <w:rFonts w:ascii="Arial" w:cs="Arial" w:eastAsia="Arial" w:hAnsi="Arial"/>
          <w:sz w:val="15"/>
          <w:szCs w:val="15"/>
          <w:color w:val="auto"/>
        </w:rPr>
        <w:t>Other segment items include stock-based compensation, other research and development expenses, including the allocation of general corporate costs to research and development services and development cost reimbursements in connection with certain of our collaboration arrangements, and other income (expenses), net.</w:t>
      </w:r>
    </w:p>
    <w:p>
      <w:pPr>
        <w:spacing w:after="0" w:line="1" w:lineRule="exact"/>
        <w:rPr>
          <w:sz w:val="20"/>
          <w:szCs w:val="20"/>
          <w:color w:val="auto"/>
        </w:rPr>
      </w:pPr>
    </w:p>
    <w:p>
      <w:pPr>
        <w:ind w:right="520" w:firstLine="648"/>
        <w:spacing w:after="0" w:line="287" w:lineRule="auto"/>
        <w:rPr>
          <w:sz w:val="20"/>
          <w:szCs w:val="20"/>
          <w:color w:val="auto"/>
        </w:rPr>
      </w:pPr>
      <w:r>
        <w:rPr>
          <w:rFonts w:ascii="Arial" w:cs="Arial" w:eastAsia="Arial" w:hAnsi="Arial"/>
          <w:sz w:val="18"/>
          <w:szCs w:val="18"/>
          <w:color w:val="auto"/>
        </w:rPr>
        <w:t>All of our long-lived assets are located in the U.S. See “Note 3. Revenues” for enterprise-wide disclosures about product sales, revenues from major customers and revenues by geographic region.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Revenues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5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320" w:type="dxa"/>
            <w:vAlign w:val="bottom"/>
            <w:tcBorders>
              <w:bottom w:val="single" w:sz="8" w:color="auto"/>
            </w:tcBorders>
            <w:gridSpan w:val="4"/>
          </w:tcPr>
          <w:p>
            <w:pPr>
              <w:jc w:val="right"/>
              <w:ind w:right="571"/>
              <w:spacing w:after="0"/>
              <w:rPr>
                <w:sz w:val="20"/>
                <w:szCs w:val="20"/>
                <w:color w:val="auto"/>
              </w:rPr>
            </w:pPr>
            <w:r>
              <w:rPr>
                <w:rFonts w:ascii="Arial" w:cs="Arial" w:eastAsia="Arial" w:hAnsi="Arial"/>
                <w:sz w:val="16"/>
                <w:szCs w:val="16"/>
                <w:b w:val="1"/>
                <w:bCs w:val="1"/>
                <w:color w:val="auto"/>
              </w:rPr>
              <w:t>Three Months Ended March 31,</w:t>
            </w:r>
          </w:p>
        </w:tc>
      </w:tr>
      <w:tr>
        <w:trPr>
          <w:trHeight w:val="237"/>
        </w:trPr>
        <w:tc>
          <w:tcPr>
            <w:tcW w:w="75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32"/>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31"/>
              <w:spacing w:after="0"/>
              <w:rPr>
                <w:sz w:val="20"/>
                <w:szCs w:val="20"/>
                <w:color w:val="auto"/>
              </w:rPr>
            </w:pPr>
            <w:r>
              <w:rPr>
                <w:rFonts w:ascii="Arial" w:cs="Arial" w:eastAsia="Arial" w:hAnsi="Arial"/>
                <w:sz w:val="16"/>
                <w:szCs w:val="16"/>
                <w:b w:val="1"/>
                <w:bCs w:val="1"/>
                <w:color w:val="auto"/>
              </w:rPr>
              <w:t>2025</w:t>
            </w:r>
          </w:p>
        </w:tc>
      </w:tr>
      <w:tr>
        <w:trPr>
          <w:trHeight w:val="234"/>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 revenues:</w:t>
            </w:r>
          </w:p>
        </w:tc>
        <w:tc>
          <w:tcPr>
            <w:tcW w:w="4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r>
      <w:tr>
        <w:trPr>
          <w:trHeight w:val="247"/>
        </w:trPr>
        <w:tc>
          <w:tcPr>
            <w:tcW w:w="7520" w:type="dxa"/>
            <w:vAlign w:val="bottom"/>
          </w:tcPr>
          <w:p>
            <w:pPr>
              <w:ind w:left="220"/>
              <w:spacing w:after="0"/>
              <w:rPr>
                <w:sz w:val="20"/>
                <w:szCs w:val="20"/>
                <w:color w:val="auto"/>
              </w:rPr>
            </w:pPr>
            <w:r>
              <w:rPr>
                <w:rFonts w:ascii="Arial" w:cs="Arial" w:eastAsia="Arial" w:hAnsi="Arial"/>
                <w:sz w:val="18"/>
                <w:szCs w:val="18"/>
                <w:color w:val="auto"/>
              </w:rPr>
              <w:t>Gross product revenues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795,354</w:t>
            </w:r>
          </w:p>
        </w:tc>
        <w:tc>
          <w:tcPr>
            <w:tcW w:w="10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721,711</w:t>
            </w:r>
          </w:p>
        </w:tc>
      </w:tr>
      <w:tr>
        <w:trPr>
          <w:trHeight w:val="23"/>
        </w:trPr>
        <w:tc>
          <w:tcPr>
            <w:tcW w:w="7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Discounts and allowances</w:t>
            </w:r>
          </w:p>
        </w:tc>
        <w:tc>
          <w:tcPr>
            <w:tcW w:w="4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(240,377)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(208,428)</w:t>
            </w:r>
          </w:p>
        </w:tc>
      </w:tr>
      <w:tr>
        <w:trPr>
          <w:trHeight w:val="240"/>
        </w:trPr>
        <w:tc>
          <w:tcPr>
            <w:tcW w:w="7520" w:type="dxa"/>
            <w:vAlign w:val="bottom"/>
          </w:tcPr>
          <w:p>
            <w:pPr>
              <w:ind w:left="660"/>
              <w:spacing w:after="0"/>
              <w:rPr>
                <w:sz w:val="20"/>
                <w:szCs w:val="20"/>
                <w:color w:val="auto"/>
              </w:rPr>
            </w:pPr>
            <w:r>
              <w:rPr>
                <w:rFonts w:ascii="Arial" w:cs="Arial" w:eastAsia="Arial" w:hAnsi="Arial"/>
                <w:sz w:val="18"/>
                <w:szCs w:val="18"/>
                <w:color w:val="auto"/>
              </w:rPr>
              <w:t>Net product revenues</w:t>
            </w:r>
          </w:p>
        </w:tc>
        <w:tc>
          <w:tcPr>
            <w:tcW w:w="4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554,977</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513,283</w:t>
            </w:r>
          </w:p>
        </w:tc>
      </w:tr>
      <w:tr>
        <w:trPr>
          <w:trHeight w:val="23"/>
        </w:trPr>
        <w:tc>
          <w:tcPr>
            <w:tcW w:w="75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0"/>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Collaboration revenues:</w:t>
            </w:r>
          </w:p>
        </w:tc>
        <w:tc>
          <w:tcPr>
            <w:tcW w:w="4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r>
      <w:tr>
        <w:trPr>
          <w:trHeight w:val="247"/>
        </w:trPr>
        <w:tc>
          <w:tcPr>
            <w:tcW w:w="7520" w:type="dxa"/>
            <w:vAlign w:val="bottom"/>
          </w:tcPr>
          <w:p>
            <w:pPr>
              <w:ind w:left="220"/>
              <w:spacing w:after="0"/>
              <w:rPr>
                <w:sz w:val="20"/>
                <w:szCs w:val="20"/>
                <w:color w:val="auto"/>
              </w:rPr>
            </w:pPr>
            <w:r>
              <w:rPr>
                <w:rFonts w:ascii="Arial" w:cs="Arial" w:eastAsia="Arial" w:hAnsi="Arial"/>
                <w:sz w:val="18"/>
                <w:szCs w:val="18"/>
                <w:color w:val="auto"/>
              </w:rPr>
              <w:t>License revenues</w:t>
            </w:r>
          </w:p>
        </w:tc>
        <w:tc>
          <w:tcPr>
            <w:tcW w:w="4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56,948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42,480</w:t>
            </w:r>
          </w:p>
        </w:tc>
      </w:tr>
      <w:tr>
        <w:trPr>
          <w:trHeight w:val="23"/>
        </w:trPr>
        <w:tc>
          <w:tcPr>
            <w:tcW w:w="7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Collaboration services revenues</w:t>
            </w:r>
          </w:p>
        </w:tc>
        <w:tc>
          <w:tcPr>
            <w:tcW w:w="4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w:t>
            </w:r>
          </w:p>
        </w:tc>
      </w:tr>
      <w:tr>
        <w:trPr>
          <w:trHeight w:val="240"/>
        </w:trPr>
        <w:tc>
          <w:tcPr>
            <w:tcW w:w="7520" w:type="dxa"/>
            <w:vAlign w:val="bottom"/>
          </w:tcPr>
          <w:p>
            <w:pPr>
              <w:ind w:left="680"/>
              <w:spacing w:after="0"/>
              <w:rPr>
                <w:sz w:val="20"/>
                <w:szCs w:val="20"/>
                <w:color w:val="auto"/>
              </w:rPr>
            </w:pPr>
            <w:r>
              <w:rPr>
                <w:rFonts w:ascii="Arial" w:cs="Arial" w:eastAsia="Arial" w:hAnsi="Arial"/>
                <w:sz w:val="18"/>
                <w:szCs w:val="18"/>
                <w:color w:val="auto"/>
              </w:rPr>
              <w:t>Collaboration revenues</w:t>
            </w:r>
          </w:p>
        </w:tc>
        <w:tc>
          <w:tcPr>
            <w:tcW w:w="4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55,835</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42,164</w:t>
            </w:r>
          </w:p>
        </w:tc>
      </w:tr>
      <w:tr>
        <w:trPr>
          <w:trHeight w:val="23"/>
        </w:trPr>
        <w:tc>
          <w:tcPr>
            <w:tcW w:w="75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89"/>
        </w:trPr>
        <w:tc>
          <w:tcPr>
            <w:tcW w:w="752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Total revenues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610,812</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555,447</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percentage of total revenues by customer who individually accounted for 10% or more of our total revenues were as follows:</w:t>
      </w:r>
    </w:p>
    <w:p>
      <w:pPr>
        <w:spacing w:after="0" w:line="230" w:lineRule="exact"/>
        <w:rPr>
          <w:sz w:val="20"/>
          <w:szCs w:val="20"/>
          <w:color w:val="auto"/>
        </w:rPr>
      </w:pPr>
    </w:p>
    <w:p>
      <w:pPr>
        <w:ind w:left="810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29210</wp:posOffset>
            </wp:positionV>
            <wp:extent cx="24771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660" w:type="dxa"/>
            <w:vAlign w:val="bottom"/>
            <w:gridSpan w:val="2"/>
          </w:tcPr>
          <w:p>
            <w:pPr>
              <w:ind w:left="8120"/>
              <w:spacing w:after="0"/>
              <w:rPr>
                <w:sz w:val="20"/>
                <w:szCs w:val="20"/>
                <w:color w:val="auto"/>
              </w:rPr>
            </w:pPr>
            <w:r>
              <w:rPr>
                <w:rFonts w:ascii="Arial" w:cs="Arial" w:eastAsia="Arial" w:hAnsi="Arial"/>
                <w:sz w:val="16"/>
                <w:szCs w:val="16"/>
                <w:b w:val="1"/>
                <w:bCs w:val="1"/>
                <w:color w:val="auto"/>
              </w:rPr>
              <w:t>2026</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tcPr>
          <w:p>
            <w:pPr>
              <w:jc w:val="right"/>
              <w:ind w:right="692"/>
              <w:spacing w:after="0"/>
              <w:rPr>
                <w:sz w:val="20"/>
                <w:szCs w:val="20"/>
                <w:color w:val="auto"/>
              </w:rPr>
            </w:pPr>
            <w:r>
              <w:rPr>
                <w:rFonts w:ascii="Arial" w:cs="Arial" w:eastAsia="Arial" w:hAnsi="Arial"/>
                <w:sz w:val="16"/>
                <w:szCs w:val="16"/>
                <w:b w:val="1"/>
                <w:bCs w:val="1"/>
                <w:color w:val="auto"/>
              </w:rPr>
              <w:t>2025</w:t>
            </w:r>
          </w:p>
        </w:tc>
      </w:tr>
      <w:tr>
        <w:trPr>
          <w:trHeight w:val="247"/>
        </w:trPr>
        <w:tc>
          <w:tcPr>
            <w:tcW w:w="7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Affiliates of Cencora, Inc.</w:t>
            </w: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47"/>
        </w:trPr>
        <w:tc>
          <w:tcPr>
            <w:tcW w:w="8660" w:type="dxa"/>
            <w:vAlign w:val="bottom"/>
            <w:gridSpan w:val="2"/>
          </w:tcPr>
          <w:p>
            <w:pPr>
              <w:ind w:left="20"/>
              <w:spacing w:after="0"/>
              <w:rPr>
                <w:sz w:val="20"/>
                <w:szCs w:val="20"/>
                <w:color w:val="auto"/>
              </w:rPr>
            </w:pPr>
            <w:r>
              <w:rPr>
                <w:rFonts w:ascii="Arial" w:cs="Arial" w:eastAsia="Arial" w:hAnsi="Arial"/>
                <w:sz w:val="18"/>
                <w:szCs w:val="18"/>
                <w:color w:val="auto"/>
              </w:rPr>
              <w:t>Affiliates of McKesson Corporation</w:t>
            </w:r>
          </w:p>
        </w:tc>
        <w:tc>
          <w:tcPr>
            <w:tcW w:w="5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
        </w:trPr>
        <w:tc>
          <w:tcPr>
            <w:tcW w:w="7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8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Affiliates of CVS Health Corporation</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7"/>
        </w:trPr>
        <w:tc>
          <w:tcPr>
            <w:tcW w:w="8660" w:type="dxa"/>
            <w:vAlign w:val="bottom"/>
            <w:gridSpan w:val="2"/>
          </w:tcPr>
          <w:p>
            <w:pPr>
              <w:ind w:left="20"/>
              <w:spacing w:after="0"/>
              <w:rPr>
                <w:sz w:val="20"/>
                <w:szCs w:val="20"/>
                <w:color w:val="auto"/>
              </w:rPr>
            </w:pPr>
            <w:r>
              <w:rPr>
                <w:rFonts w:ascii="Arial" w:cs="Arial" w:eastAsia="Arial" w:hAnsi="Arial"/>
                <w:sz w:val="18"/>
                <w:szCs w:val="18"/>
                <w:color w:val="auto"/>
              </w:rPr>
              <w:t>Accredo Health, Incorporated</w:t>
            </w:r>
          </w:p>
        </w:tc>
        <w:tc>
          <w:tcPr>
            <w:tcW w:w="5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
        </w:trPr>
        <w:tc>
          <w:tcPr>
            <w:tcW w:w="7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47"/>
        </w:trPr>
        <w:tc>
          <w:tcPr>
            <w:tcW w:w="8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Affiliates of Optum Specialty Pharmacy</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
        </w:trPr>
        <w:tc>
          <w:tcPr>
            <w:tcW w:w="73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w:t>
      </w:r>
    </w:p>
    <w:p>
      <w:pPr>
        <w:spacing w:after="0" w:line="13" w:lineRule="exact"/>
        <w:rPr>
          <w:sz w:val="20"/>
          <w:szCs w:val="20"/>
          <w:color w:val="auto"/>
        </w:rPr>
      </w:pPr>
    </w:p>
    <w:p>
      <w:pPr>
        <w:ind w:left="140" w:hanging="132"/>
        <w:spacing w:after="0"/>
        <w:tabs>
          <w:tab w:leader="none" w:pos="14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Represents less than 10% of our total revenues in the applicable period.</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percentage of trade receivables by customer who individually accounted for 10% or more of our trade receivables were as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March 31, 2026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gridSpan w:val="2"/>
          </w:tcPr>
          <w:p>
            <w:pPr>
              <w:jc w:val="right"/>
              <w:ind w:right="151"/>
              <w:spacing w:after="0"/>
              <w:rPr>
                <w:sz w:val="20"/>
                <w:szCs w:val="20"/>
                <w:color w:val="auto"/>
              </w:rPr>
            </w:pPr>
            <w:r>
              <w:rPr>
                <w:rFonts w:ascii="Arial" w:cs="Arial" w:eastAsia="Arial" w:hAnsi="Arial"/>
                <w:sz w:val="16"/>
                <w:szCs w:val="16"/>
                <w:b w:val="1"/>
                <w:bCs w:val="1"/>
                <w:color w:val="auto"/>
              </w:rPr>
              <w:t>December 31, 2025</w:t>
            </w:r>
          </w:p>
        </w:tc>
      </w:tr>
      <w:tr>
        <w:trPr>
          <w:trHeight w:val="247"/>
        </w:trPr>
        <w:tc>
          <w:tcPr>
            <w:tcW w:w="7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Affiliates of Cencora, Inc.</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47"/>
        </w:trPr>
        <w:tc>
          <w:tcPr>
            <w:tcW w:w="7320" w:type="dxa"/>
            <w:vAlign w:val="bottom"/>
          </w:tcPr>
          <w:p>
            <w:pPr>
              <w:ind w:left="20"/>
              <w:spacing w:after="0"/>
              <w:rPr>
                <w:sz w:val="20"/>
                <w:szCs w:val="20"/>
                <w:color w:val="auto"/>
              </w:rPr>
            </w:pPr>
            <w:r>
              <w:rPr>
                <w:rFonts w:ascii="Arial" w:cs="Arial" w:eastAsia="Arial" w:hAnsi="Arial"/>
                <w:sz w:val="18"/>
                <w:szCs w:val="18"/>
                <w:color w:val="auto"/>
              </w:rPr>
              <w:t>Affiliates of McKesson Corporation</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
        </w:trPr>
        <w:tc>
          <w:tcPr>
            <w:tcW w:w="7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Ipsen Pharma SAS</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7"/>
        </w:trPr>
        <w:tc>
          <w:tcPr>
            <w:tcW w:w="7320" w:type="dxa"/>
            <w:vAlign w:val="bottom"/>
          </w:tcPr>
          <w:p>
            <w:pPr>
              <w:ind w:left="20"/>
              <w:spacing w:after="0"/>
              <w:rPr>
                <w:sz w:val="20"/>
                <w:szCs w:val="20"/>
                <w:color w:val="auto"/>
              </w:rPr>
            </w:pPr>
            <w:r>
              <w:rPr>
                <w:rFonts w:ascii="Arial" w:cs="Arial" w:eastAsia="Arial" w:hAnsi="Arial"/>
                <w:sz w:val="18"/>
                <w:szCs w:val="18"/>
                <w:color w:val="auto"/>
              </w:rPr>
              <w:t>Affiliates of CVS Health Corporation</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
        </w:trPr>
        <w:tc>
          <w:tcPr>
            <w:tcW w:w="7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Cardinal Health, Inc.</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477"/>
        </w:trPr>
        <w:tc>
          <w:tcPr>
            <w:tcW w:w="7320" w:type="dxa"/>
            <w:vAlign w:val="bottom"/>
          </w:tcPr>
          <w:p>
            <w:pPr>
              <w:ind w:left="660"/>
              <w:spacing w:after="0"/>
              <w:rPr>
                <w:sz w:val="20"/>
                <w:szCs w:val="20"/>
                <w:color w:val="auto"/>
              </w:rPr>
            </w:pPr>
            <w:r>
              <w:rPr>
                <w:rFonts w:ascii="Arial" w:cs="Arial" w:eastAsia="Arial" w:hAnsi="Arial"/>
                <w:sz w:val="18"/>
                <w:szCs w:val="18"/>
                <w:color w:val="auto"/>
              </w:rPr>
              <w:t>Total revenues by geographic region were as follows (in thousands):</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24"/>
        </w:trPr>
        <w:tc>
          <w:tcPr>
            <w:tcW w:w="7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gridSpan w:val="6"/>
          </w:tcPr>
          <w:p>
            <w:pPr>
              <w:jc w:val="right"/>
              <w:ind w:right="571"/>
              <w:spacing w:after="0"/>
              <w:rPr>
                <w:sz w:val="20"/>
                <w:szCs w:val="20"/>
                <w:color w:val="auto"/>
              </w:rPr>
            </w:pPr>
            <w:r>
              <w:rPr>
                <w:rFonts w:ascii="Arial" w:cs="Arial" w:eastAsia="Arial" w:hAnsi="Arial"/>
                <w:sz w:val="16"/>
                <w:szCs w:val="16"/>
                <w:b w:val="1"/>
                <w:bCs w:val="1"/>
                <w:color w:val="auto"/>
              </w:rPr>
              <w:t>Three Months Ended March 31,</w:t>
            </w:r>
          </w:p>
        </w:tc>
      </w:tr>
      <w:tr>
        <w:trPr>
          <w:trHeight w:val="237"/>
        </w:trPr>
        <w:tc>
          <w:tcPr>
            <w:tcW w:w="73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2026</w:t>
            </w: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31"/>
              <w:spacing w:after="0"/>
              <w:rPr>
                <w:sz w:val="20"/>
                <w:szCs w:val="20"/>
                <w:color w:val="auto"/>
              </w:rPr>
            </w:pPr>
            <w:r>
              <w:rPr>
                <w:rFonts w:ascii="Arial" w:cs="Arial" w:eastAsia="Arial" w:hAnsi="Arial"/>
                <w:sz w:val="16"/>
                <w:szCs w:val="16"/>
                <w:b w:val="1"/>
                <w:bCs w:val="1"/>
                <w:color w:val="auto"/>
              </w:rPr>
              <w:t>2025</w:t>
            </w:r>
          </w:p>
        </w:tc>
      </w:tr>
      <w:tr>
        <w:trPr>
          <w:trHeight w:val="247"/>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558,546</w:t>
            </w:r>
          </w:p>
        </w:tc>
        <w:tc>
          <w:tcPr>
            <w:tcW w:w="560" w:type="dxa"/>
            <w:vAlign w:val="bottom"/>
            <w:tcBorders>
              <w:bottom w:val="single" w:sz="8" w:color="CCEEFF"/>
            </w:tcBorders>
            <w:gridSpan w:val="3"/>
            <w:shd w:val="clear" w:color="auto" w:fill="CCEEFF"/>
          </w:tcPr>
          <w:p>
            <w:pPr>
              <w:jc w:val="right"/>
              <w:ind w:right="235"/>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517,184</w:t>
            </w:r>
          </w:p>
        </w:tc>
      </w:tr>
      <w:tr>
        <w:trPr>
          <w:trHeight w:val="247"/>
        </w:trPr>
        <w:tc>
          <w:tcPr>
            <w:tcW w:w="7320" w:type="dxa"/>
            <w:vAlign w:val="bottom"/>
          </w:tcPr>
          <w:p>
            <w:pPr>
              <w:ind w:left="20"/>
              <w:spacing w:after="0"/>
              <w:rPr>
                <w:sz w:val="20"/>
                <w:szCs w:val="20"/>
                <w:color w:val="auto"/>
              </w:rPr>
            </w:pPr>
            <w:r>
              <w:rPr>
                <w:rFonts w:ascii="Arial" w:cs="Arial" w:eastAsia="Arial" w:hAnsi="Arial"/>
                <w:sz w:val="18"/>
                <w:szCs w:val="18"/>
                <w:color w:val="auto"/>
              </w:rPr>
              <w:t>Europe</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39,568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32,706</w:t>
            </w:r>
          </w:p>
        </w:tc>
      </w:tr>
      <w:tr>
        <w:trPr>
          <w:trHeight w:val="23"/>
        </w:trPr>
        <w:tc>
          <w:tcPr>
            <w:tcW w:w="7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Japan</w:t>
            </w:r>
          </w:p>
        </w:tc>
        <w:tc>
          <w:tcPr>
            <w:tcW w:w="2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12,698</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5,557</w:t>
            </w:r>
          </w:p>
        </w:tc>
      </w:tr>
      <w:tr>
        <w:trPr>
          <w:trHeight w:val="263"/>
        </w:trPr>
        <w:tc>
          <w:tcPr>
            <w:tcW w:w="7320" w:type="dxa"/>
            <w:vAlign w:val="bottom"/>
          </w:tcPr>
          <w:p>
            <w:pPr>
              <w:ind w:left="440"/>
              <w:spacing w:after="0"/>
              <w:rPr>
                <w:sz w:val="20"/>
                <w:szCs w:val="20"/>
                <w:color w:val="auto"/>
              </w:rPr>
            </w:pPr>
            <w:r>
              <w:rPr>
                <w:rFonts w:ascii="Arial" w:cs="Arial" w:eastAsia="Arial" w:hAnsi="Arial"/>
                <w:sz w:val="18"/>
                <w:szCs w:val="18"/>
                <w:color w:val="auto"/>
              </w:rPr>
              <w:t>Total revenues</w:t>
            </w:r>
          </w:p>
        </w:tc>
        <w:tc>
          <w:tcPr>
            <w:tcW w:w="2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610,812</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35"/>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555,447</w:t>
            </w:r>
          </w:p>
        </w:tc>
      </w:tr>
      <w:tr>
        <w:trPr>
          <w:trHeight w:val="20"/>
        </w:trPr>
        <w:tc>
          <w:tcPr>
            <w:tcW w:w="7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820" w:firstLine="648"/>
        <w:spacing w:after="0" w:line="318" w:lineRule="auto"/>
        <w:rPr>
          <w:sz w:val="20"/>
          <w:szCs w:val="20"/>
          <w:color w:val="auto"/>
        </w:rPr>
      </w:pPr>
      <w:r>
        <w:rPr>
          <w:rFonts w:ascii="Arial" w:cs="Arial" w:eastAsia="Arial" w:hAnsi="Arial"/>
          <w:sz w:val="17"/>
          <w:szCs w:val="17"/>
          <w:color w:val="auto"/>
        </w:rPr>
        <w:t>Total revenues include net product revenues attributed to geographic regions based on the ship-to location and license and collaboration services revenues attributed to geographic regions based on the location of our collaboration partners’ headquarters.</w:t>
      </w:r>
    </w:p>
    <w:p>
      <w:pPr>
        <w:spacing w:after="0" w:line="76"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 xml:space="preserve">Net product revenues and license revenues are recorded in accordance with ASC Topic 606,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Customers </w:t>
      </w:r>
      <w:r>
        <w:rPr>
          <w:rFonts w:ascii="Arial" w:cs="Arial" w:eastAsia="Arial" w:hAnsi="Arial"/>
          <w:sz w:val="18"/>
          <w:szCs w:val="18"/>
          <w:color w:val="auto"/>
        </w:rPr>
        <w:t>(Topic 606). License revenues include the recognition of the portion of milestone payments allocated to the transfer of intellectual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property licenses for which it had become probable in the current period that the milestone would be achieved and a significant reversal of revenues would not occur, as well as royalty revenues and our share of profits under our collaboration agreement with Genentech. Collaboration services revenues are recorded in accordance with ASC Topic 808, </w:t>
      </w:r>
      <w:r>
        <w:rPr>
          <w:rFonts w:ascii="Arial" w:cs="Arial" w:eastAsia="Arial" w:hAnsi="Arial"/>
          <w:sz w:val="18"/>
          <w:szCs w:val="18"/>
          <w:i w:val="1"/>
          <w:iCs w:val="1"/>
          <w:color w:val="auto"/>
        </w:rPr>
        <w:t>Collaborative Arrangements.</w:t>
      </w:r>
      <w:r>
        <w:rPr>
          <w:rFonts w:ascii="Arial" w:cs="Arial" w:eastAsia="Arial" w:hAnsi="Arial"/>
          <w:sz w:val="18"/>
          <w:szCs w:val="18"/>
          <w:color w:val="auto"/>
        </w:rPr>
        <w:t xml:space="preserve"> Collaboration services revenues include the recognition of deferred revenues for the portion of upfront and milestone payments allocated to our research and development services performance obligations, development cost reimbursements earned under our collaboration agreements, product supply revenues, net of product supply costs and the royalties we paid on sales of products containing cabozantinib by our collaboration partners. License revenues and collaboration services revenues are presented in collaboration revenues in the accompanying Condensed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product revenues by product were as follows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5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32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6"/>
                <w:szCs w:val="16"/>
                <w:b w:val="1"/>
                <w:bCs w:val="1"/>
                <w:color w:val="auto"/>
              </w:rPr>
              <w:t>Three Months Ended March 31,</w:t>
            </w:r>
          </w:p>
        </w:tc>
      </w:tr>
      <w:tr>
        <w:trPr>
          <w:trHeight w:val="236"/>
        </w:trPr>
        <w:tc>
          <w:tcPr>
            <w:tcW w:w="75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34"/>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32"/>
              <w:spacing w:after="0"/>
              <w:rPr>
                <w:sz w:val="20"/>
                <w:szCs w:val="20"/>
                <w:color w:val="auto"/>
              </w:rPr>
            </w:pPr>
            <w:r>
              <w:rPr>
                <w:rFonts w:ascii="Arial" w:cs="Arial" w:eastAsia="Arial" w:hAnsi="Arial"/>
                <w:sz w:val="16"/>
                <w:szCs w:val="16"/>
                <w:b w:val="1"/>
                <w:bCs w:val="1"/>
                <w:color w:val="auto"/>
              </w:rPr>
              <w:t>2025</w:t>
            </w:r>
          </w:p>
        </w:tc>
      </w:tr>
      <w:tr>
        <w:trPr>
          <w:trHeight w:val="247"/>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CABOMETYX</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552,773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510,872</w:t>
            </w:r>
          </w:p>
        </w:tc>
      </w:tr>
      <w:tr>
        <w:trPr>
          <w:trHeight w:val="247"/>
        </w:trPr>
        <w:tc>
          <w:tcPr>
            <w:tcW w:w="7520" w:type="dxa"/>
            <w:vAlign w:val="bottom"/>
          </w:tcPr>
          <w:p>
            <w:pPr>
              <w:ind w:left="20"/>
              <w:spacing w:after="0"/>
              <w:rPr>
                <w:sz w:val="20"/>
                <w:szCs w:val="20"/>
                <w:color w:val="auto"/>
              </w:rPr>
            </w:pPr>
            <w:r>
              <w:rPr>
                <w:rFonts w:ascii="Arial" w:cs="Arial" w:eastAsia="Arial" w:hAnsi="Arial"/>
                <w:sz w:val="18"/>
                <w:szCs w:val="18"/>
                <w:color w:val="auto"/>
              </w:rPr>
              <w:t>COMETRIQ</w:t>
            </w:r>
          </w:p>
        </w:tc>
        <w:tc>
          <w:tcPr>
            <w:tcW w:w="4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2,204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2,411</w:t>
            </w:r>
          </w:p>
        </w:tc>
      </w:tr>
      <w:tr>
        <w:trPr>
          <w:trHeight w:val="23"/>
        </w:trPr>
        <w:tc>
          <w:tcPr>
            <w:tcW w:w="75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88"/>
        </w:trPr>
        <w:tc>
          <w:tcPr>
            <w:tcW w:w="75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product revenues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554,977</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513,283</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Sales Discounts and Allowances</w:t>
      </w:r>
    </w:p>
    <w:p>
      <w:pPr>
        <w:spacing w:after="0" w:line="171" w:lineRule="exact"/>
        <w:rPr>
          <w:sz w:val="20"/>
          <w:szCs w:val="20"/>
          <w:color w:val="auto"/>
        </w:rPr>
      </w:pPr>
    </w:p>
    <w:p>
      <w:pPr>
        <w:ind w:right="520" w:firstLine="648"/>
        <w:spacing w:after="0" w:line="287" w:lineRule="auto"/>
        <w:rPr>
          <w:sz w:val="20"/>
          <w:szCs w:val="20"/>
          <w:color w:val="auto"/>
        </w:rPr>
      </w:pPr>
      <w:r>
        <w:rPr>
          <w:rFonts w:ascii="Arial" w:cs="Arial" w:eastAsia="Arial" w:hAnsi="Arial"/>
          <w:sz w:val="18"/>
          <w:szCs w:val="18"/>
          <w:color w:val="auto"/>
        </w:rPr>
        <w:t>The activities and ending reserve balances for each significant category of discounts and allowances (which constitute variable consideration) were as follows (in thousands):</w:t>
      </w:r>
    </w:p>
    <w:p>
      <w:pPr>
        <w:sectPr>
          <w:pgSz w:w="11900" w:h="16838" w:orient="portrait"/>
          <w:cols w:equalWidth="0" w:num="1">
            <w:col w:w="11240"/>
          </w:cols>
          <w:pgMar w:left="320" w:top="2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December 31, 2025</w:t>
      </w:r>
    </w:p>
    <w:p>
      <w:pPr>
        <w:spacing w:after="0" w:line="7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Provision related to sales made in:</w:t>
      </w:r>
    </w:p>
    <w:p>
      <w:pPr>
        <w:spacing w:after="0" w:line="6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Current period</w:t>
      </w:r>
    </w:p>
    <w:p>
      <w:pPr>
        <w:spacing w:after="0" w:line="6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Prior periods</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Payments and customer credits issued</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March 31, 2026</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200" w:type="dxa"/>
            <w:vAlign w:val="bottom"/>
          </w:tcPr>
          <w:p>
            <w:pPr>
              <w:spacing w:after="0"/>
              <w:rPr>
                <w:sz w:val="16"/>
                <w:szCs w:val="16"/>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Chargebacks,</w:t>
            </w: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189"/>
        </w:trPr>
        <w:tc>
          <w:tcPr>
            <w:tcW w:w="200" w:type="dxa"/>
            <w:vAlign w:val="bottom"/>
          </w:tcPr>
          <w:p>
            <w:pPr>
              <w:spacing w:after="0"/>
              <w:rPr>
                <w:sz w:val="16"/>
                <w:szCs w:val="16"/>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Discounts for</w:t>
            </w:r>
          </w:p>
        </w:tc>
        <w:tc>
          <w:tcPr>
            <w:tcW w:w="160" w:type="dxa"/>
            <w:vAlign w:val="bottom"/>
          </w:tcPr>
          <w:p>
            <w:pPr>
              <w:spacing w:after="0"/>
              <w:rPr>
                <w:sz w:val="16"/>
                <w:szCs w:val="16"/>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Other Customer</w:t>
            </w:r>
          </w:p>
        </w:tc>
        <w:tc>
          <w:tcPr>
            <w:tcW w:w="3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03"/>
        </w:trPr>
        <w:tc>
          <w:tcPr>
            <w:tcW w:w="17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Prompt Payment and</w:t>
            </w:r>
          </w:p>
        </w:tc>
        <w:tc>
          <w:tcPr>
            <w:tcW w:w="1760" w:type="dxa"/>
            <w:vAlign w:val="bottom"/>
            <w:gridSpan w:val="3"/>
          </w:tcPr>
          <w:p>
            <w:pPr>
              <w:ind w:left="20"/>
              <w:spacing w:after="0"/>
              <w:rPr>
                <w:sz w:val="20"/>
                <w:szCs w:val="20"/>
                <w:color w:val="auto"/>
              </w:rPr>
            </w:pPr>
            <w:r>
              <w:rPr>
                <w:rFonts w:ascii="Arial" w:cs="Arial" w:eastAsia="Arial" w:hAnsi="Arial"/>
                <w:sz w:val="16"/>
                <w:szCs w:val="16"/>
                <w:b w:val="1"/>
                <w:bCs w:val="1"/>
                <w:color w:val="auto"/>
              </w:rPr>
              <w:t>Credits/Fees and Co-</w:t>
            </w:r>
          </w:p>
        </w:tc>
        <w:tc>
          <w:tcPr>
            <w:tcW w:w="3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40"/>
        </w:trPr>
        <w:tc>
          <w:tcPr>
            <w:tcW w:w="200" w:type="dxa"/>
            <w:vAlign w:val="bottom"/>
          </w:tcPr>
          <w:p>
            <w:pPr>
              <w:spacing w:after="0"/>
              <w:rPr>
                <w:sz w:val="20"/>
                <w:szCs w:val="20"/>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160" w:type="dxa"/>
            <w:vAlign w:val="bottom"/>
          </w:tcPr>
          <w:p>
            <w:pPr>
              <w:spacing w:after="0"/>
              <w:rPr>
                <w:sz w:val="20"/>
                <w:szCs w:val="20"/>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pay Assistance</w:t>
            </w:r>
          </w:p>
        </w:tc>
        <w:tc>
          <w:tcPr>
            <w:tcW w:w="360" w:type="dxa"/>
            <w:vAlign w:val="bottom"/>
          </w:tcPr>
          <w:p>
            <w:pPr>
              <w:spacing w:after="0"/>
              <w:rPr>
                <w:sz w:val="20"/>
                <w:szCs w:val="20"/>
                <w:color w:val="auto"/>
              </w:rPr>
            </w:pPr>
          </w:p>
        </w:tc>
        <w:tc>
          <w:tcPr>
            <w:tcW w:w="1520" w:type="dxa"/>
            <w:vAlign w:val="bottom"/>
            <w:gridSpan w:val="2"/>
          </w:tcPr>
          <w:p>
            <w:pPr>
              <w:ind w:left="220"/>
              <w:spacing w:after="0"/>
              <w:rPr>
                <w:sz w:val="20"/>
                <w:szCs w:val="20"/>
                <w:color w:val="auto"/>
              </w:rPr>
            </w:pPr>
            <w:r>
              <w:rPr>
                <w:rFonts w:ascii="Arial" w:cs="Arial" w:eastAsia="Arial" w:hAnsi="Arial"/>
                <w:sz w:val="16"/>
                <w:szCs w:val="16"/>
                <w:b w:val="1"/>
                <w:bCs w:val="1"/>
                <w:color w:val="auto"/>
              </w:rPr>
              <w:t>Rebates</w:t>
            </w:r>
          </w:p>
        </w:tc>
        <w:tc>
          <w:tcPr>
            <w:tcW w:w="420" w:type="dxa"/>
            <w:vAlign w:val="bottom"/>
          </w:tcPr>
          <w:p>
            <w:pPr>
              <w:spacing w:after="0"/>
              <w:rPr>
                <w:sz w:val="20"/>
                <w:szCs w:val="20"/>
                <w:color w:val="auto"/>
              </w:rPr>
            </w:pPr>
          </w:p>
        </w:tc>
        <w:tc>
          <w:tcPr>
            <w:tcW w:w="1380" w:type="dxa"/>
            <w:vAlign w:val="bottom"/>
          </w:tcPr>
          <w:p>
            <w:pPr>
              <w:jc w:val="right"/>
              <w:ind w:right="632"/>
              <w:spacing w:after="0"/>
              <w:rPr>
                <w:sz w:val="20"/>
                <w:szCs w:val="20"/>
                <w:color w:val="auto"/>
              </w:rPr>
            </w:pPr>
            <w:r>
              <w:rPr>
                <w:rFonts w:ascii="Arial" w:cs="Arial" w:eastAsia="Arial" w:hAnsi="Arial"/>
                <w:sz w:val="16"/>
                <w:szCs w:val="16"/>
                <w:b w:val="1"/>
                <w:bCs w:val="1"/>
                <w:color w:val="auto"/>
              </w:rPr>
              <w:t>Total</w:t>
            </w:r>
          </w:p>
        </w:tc>
      </w:tr>
      <w:tr>
        <w:trPr>
          <w:trHeight w:val="244"/>
        </w:trPr>
        <w:tc>
          <w:tcPr>
            <w:tcW w:w="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34,223</w:t>
            </w:r>
          </w:p>
        </w:tc>
        <w:tc>
          <w:tcPr>
            <w:tcW w:w="100" w:type="dxa"/>
            <w:vAlign w:val="bottom"/>
          </w:tcPr>
          <w:p>
            <w:pPr>
              <w:spacing w:after="0"/>
              <w:rPr>
                <w:sz w:val="21"/>
                <w:szCs w:val="21"/>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23,612</w:t>
            </w:r>
          </w:p>
        </w:tc>
        <w:tc>
          <w:tcPr>
            <w:tcW w:w="80" w:type="dxa"/>
            <w:vAlign w:val="bottom"/>
          </w:tcPr>
          <w:p>
            <w:pPr>
              <w:spacing w:after="0"/>
              <w:rPr>
                <w:sz w:val="21"/>
                <w:szCs w:val="21"/>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36,284</w:t>
            </w:r>
          </w:p>
        </w:tc>
        <w:tc>
          <w:tcPr>
            <w:tcW w:w="100" w:type="dxa"/>
            <w:vAlign w:val="bottom"/>
          </w:tcPr>
          <w:p>
            <w:pPr>
              <w:spacing w:after="0"/>
              <w:rPr>
                <w:sz w:val="21"/>
                <w:szCs w:val="21"/>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94,119</w:t>
            </w:r>
          </w:p>
        </w:tc>
      </w:tr>
      <w:tr>
        <w:trPr>
          <w:trHeight w:val="540"/>
        </w:trPr>
        <w:tc>
          <w:tcPr>
            <w:tcW w:w="20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155,874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21,319</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63,447</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240,640</w:t>
            </w:r>
          </w:p>
        </w:tc>
      </w:tr>
      <w:tr>
        <w:trPr>
          <w:trHeight w:val="270"/>
        </w:trPr>
        <w:tc>
          <w:tcPr>
            <w:tcW w:w="20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(294)</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(263)</w:t>
            </w:r>
          </w:p>
        </w:tc>
      </w:tr>
      <w:tr>
        <w:trPr>
          <w:trHeight w:val="270"/>
        </w:trPr>
        <w:tc>
          <w:tcPr>
            <w:tcW w:w="20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(154,966)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(23,710)</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(54,183)</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(232,859)</w:t>
            </w:r>
          </w:p>
        </w:tc>
      </w:tr>
      <w:tr>
        <w:trPr>
          <w:trHeight w:val="23"/>
        </w:trPr>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1"/>
        </w:trPr>
        <w:tc>
          <w:tcPr>
            <w:tcW w:w="200" w:type="dxa"/>
            <w:vAlign w:val="bottom"/>
          </w:tcPr>
          <w:p>
            <w:pPr>
              <w:jc w:val="right"/>
              <w:ind w:right="13"/>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35,745</w:t>
            </w:r>
          </w:p>
        </w:tc>
        <w:tc>
          <w:tcPr>
            <w:tcW w:w="10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20,927</w:t>
            </w:r>
          </w:p>
        </w:tc>
        <w:tc>
          <w:tcPr>
            <w:tcW w:w="8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44,965</w:t>
            </w:r>
          </w:p>
        </w:tc>
        <w:tc>
          <w:tcPr>
            <w:tcW w:w="10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101,637</w:t>
            </w:r>
          </w:p>
        </w:tc>
      </w:tr>
      <w:tr>
        <w:trPr>
          <w:trHeight w:val="23"/>
        </w:trPr>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-1079500</wp:posOffset>
            </wp:positionV>
            <wp:extent cx="7132320" cy="1797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-728345</wp:posOffset>
            </wp:positionV>
            <wp:extent cx="71323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-385445</wp:posOffset>
            </wp:positionV>
            <wp:extent cx="71323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20" w:space="720"/>
            <w:col w:w="7200"/>
          </w:cols>
          <w:pgMar w:left="320" w:top="292" w:right="339" w:bottom="1440" w:gutter="0" w:footer="0" w:header="0"/>
          <w:type w:val="continuous"/>
        </w:sectPr>
      </w:pPr>
    </w:p>
    <w:p>
      <w:pPr>
        <w:spacing w:after="0" w:line="24" w:lineRule="exact"/>
        <w:rPr>
          <w:sz w:val="20"/>
          <w:szCs w:val="20"/>
          <w:color w:val="auto"/>
        </w:rPr>
      </w:pPr>
    </w:p>
    <w:p>
      <w:pPr>
        <w:jc w:val="both"/>
        <w:ind w:right="140" w:firstLine="648"/>
        <w:spacing w:after="0" w:line="287" w:lineRule="auto"/>
        <w:rPr>
          <w:sz w:val="20"/>
          <w:szCs w:val="20"/>
          <w:color w:val="auto"/>
        </w:rPr>
      </w:pPr>
      <w:r>
        <w:rPr>
          <w:rFonts w:ascii="Arial" w:cs="Arial" w:eastAsia="Arial" w:hAnsi="Arial"/>
          <w:sz w:val="18"/>
          <w:szCs w:val="18"/>
          <w:color w:val="auto"/>
        </w:rPr>
        <w:t>The allowance for chargebacks, discounts for prompt payment and other are recorded as a reduction of trade receivables, net, and the remaining reserves are recorded as rebates and fees due to customers in the accompanying Condensed Consolidated Balance Sheets.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Assets and Liabilities</w:t>
      </w:r>
    </w:p>
    <w:p>
      <w:pPr>
        <w:spacing w:after="0" w:line="171"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color w:val="auto"/>
        </w:rPr>
        <w:t>We receive payments from our collaboration partners based on billing schedules established in each contract. Amounts are recorded as accounts receivable when our right to consideration is unconditional. We may also recognize revenue in advance of the contractual billing schedule and such amounts are recorded as a contract asset when recognized. We may be required to defer recognition of revenue for upfront and milestone payments until we perform our obligations under these arrangements, and such amounts are recorded as deferred revenue upon receipt or when due. For those contracts that have multiple performance obligations, contract assets and liabilities are reported on a net basis at the contract level. There were no contract assets as of March 31, 2026 and December 31, 2025. Contract liabilities are primarily related to deferred revenues from Ipsen Pharma SAS (Ipsen) and Takeda Pharmaceutical Company Limited (Takeda).</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Contract liabilities were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gridSpan w:val="2"/>
          </w:tcPr>
          <w:p>
            <w:pPr>
              <w:ind w:left="100"/>
              <w:spacing w:after="0"/>
              <w:rPr>
                <w:sz w:val="20"/>
                <w:szCs w:val="20"/>
                <w:color w:val="auto"/>
              </w:rPr>
            </w:pPr>
            <w:r>
              <w:rPr>
                <w:rFonts w:ascii="Arial" w:cs="Arial" w:eastAsia="Arial" w:hAnsi="Arial"/>
                <w:sz w:val="16"/>
                <w:szCs w:val="16"/>
                <w:b w:val="1"/>
                <w:bCs w:val="1"/>
                <w:color w:val="auto"/>
              </w:rPr>
              <w:t>March 31, 2026</w:t>
            </w:r>
          </w:p>
        </w:tc>
        <w:tc>
          <w:tcPr>
            <w:tcW w:w="140" w:type="dxa"/>
            <w:vAlign w:val="bottom"/>
          </w:tcPr>
          <w:p>
            <w:pPr>
              <w:spacing w:after="0"/>
              <w:rPr>
                <w:sz w:val="19"/>
                <w:szCs w:val="19"/>
                <w:color w:val="auto"/>
              </w:rPr>
            </w:pPr>
          </w:p>
        </w:tc>
        <w:tc>
          <w:tcPr>
            <w:tcW w:w="1660" w:type="dxa"/>
            <w:vAlign w:val="bottom"/>
          </w:tcPr>
          <w:p>
            <w:pPr>
              <w:jc w:val="right"/>
              <w:ind w:right="92"/>
              <w:spacing w:after="0"/>
              <w:rPr>
                <w:sz w:val="20"/>
                <w:szCs w:val="20"/>
                <w:color w:val="auto"/>
              </w:rPr>
            </w:pPr>
            <w:r>
              <w:rPr>
                <w:rFonts w:ascii="Arial" w:cs="Arial" w:eastAsia="Arial" w:hAnsi="Arial"/>
                <w:sz w:val="16"/>
                <w:szCs w:val="16"/>
                <w:b w:val="1"/>
                <w:bCs w:val="1"/>
                <w:color w:val="auto"/>
              </w:rPr>
              <w:t>December 31, 2025</w:t>
            </w:r>
          </w:p>
        </w:tc>
      </w:tr>
      <w:tr>
        <w:trPr>
          <w:trHeight w:val="234"/>
        </w:trPr>
        <w:tc>
          <w:tcPr>
            <w:tcW w:w="7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liabilities:</w:t>
            </w: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5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66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70"/>
        </w:trPr>
        <w:tc>
          <w:tcPr>
            <w:tcW w:w="7520" w:type="dxa"/>
            <w:vAlign w:val="bottom"/>
          </w:tcPr>
          <w:p>
            <w:pPr>
              <w:ind w:left="220"/>
              <w:spacing w:after="0"/>
              <w:rPr>
                <w:sz w:val="20"/>
                <w:szCs w:val="20"/>
                <w:color w:val="auto"/>
              </w:rPr>
            </w:pPr>
            <w:r>
              <w:rPr>
                <w:rFonts w:ascii="Arial" w:cs="Arial" w:eastAsia="Arial" w:hAnsi="Arial"/>
                <w:sz w:val="18"/>
                <w:szCs w:val="18"/>
                <w:color w:val="auto"/>
              </w:rPr>
              <w:t>Current portion</w:t>
            </w:r>
            <w:r>
              <w:rPr>
                <w:rFonts w:ascii="Arial" w:cs="Arial" w:eastAsia="Arial" w:hAnsi="Arial"/>
                <w:sz w:val="23"/>
                <w:szCs w:val="23"/>
                <w:color w:val="auto"/>
                <w:vertAlign w:val="superscript"/>
              </w:rPr>
              <w:t>(1)</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1,154</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1,115</w:t>
            </w:r>
          </w:p>
        </w:tc>
      </w:tr>
      <w:tr>
        <w:trPr>
          <w:trHeight w:val="270"/>
        </w:trPr>
        <w:tc>
          <w:tcPr>
            <w:tcW w:w="7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Non-current portion</w:t>
            </w:r>
            <w:r>
              <w:rPr>
                <w:rFonts w:ascii="Arial" w:cs="Arial" w:eastAsia="Arial" w:hAnsi="Arial"/>
                <w:sz w:val="23"/>
                <w:szCs w:val="23"/>
                <w:color w:val="auto"/>
                <w:vertAlign w:val="superscript"/>
              </w:rPr>
              <w:t>(2)</w:t>
            </w:r>
          </w:p>
        </w:tc>
        <w:tc>
          <w:tcPr>
            <w:tcW w:w="24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5,164</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6,112</w:t>
            </w:r>
          </w:p>
        </w:tc>
      </w:tr>
      <w:tr>
        <w:trPr>
          <w:trHeight w:val="263"/>
        </w:trPr>
        <w:tc>
          <w:tcPr>
            <w:tcW w:w="7520" w:type="dxa"/>
            <w:vAlign w:val="bottom"/>
          </w:tcPr>
          <w:p>
            <w:pPr>
              <w:ind w:left="560"/>
              <w:spacing w:after="0"/>
              <w:rPr>
                <w:sz w:val="20"/>
                <w:szCs w:val="20"/>
                <w:color w:val="auto"/>
              </w:rPr>
            </w:pPr>
            <w:r>
              <w:rPr>
                <w:rFonts w:ascii="Arial" w:cs="Arial" w:eastAsia="Arial" w:hAnsi="Arial"/>
                <w:sz w:val="18"/>
                <w:szCs w:val="18"/>
                <w:color w:val="auto"/>
              </w:rPr>
              <w:t>Total contract liabilities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6,318</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7,227</w:t>
            </w:r>
          </w:p>
        </w:tc>
      </w:tr>
      <w:tr>
        <w:trPr>
          <w:trHeight w:val="20"/>
        </w:trPr>
        <w:tc>
          <w:tcPr>
            <w:tcW w:w="7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13" w:lineRule="exact"/>
        <w:rPr>
          <w:sz w:val="20"/>
          <w:szCs w:val="20"/>
          <w:color w:val="auto"/>
        </w:rPr>
      </w:pPr>
    </w:p>
    <w:p>
      <w:pPr>
        <w:ind w:left="160" w:hanging="152"/>
        <w:spacing w:after="0"/>
        <w:tabs>
          <w:tab w:leader="none" w:pos="16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Presented in other current liabilities in the accompanying Condensed Consolidated Balance Sheets.</w:t>
      </w:r>
    </w:p>
    <w:p>
      <w:pPr>
        <w:spacing w:after="0" w:line="3" w:lineRule="exact"/>
        <w:rPr>
          <w:rFonts w:ascii="Arial" w:cs="Arial" w:eastAsia="Arial" w:hAnsi="Arial"/>
          <w:sz w:val="18"/>
          <w:szCs w:val="18"/>
          <w:color w:val="auto"/>
          <w:vertAlign w:val="superscript"/>
        </w:rPr>
      </w:pPr>
    </w:p>
    <w:p>
      <w:pPr>
        <w:ind w:left="160" w:hanging="152"/>
        <w:spacing w:after="0" w:line="230" w:lineRule="auto"/>
        <w:tabs>
          <w:tab w:leader="none" w:pos="16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Presented in other non-current liabilities in the accompanying Condensed Consolidated Balance Sheets.</w:t>
      </w:r>
    </w:p>
    <w:p>
      <w:pPr>
        <w:spacing w:after="0" w:line="132" w:lineRule="exact"/>
        <w:rPr>
          <w:sz w:val="20"/>
          <w:szCs w:val="20"/>
          <w:color w:val="auto"/>
        </w:rPr>
      </w:pPr>
    </w:p>
    <w:p>
      <w:pPr>
        <w:ind w:right="60" w:firstLine="648"/>
        <w:spacing w:after="0" w:line="287" w:lineRule="auto"/>
        <w:rPr>
          <w:sz w:val="20"/>
          <w:szCs w:val="20"/>
          <w:color w:val="auto"/>
        </w:rPr>
      </w:pPr>
      <w:r>
        <w:rPr>
          <w:rFonts w:ascii="Arial" w:cs="Arial" w:eastAsia="Arial" w:hAnsi="Arial"/>
          <w:sz w:val="18"/>
          <w:szCs w:val="18"/>
          <w:color w:val="auto"/>
        </w:rPr>
        <w:t>During the three months ended March 31, 2026 and 2025, we recognized $1.1 million and $1.3 million, respectively, in revenues that were included in the beginning deferred revenues balance for those periods.</w:t>
      </w:r>
    </w:p>
    <w:p>
      <w:pPr>
        <w:spacing w:after="0" w:line="99" w:lineRule="exact"/>
        <w:rPr>
          <w:sz w:val="20"/>
          <w:szCs w:val="20"/>
          <w:color w:val="auto"/>
        </w:rPr>
      </w:pPr>
    </w:p>
    <w:p>
      <w:pPr>
        <w:ind w:right="200" w:firstLine="648"/>
        <w:spacing w:after="0" w:line="287" w:lineRule="auto"/>
        <w:rPr>
          <w:sz w:val="20"/>
          <w:szCs w:val="20"/>
          <w:color w:val="auto"/>
        </w:rPr>
      </w:pPr>
      <w:r>
        <w:rPr>
          <w:rFonts w:ascii="Arial" w:cs="Arial" w:eastAsia="Arial" w:hAnsi="Arial"/>
          <w:sz w:val="18"/>
          <w:szCs w:val="18"/>
          <w:color w:val="auto"/>
        </w:rPr>
        <w:t>During the three months ended March 31, 2026 and 2025, we recognized $59.9 million and $42.5 million, respectively, in revenues for performance obligations satisfied in previous periods. Such revenues were primarily related to</w:t>
      </w:r>
    </w:p>
    <w:p>
      <w:pPr>
        <w:sectPr>
          <w:pgSz w:w="11900" w:h="16838" w:orient="portrait"/>
          <w:cols w:equalWidth="0" w:num="1">
            <w:col w:w="11240"/>
          </w:cols>
          <w:pgMar w:left="320" w:top="29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color w:val="auto"/>
        </w:rPr>
        <w:t>royalty payments allocated to our license performance obligations for our collaborations with Ipsen and Takeda and the recognition of revenues for the achievement of milestones, including a commercial milestone achieved during the first quarter of 2026.</w:t>
      </w:r>
    </w:p>
    <w:p>
      <w:pPr>
        <w:spacing w:after="0" w:line="99" w:lineRule="exact"/>
        <w:rPr>
          <w:sz w:val="20"/>
          <w:szCs w:val="20"/>
          <w:color w:val="auto"/>
        </w:rPr>
      </w:pPr>
    </w:p>
    <w:p>
      <w:pPr>
        <w:ind w:right="100" w:firstLine="648"/>
        <w:spacing w:after="0" w:line="262" w:lineRule="auto"/>
        <w:rPr>
          <w:sz w:val="20"/>
          <w:szCs w:val="20"/>
          <w:color w:val="auto"/>
        </w:rPr>
      </w:pPr>
      <w:r>
        <w:rPr>
          <w:rFonts w:ascii="Arial" w:cs="Arial" w:eastAsia="Arial" w:hAnsi="Arial"/>
          <w:sz w:val="18"/>
          <w:szCs w:val="18"/>
          <w:color w:val="auto"/>
        </w:rPr>
        <w:t>As of March 31, 2026, $19.1 million of the combined transaction prices for our Ipsen and Takeda collaborations were allocated to research and development services performance obligations that had not yet been satisfied. See “Note 4. Collaboration Agreements and Business Development Activities” of the “Notes to Consolidated Financial Statements” included in Part II, Item 8 of our Fiscal 2025 Form 10-K for additional information about the expected timing to satisfy these performance obligations.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COLLABORATION AGREEMENTS AND BUSINESS DEVELOPMENT ACTIVITIES</w:t>
      </w:r>
    </w:p>
    <w:p>
      <w:pPr>
        <w:spacing w:after="0" w:line="17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have established multiple collaborations with leading biopharmaceutical companies for the commercialization and further development of our cabozantinib franchise. Additionally, we have made considerable progress under our existing research collaboration and in-licensing arrangements to further enhance our early-stage pipeline and expand our ability to discover, develop and commercialize novel therapies with the goal of providing new treatment options for cancer patients. Historically, we also entered into other collaborations with leading biopharmaceutical companies pursuant to which we out-licensed other compounds and programs in our portfolio.</w:t>
      </w:r>
    </w:p>
    <w:p>
      <w:pPr>
        <w:spacing w:after="0" w:line="125" w:lineRule="exact"/>
        <w:rPr>
          <w:sz w:val="20"/>
          <w:szCs w:val="20"/>
          <w:color w:val="auto"/>
        </w:rPr>
      </w:pPr>
    </w:p>
    <w:p>
      <w:pPr>
        <w:jc w:val="both"/>
        <w:ind w:right="120" w:firstLine="648"/>
        <w:spacing w:after="0" w:line="268" w:lineRule="auto"/>
        <w:rPr>
          <w:sz w:val="20"/>
          <w:szCs w:val="20"/>
          <w:color w:val="auto"/>
        </w:rPr>
      </w:pPr>
      <w:r>
        <w:rPr>
          <w:rFonts w:ascii="Arial" w:cs="Arial" w:eastAsia="Arial" w:hAnsi="Arial"/>
          <w:sz w:val="18"/>
          <w:szCs w:val="18"/>
          <w:color w:val="auto"/>
        </w:rPr>
        <w:t>See “Note 4. Collaboration Agreements and Business Development Activities” of the “Notes to Consolidated Financial Statements” included in Part II, Item 8 of our Fiscal 2025 Form 10-K for additional information on certain of our collaboration agreements and in-licensing arrangements.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Cabozantinib Commercial Collaborations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Ipsen Collaboration</w:t>
      </w:r>
    </w:p>
    <w:p>
      <w:pPr>
        <w:spacing w:after="0" w:line="16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February 2016, we entered into a collaboration and license agreement with Ipsen for the commercialization and further development of cabozantinib, which was subsequently amended and restated to, among other things, modify the amount of reimbursements we receive for costs associated with pharmacovigilance activities. The parties’ efforts are governed through a joint steering committee and appropriate subcommittees established to guide and oversee the collaboration’s operation and strategic direction; provided, however, that we retain final decision-making authority with respect to cabozantinib’s ongoing development.</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Revenues under the collaboration agreement with Ipsen were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520" w:type="dxa"/>
            <w:vAlign w:val="bottom"/>
          </w:tcPr>
          <w:p>
            <w:pPr>
              <w:spacing w:after="0"/>
              <w:rPr>
                <w:sz w:val="19"/>
                <w:szCs w:val="19"/>
                <w:color w:val="auto"/>
              </w:rPr>
            </w:pPr>
          </w:p>
        </w:tc>
        <w:tc>
          <w:tcPr>
            <w:tcW w:w="30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640" w:type="dxa"/>
            <w:vAlign w:val="bottom"/>
            <w:tcBorders>
              <w:bottom w:val="single" w:sz="8" w:color="auto"/>
            </w:tcBorders>
          </w:tcPr>
          <w:p>
            <w:pPr>
              <w:spacing w:after="0"/>
              <w:rPr>
                <w:sz w:val="19"/>
                <w:szCs w:val="19"/>
                <w:color w:val="auto"/>
              </w:rPr>
            </w:pPr>
          </w:p>
        </w:tc>
      </w:tr>
      <w:tr>
        <w:trPr>
          <w:trHeight w:val="237"/>
        </w:trPr>
        <w:tc>
          <w:tcPr>
            <w:tcW w:w="75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6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640" w:type="dxa"/>
            <w:vAlign w:val="bottom"/>
            <w:tcBorders>
              <w:bottom w:val="single" w:sz="8" w:color="auto"/>
            </w:tcBorders>
          </w:tcPr>
          <w:p>
            <w:pPr>
              <w:spacing w:after="0"/>
              <w:rPr>
                <w:sz w:val="20"/>
                <w:szCs w:val="20"/>
                <w:color w:val="auto"/>
              </w:rPr>
            </w:pPr>
          </w:p>
        </w:tc>
      </w:tr>
      <w:tr>
        <w:trPr>
          <w:trHeight w:val="247"/>
        </w:trPr>
        <w:tc>
          <w:tcPr>
            <w:tcW w:w="7520" w:type="dxa"/>
            <w:vAlign w:val="bottom"/>
            <w:tcBorders>
              <w:bottom w:val="single" w:sz="8" w:color="CCEEFF"/>
            </w:tcBorders>
            <w:shd w:val="clear" w:color="auto" w:fill="CCEEFF"/>
          </w:tcPr>
          <w:p>
            <w:pPr>
              <w:jc w:val="right"/>
              <w:ind w:right="5990"/>
              <w:spacing w:after="0"/>
              <w:rPr>
                <w:sz w:val="20"/>
                <w:szCs w:val="20"/>
                <w:color w:val="auto"/>
              </w:rPr>
            </w:pPr>
            <w:r>
              <w:rPr>
                <w:rFonts w:ascii="Arial" w:cs="Arial" w:eastAsia="Arial" w:hAnsi="Arial"/>
                <w:sz w:val="18"/>
                <w:szCs w:val="18"/>
                <w:color w:val="auto"/>
              </w:rPr>
              <w:t>License revenues</w:t>
            </w:r>
          </w:p>
        </w:tc>
        <w:tc>
          <w:tcPr>
            <w:tcW w:w="1140" w:type="dxa"/>
            <w:vAlign w:val="bottom"/>
            <w:tcBorders>
              <w:bottom w:val="single" w:sz="8" w:color="CCEEFF"/>
            </w:tcBorders>
            <w:shd w:val="clear" w:color="auto" w:fill="CCEEFF"/>
          </w:tcPr>
          <w:p>
            <w:pPr>
              <w:jc w:val="right"/>
              <w:ind w:right="935"/>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43,532</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73"/>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33,979</w:t>
            </w:r>
          </w:p>
        </w:tc>
      </w:tr>
      <w:tr>
        <w:trPr>
          <w:trHeight w:val="247"/>
        </w:trPr>
        <w:tc>
          <w:tcPr>
            <w:tcW w:w="7520" w:type="dxa"/>
            <w:vAlign w:val="bottom"/>
          </w:tcPr>
          <w:p>
            <w:pPr>
              <w:jc w:val="right"/>
              <w:ind w:right="4850"/>
              <w:spacing w:after="0"/>
              <w:rPr>
                <w:sz w:val="20"/>
                <w:szCs w:val="20"/>
                <w:color w:val="auto"/>
              </w:rPr>
            </w:pPr>
            <w:r>
              <w:rPr>
                <w:rFonts w:ascii="Arial" w:cs="Arial" w:eastAsia="Arial" w:hAnsi="Arial"/>
                <w:sz w:val="18"/>
                <w:szCs w:val="18"/>
                <w:color w:val="auto"/>
                <w:w w:val="99"/>
              </w:rPr>
              <w:t>Collaboration services revenues</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(3,964)</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(1,273)</w:t>
            </w:r>
          </w:p>
        </w:tc>
      </w:tr>
      <w:tr>
        <w:trPr>
          <w:trHeight w:val="23"/>
        </w:trPr>
        <w:tc>
          <w:tcPr>
            <w:tcW w:w="75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88"/>
        </w:trPr>
        <w:tc>
          <w:tcPr>
            <w:tcW w:w="7520" w:type="dxa"/>
            <w:vAlign w:val="bottom"/>
            <w:tcBorders>
              <w:bottom w:val="single" w:sz="8" w:color="CCEEFF"/>
            </w:tcBorders>
            <w:shd w:val="clear" w:color="auto" w:fill="CCEEFF"/>
          </w:tcPr>
          <w:p>
            <w:pPr>
              <w:jc w:val="right"/>
              <w:ind w:right="4830"/>
              <w:spacing w:after="0"/>
              <w:rPr>
                <w:sz w:val="20"/>
                <w:szCs w:val="20"/>
                <w:color w:val="auto"/>
              </w:rPr>
            </w:pPr>
            <w:r>
              <w:rPr>
                <w:rFonts w:ascii="Arial" w:cs="Arial" w:eastAsia="Arial" w:hAnsi="Arial"/>
                <w:sz w:val="18"/>
                <w:szCs w:val="18"/>
                <w:color w:val="auto"/>
              </w:rPr>
              <w:t>Total collaboration revenues</w:t>
            </w:r>
          </w:p>
        </w:tc>
        <w:tc>
          <w:tcPr>
            <w:tcW w:w="1140" w:type="dxa"/>
            <w:vAlign w:val="bottom"/>
            <w:tcBorders>
              <w:bottom w:val="single" w:sz="8" w:color="auto"/>
            </w:tcBorders>
            <w:shd w:val="clear" w:color="auto" w:fill="CCEEFF"/>
          </w:tcPr>
          <w:p>
            <w:pPr>
              <w:jc w:val="right"/>
              <w:ind w:right="935"/>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39,568</w:t>
            </w:r>
          </w:p>
        </w:tc>
        <w:tc>
          <w:tcPr>
            <w:tcW w:w="1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973"/>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32,706</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Takeda Collaboration</w:t>
      </w:r>
    </w:p>
    <w:p>
      <w:pPr>
        <w:spacing w:after="0" w:line="169"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color w:val="auto"/>
        </w:rPr>
        <w:t>In January 2017, we entered into a collaboration and license agreement with Takeda, which was subsequently amended, to, among other things, modify the amount of reimbursements we receive, for costs associated with our required pharmacovigilance activities and milestones we are eligible to receive, as well as modify certain cost-sharing obligations related to the Japan-specific development costs associated with certain studies for the commercialization and further development of cabozantinib and also grant Exelixis the right to develop and commercialize a competing product in Japan and modify certain costs sharing and milestone payments that may become payable if Takeda opts into certain studies. The operation and strategic direction of the parties’ collaboration is governed through a joint executive committee and appropriate subcommittees.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Revenues under the collaboration agreement with Takeda were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520" w:type="dxa"/>
            <w:vAlign w:val="bottom"/>
          </w:tcPr>
          <w:p>
            <w:pPr>
              <w:spacing w:after="0"/>
              <w:rPr>
                <w:sz w:val="19"/>
                <w:szCs w:val="19"/>
                <w:color w:val="auto"/>
              </w:rPr>
            </w:pPr>
          </w:p>
        </w:tc>
        <w:tc>
          <w:tcPr>
            <w:tcW w:w="31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600" w:type="dxa"/>
            <w:vAlign w:val="bottom"/>
            <w:tcBorders>
              <w:bottom w:val="single" w:sz="8" w:color="auto"/>
            </w:tcBorders>
          </w:tcPr>
          <w:p>
            <w:pPr>
              <w:spacing w:after="0"/>
              <w:rPr>
                <w:sz w:val="19"/>
                <w:szCs w:val="19"/>
                <w:color w:val="auto"/>
              </w:rPr>
            </w:pPr>
          </w:p>
        </w:tc>
      </w:tr>
      <w:tr>
        <w:trPr>
          <w:trHeight w:val="237"/>
        </w:trPr>
        <w:tc>
          <w:tcPr>
            <w:tcW w:w="75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6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ind w:right="33"/>
              <w:spacing w:after="0"/>
              <w:rPr>
                <w:sz w:val="20"/>
                <w:szCs w:val="20"/>
                <w:color w:val="auto"/>
              </w:rPr>
            </w:pPr>
            <w:r>
              <w:rPr>
                <w:rFonts w:ascii="Arial" w:cs="Arial" w:eastAsia="Arial" w:hAnsi="Arial"/>
                <w:sz w:val="16"/>
                <w:szCs w:val="16"/>
                <w:b w:val="1"/>
                <w:bCs w:val="1"/>
                <w:color w:val="auto"/>
              </w:rPr>
              <w:t>2025</w:t>
            </w:r>
          </w:p>
        </w:tc>
        <w:tc>
          <w:tcPr>
            <w:tcW w:w="600" w:type="dxa"/>
            <w:vAlign w:val="bottom"/>
            <w:tcBorders>
              <w:bottom w:val="single" w:sz="8" w:color="auto"/>
            </w:tcBorders>
          </w:tcPr>
          <w:p>
            <w:pPr>
              <w:spacing w:after="0"/>
              <w:rPr>
                <w:sz w:val="20"/>
                <w:szCs w:val="20"/>
                <w:color w:val="auto"/>
              </w:rPr>
            </w:pPr>
          </w:p>
        </w:tc>
      </w:tr>
      <w:tr>
        <w:trPr>
          <w:trHeight w:val="247"/>
        </w:trPr>
        <w:tc>
          <w:tcPr>
            <w:tcW w:w="7520" w:type="dxa"/>
            <w:vAlign w:val="bottom"/>
            <w:tcBorders>
              <w:bottom w:val="single" w:sz="8" w:color="CCEEFF"/>
            </w:tcBorders>
            <w:shd w:val="clear" w:color="auto" w:fill="CCEEFF"/>
          </w:tcPr>
          <w:p>
            <w:pPr>
              <w:jc w:val="right"/>
              <w:ind w:right="5990"/>
              <w:spacing w:after="0"/>
              <w:rPr>
                <w:sz w:val="20"/>
                <w:szCs w:val="20"/>
                <w:color w:val="auto"/>
              </w:rPr>
            </w:pPr>
            <w:r>
              <w:rPr>
                <w:rFonts w:ascii="Arial" w:cs="Arial" w:eastAsia="Arial" w:hAnsi="Arial"/>
                <w:sz w:val="18"/>
                <w:szCs w:val="18"/>
                <w:color w:val="auto"/>
              </w:rPr>
              <w:t>License revenues</w:t>
            </w:r>
          </w:p>
        </w:tc>
        <w:tc>
          <w:tcPr>
            <w:tcW w:w="1140" w:type="dxa"/>
            <w:vAlign w:val="bottom"/>
            <w:tcBorders>
              <w:bottom w:val="single" w:sz="8" w:color="CCEEFF"/>
            </w:tcBorders>
            <w:shd w:val="clear" w:color="auto" w:fill="CCEEFF"/>
          </w:tcPr>
          <w:p>
            <w:pPr>
              <w:jc w:val="right"/>
              <w:ind w:right="935"/>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7,653</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13"/>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2,759</w:t>
            </w:r>
          </w:p>
        </w:tc>
      </w:tr>
      <w:tr>
        <w:trPr>
          <w:trHeight w:val="247"/>
        </w:trPr>
        <w:tc>
          <w:tcPr>
            <w:tcW w:w="7520" w:type="dxa"/>
            <w:vAlign w:val="bottom"/>
          </w:tcPr>
          <w:p>
            <w:pPr>
              <w:jc w:val="right"/>
              <w:ind w:right="4850"/>
              <w:spacing w:after="0"/>
              <w:rPr>
                <w:sz w:val="20"/>
                <w:szCs w:val="20"/>
                <w:color w:val="auto"/>
              </w:rPr>
            </w:pPr>
            <w:r>
              <w:rPr>
                <w:rFonts w:ascii="Arial" w:cs="Arial" w:eastAsia="Arial" w:hAnsi="Arial"/>
                <w:sz w:val="18"/>
                <w:szCs w:val="18"/>
                <w:color w:val="auto"/>
                <w:w w:val="99"/>
              </w:rPr>
              <w:t>Collaboration services revenues</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2,852</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957</w:t>
            </w:r>
          </w:p>
        </w:tc>
      </w:tr>
      <w:tr>
        <w:trPr>
          <w:trHeight w:val="23"/>
        </w:trPr>
        <w:tc>
          <w:tcPr>
            <w:tcW w:w="75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88"/>
        </w:trPr>
        <w:tc>
          <w:tcPr>
            <w:tcW w:w="7520" w:type="dxa"/>
            <w:vAlign w:val="bottom"/>
            <w:tcBorders>
              <w:bottom w:val="single" w:sz="8" w:color="CCEEFF"/>
            </w:tcBorders>
            <w:shd w:val="clear" w:color="auto" w:fill="CCEEFF"/>
          </w:tcPr>
          <w:p>
            <w:pPr>
              <w:jc w:val="right"/>
              <w:ind w:right="4830"/>
              <w:spacing w:after="0"/>
              <w:rPr>
                <w:sz w:val="20"/>
                <w:szCs w:val="20"/>
                <w:color w:val="auto"/>
              </w:rPr>
            </w:pPr>
            <w:r>
              <w:rPr>
                <w:rFonts w:ascii="Arial" w:cs="Arial" w:eastAsia="Arial" w:hAnsi="Arial"/>
                <w:sz w:val="18"/>
                <w:szCs w:val="18"/>
                <w:color w:val="auto"/>
              </w:rPr>
              <w:t>Total collaboration revenues</w:t>
            </w:r>
          </w:p>
        </w:tc>
        <w:tc>
          <w:tcPr>
            <w:tcW w:w="1140" w:type="dxa"/>
            <w:vAlign w:val="bottom"/>
            <w:tcBorders>
              <w:bottom w:val="single" w:sz="8" w:color="auto"/>
            </w:tcBorders>
            <w:shd w:val="clear" w:color="auto" w:fill="CCEEFF"/>
          </w:tcPr>
          <w:p>
            <w:pPr>
              <w:jc w:val="right"/>
              <w:ind w:right="935"/>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10,505</w:t>
            </w:r>
          </w:p>
        </w:tc>
        <w:tc>
          <w:tcPr>
            <w:tcW w:w="1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1013"/>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3,716</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During the three months ended March 31, 2026, we recognized $7.7 million in revenues in connection with an $8.0 million commercial milestone payment from Takeda, which was earned upon their achievement of $300.0 million of cumulative net sales of cabozantinib in Japan. Of the revenues recognized from this milestone, $5.3 million was allocated to license revenues and $2.4 million was allocated to collaboration services revenues. Upon the achievement of this commercial milestone, the tiered royalty rate on annual net sales reset to 20% and will reset each calendar year, thereafter.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Royalty Pharma</w:t>
      </w:r>
    </w:p>
    <w:p>
      <w:pPr>
        <w:spacing w:after="0" w:line="169"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In October 2002, we established a product development and commercialization collaboration agreement with GlaxoSmithKline (now GSK plc, or GSK), that required us to pay a 3% royalty to GSK on the worldwide net sales of any product containing cabozantinib sold by us and our collaboration partners. Effective January 1, 2021, Royalty Pharma plc (Royalty Pharma) acquired from GSK all rights, title and interest in royalties on net product sales containing cabozantinib for non-U.S. markets for the full term of the royalty and for the U.S. market through September 2026, after which time U.S. royalties will revert back to GSK. Royalty fees earned by Royalty Pharma in connection with our sales of cabozantinib are included in cost of goods sold and as a reduction of collaboration services revenues for sales by our collaboration partners. Such royalty fees earned by Royalty Pharma were $22.9 million and $20.4 million during the three months ended March 31, 2026 and 2025, respectively.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Collaborations, In-Licensing Arrangements and Other Business Development Activities</w:t>
      </w:r>
    </w:p>
    <w:p>
      <w:pPr>
        <w:spacing w:after="0" w:line="17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enter into collaborative arrangements with other pharmaceutical or biotechnology companies to develop and commercialize oncology assets or other intellectual property. Our research collaborations and in-licensing arrangements are intended to enhance our early-stage pipeline and expand our ability to discover, develop and commercialize novel therapies with the goal of providing new treatment options for cancer patients. Our research collaborations, in-licensing arrangements and other strategic transactions generally include upfront payments for the purchase or in-licensing of intellectual property, development, regulatory and commercial milestone payments and royalty payments, in each case contingent upon the occurrence of certain future events linked to the success of the asset in development. Certain of our research collaborations provide us exclusive options that give us the right to license programs or acquire the intellectual property developed under the research collaborations for further discovery and development. When we decide to exercise the options, we are required to pay an exercise fee and then assume the responsibilities for all subsequent development, manufacturing and commercialization.</w:t>
      </w:r>
    </w:p>
    <w:p>
      <w:pPr>
        <w:spacing w:after="0" w:line="127" w:lineRule="exact"/>
        <w:rPr>
          <w:sz w:val="20"/>
          <w:szCs w:val="20"/>
          <w:color w:val="auto"/>
        </w:rPr>
      </w:pPr>
    </w:p>
    <w:p>
      <w:pPr>
        <w:jc w:val="both"/>
        <w:ind w:right="40" w:firstLine="648"/>
        <w:spacing w:after="0" w:line="268" w:lineRule="auto"/>
        <w:rPr>
          <w:sz w:val="20"/>
          <w:szCs w:val="20"/>
          <w:color w:val="auto"/>
        </w:rPr>
      </w:pPr>
      <w:r>
        <w:rPr>
          <w:rFonts w:ascii="Arial" w:cs="Arial" w:eastAsia="Arial" w:hAnsi="Arial"/>
          <w:sz w:val="18"/>
          <w:szCs w:val="18"/>
          <w:color w:val="auto"/>
        </w:rPr>
        <w:t>During the three months ended March 31, 2026 and 2025, we recognized $7.9 million and $5.3 million, respectively, within research and development expenses on the Condensed Consolidated Statements of Income, primarily related to development milestone payments for the cost of intellectual property that have not yet achieved technological feasibility, research and development funding and other fees.</w:t>
      </w:r>
    </w:p>
    <w:p>
      <w:pPr>
        <w:spacing w:after="0" w:line="117" w:lineRule="exact"/>
        <w:rPr>
          <w:sz w:val="20"/>
          <w:szCs w:val="20"/>
          <w:color w:val="auto"/>
        </w:rPr>
      </w:pPr>
    </w:p>
    <w:p>
      <w:pPr>
        <w:ind w:right="60" w:firstLine="648"/>
        <w:spacing w:after="0" w:line="262" w:lineRule="auto"/>
        <w:rPr>
          <w:sz w:val="20"/>
          <w:szCs w:val="20"/>
          <w:color w:val="auto"/>
        </w:rPr>
      </w:pPr>
      <w:r>
        <w:rPr>
          <w:rFonts w:ascii="Arial" w:cs="Arial" w:eastAsia="Arial" w:hAnsi="Arial"/>
          <w:sz w:val="18"/>
          <w:szCs w:val="18"/>
          <w:color w:val="auto"/>
        </w:rPr>
        <w:t>As of March 31, 2026, in conjunction with the active collaborative in-licensing arrangements and asset purchase agreements, we are subject to potential future development milestone payments of up to $441.5 million, regulatory milestone payments of up to $ 278.0 million and commercial milestone payments of up to $2.5 billion, each in the aggregate per product or target, as well as royalties on future net sales of products.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CASH AND MARKETABLE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Marketable Securities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cash equivalents and marketable securities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5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6"/>
                <w:szCs w:val="16"/>
                <w:b w:val="1"/>
                <w:bCs w:val="1"/>
                <w:color w:val="auto"/>
              </w:rPr>
              <w:t>March 31, 2026</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r>
      <w:tr>
        <w:trPr>
          <w:trHeight w:val="199"/>
        </w:trPr>
        <w:tc>
          <w:tcPr>
            <w:tcW w:w="5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Gross</w:t>
            </w:r>
          </w:p>
        </w:tc>
        <w:tc>
          <w:tcPr>
            <w:tcW w:w="200" w:type="dxa"/>
            <w:vAlign w:val="bottom"/>
          </w:tcPr>
          <w:p>
            <w:pPr>
              <w:spacing w:after="0"/>
              <w:rPr>
                <w:sz w:val="17"/>
                <w:szCs w:val="17"/>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Gross</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5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Unrealized</w:t>
            </w:r>
          </w:p>
        </w:tc>
        <w:tc>
          <w:tcPr>
            <w:tcW w:w="20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Unrealized</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26"/>
        </w:trPr>
        <w:tc>
          <w:tcPr>
            <w:tcW w:w="5560" w:type="dxa"/>
            <w:vAlign w:val="bottom"/>
          </w:tcPr>
          <w:p>
            <w:pPr>
              <w:spacing w:after="0"/>
              <w:rPr>
                <w:sz w:val="19"/>
                <w:szCs w:val="19"/>
                <w:color w:val="auto"/>
              </w:rPr>
            </w:pPr>
          </w:p>
        </w:tc>
        <w:tc>
          <w:tcPr>
            <w:tcW w:w="1440" w:type="dxa"/>
            <w:vAlign w:val="bottom"/>
            <w:gridSpan w:val="3"/>
          </w:tcPr>
          <w:p>
            <w:pPr>
              <w:ind w:left="80"/>
              <w:spacing w:after="0"/>
              <w:rPr>
                <w:sz w:val="20"/>
                <w:szCs w:val="20"/>
                <w:color w:val="auto"/>
              </w:rPr>
            </w:pPr>
            <w:r>
              <w:rPr>
                <w:rFonts w:ascii="Arial" w:cs="Arial" w:eastAsia="Arial" w:hAnsi="Arial"/>
                <w:sz w:val="16"/>
                <w:szCs w:val="16"/>
                <w:b w:val="1"/>
                <w:bCs w:val="1"/>
                <w:color w:val="auto"/>
              </w:rPr>
              <w:t>Amortized Cost</w:t>
            </w:r>
          </w:p>
        </w:tc>
        <w:tc>
          <w:tcPr>
            <w:tcW w:w="200" w:type="dxa"/>
            <w:vAlign w:val="bottom"/>
          </w:tcPr>
          <w:p>
            <w:pPr>
              <w:spacing w:after="0"/>
              <w:rPr>
                <w:sz w:val="19"/>
                <w:szCs w:val="19"/>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8"/>
              </w:rPr>
              <w:t>Gains</w:t>
            </w:r>
          </w:p>
        </w:tc>
        <w:tc>
          <w:tcPr>
            <w:tcW w:w="200" w:type="dxa"/>
            <w:vAlign w:val="bottom"/>
          </w:tcPr>
          <w:p>
            <w:pPr>
              <w:spacing w:after="0"/>
              <w:rPr>
                <w:sz w:val="19"/>
                <w:szCs w:val="19"/>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Losses</w:t>
            </w:r>
          </w:p>
        </w:tc>
        <w:tc>
          <w:tcPr>
            <w:tcW w:w="220" w:type="dxa"/>
            <w:vAlign w:val="bottom"/>
          </w:tcPr>
          <w:p>
            <w:pPr>
              <w:spacing w:after="0"/>
              <w:rPr>
                <w:sz w:val="19"/>
                <w:szCs w:val="19"/>
                <w:color w:val="auto"/>
              </w:rPr>
            </w:pPr>
          </w:p>
        </w:tc>
        <w:tc>
          <w:tcPr>
            <w:tcW w:w="1140" w:type="dxa"/>
            <w:vAlign w:val="bottom"/>
          </w:tcPr>
          <w:p>
            <w:pPr>
              <w:jc w:val="right"/>
              <w:ind w:right="211"/>
              <w:spacing w:after="0"/>
              <w:rPr>
                <w:sz w:val="20"/>
                <w:szCs w:val="20"/>
                <w:color w:val="auto"/>
              </w:rPr>
            </w:pPr>
            <w:r>
              <w:rPr>
                <w:rFonts w:ascii="Arial" w:cs="Arial" w:eastAsia="Arial" w:hAnsi="Arial"/>
                <w:sz w:val="16"/>
                <w:szCs w:val="16"/>
                <w:b w:val="1"/>
                <w:bCs w:val="1"/>
                <w:color w:val="auto"/>
              </w:rPr>
              <w:t>Fair Value</w:t>
            </w:r>
          </w:p>
        </w:tc>
      </w:tr>
      <w:tr>
        <w:trPr>
          <w:trHeight w:val="234"/>
        </w:trPr>
        <w:tc>
          <w:tcPr>
            <w:tcW w:w="5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 securities available-for-sale:</w:t>
            </w: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7"/>
        </w:trPr>
        <w:tc>
          <w:tcPr>
            <w:tcW w:w="5560" w:type="dxa"/>
            <w:vAlign w:val="bottom"/>
          </w:tcPr>
          <w:p>
            <w:pPr>
              <w:ind w:left="220"/>
              <w:spacing w:after="0"/>
              <w:rPr>
                <w:sz w:val="20"/>
                <w:szCs w:val="20"/>
                <w:color w:val="auto"/>
              </w:rPr>
            </w:pPr>
            <w:r>
              <w:rPr>
                <w:rFonts w:ascii="Arial" w:cs="Arial" w:eastAsia="Arial" w:hAnsi="Arial"/>
                <w:sz w:val="18"/>
                <w:szCs w:val="18"/>
                <w:color w:val="auto"/>
              </w:rPr>
              <w:t>Commercial paper</w:t>
            </w:r>
          </w:p>
        </w:tc>
        <w:tc>
          <w:tcPr>
            <w:tcW w:w="300" w:type="dxa"/>
            <w:vAlign w:val="bottom"/>
          </w:tcPr>
          <w:p>
            <w:pPr>
              <w:jc w:val="right"/>
              <w:ind w:right="93"/>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207,972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207,972</w:t>
            </w:r>
          </w:p>
        </w:tc>
      </w:tr>
      <w:tr>
        <w:trPr>
          <w:trHeight w:val="23"/>
        </w:trPr>
        <w:tc>
          <w:tcPr>
            <w:tcW w:w="5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Corporate bonds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889,953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1,546</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(1,681)</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889,818</w:t>
            </w:r>
          </w:p>
        </w:tc>
      </w:tr>
      <w:tr>
        <w:trPr>
          <w:trHeight w:val="247"/>
        </w:trPr>
        <w:tc>
          <w:tcPr>
            <w:tcW w:w="5560" w:type="dxa"/>
            <w:vAlign w:val="bottom"/>
          </w:tcPr>
          <w:p>
            <w:pPr>
              <w:ind w:left="220"/>
              <w:spacing w:after="0"/>
              <w:rPr>
                <w:sz w:val="20"/>
                <w:szCs w:val="20"/>
                <w:color w:val="auto"/>
              </w:rPr>
            </w:pPr>
            <w:r>
              <w:rPr>
                <w:rFonts w:ascii="Arial" w:cs="Arial" w:eastAsia="Arial" w:hAnsi="Arial"/>
                <w:sz w:val="18"/>
                <w:szCs w:val="18"/>
                <w:color w:val="auto"/>
              </w:rPr>
              <w:t>U.S. Treasury and government-sponsored enterprises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159,499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159,434</w:t>
            </w:r>
          </w:p>
        </w:tc>
      </w:tr>
      <w:tr>
        <w:trPr>
          <w:trHeight w:val="23"/>
        </w:trPr>
        <w:tc>
          <w:tcPr>
            <w:tcW w:w="5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Municipal bonds</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8,714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8,725</w:t>
            </w:r>
          </w:p>
        </w:tc>
      </w:tr>
      <w:tr>
        <w:trPr>
          <w:trHeight w:val="241"/>
        </w:trPr>
        <w:tc>
          <w:tcPr>
            <w:tcW w:w="5560" w:type="dxa"/>
            <w:vAlign w:val="bottom"/>
          </w:tcPr>
          <w:p>
            <w:pPr>
              <w:ind w:left="480"/>
              <w:spacing w:after="0"/>
              <w:rPr>
                <w:sz w:val="20"/>
                <w:szCs w:val="20"/>
                <w:color w:val="auto"/>
              </w:rPr>
            </w:pPr>
            <w:r>
              <w:rPr>
                <w:rFonts w:ascii="Arial" w:cs="Arial" w:eastAsia="Arial" w:hAnsi="Arial"/>
                <w:sz w:val="18"/>
                <w:szCs w:val="18"/>
                <w:color w:val="auto"/>
              </w:rPr>
              <w:t>Total debt securities available-for-sale</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1,266,138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1,769</w:t>
            </w: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(1,958)</w:t>
            </w: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1,265,949</w:t>
            </w:r>
          </w:p>
        </w:tc>
      </w:tr>
      <w:tr>
        <w:trPr>
          <w:trHeight w:val="23"/>
        </w:trPr>
        <w:tc>
          <w:tcPr>
            <w:tcW w:w="5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97,686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97,686</w:t>
            </w:r>
          </w:p>
        </w:tc>
      </w:tr>
      <w:tr>
        <w:trPr>
          <w:trHeight w:val="247"/>
        </w:trPr>
        <w:tc>
          <w:tcPr>
            <w:tcW w:w="5560" w:type="dxa"/>
            <w:vAlign w:val="bottom"/>
          </w:tcPr>
          <w:p>
            <w:pPr>
              <w:ind w:left="20"/>
              <w:spacing w:after="0"/>
              <w:rPr>
                <w:sz w:val="20"/>
                <w:szCs w:val="20"/>
                <w:color w:val="auto"/>
              </w:rPr>
            </w:pPr>
            <w:r>
              <w:rPr>
                <w:rFonts w:ascii="Arial" w:cs="Arial" w:eastAsia="Arial" w:hAnsi="Arial"/>
                <w:sz w:val="18"/>
                <w:szCs w:val="18"/>
                <w:color w:val="auto"/>
              </w:rPr>
              <w:t>Certificates of deposit</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62,716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62,716</w:t>
            </w:r>
          </w:p>
        </w:tc>
      </w:tr>
      <w:tr>
        <w:trPr>
          <w:trHeight w:val="23"/>
        </w:trPr>
        <w:tc>
          <w:tcPr>
            <w:tcW w:w="5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8"/>
        </w:trPr>
        <w:tc>
          <w:tcPr>
            <w:tcW w:w="55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cash, cash equivalents and marketable securities</w:t>
            </w:r>
          </w:p>
        </w:tc>
        <w:tc>
          <w:tcPr>
            <w:tcW w:w="3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1,426,540</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1,769</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(1,958)</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1,426,351</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497"/>
        </w:trPr>
        <w:tc>
          <w:tcPr>
            <w:tcW w:w="55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6"/>
                <w:szCs w:val="16"/>
                <w:b w:val="1"/>
                <w:bCs w:val="1"/>
                <w:color w:val="auto"/>
              </w:rPr>
              <w:t>December 31, 2025</w:t>
            </w: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99"/>
        </w:trPr>
        <w:tc>
          <w:tcPr>
            <w:tcW w:w="5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Gross</w:t>
            </w:r>
          </w:p>
        </w:tc>
        <w:tc>
          <w:tcPr>
            <w:tcW w:w="200" w:type="dxa"/>
            <w:vAlign w:val="bottom"/>
          </w:tcPr>
          <w:p>
            <w:pPr>
              <w:spacing w:after="0"/>
              <w:rPr>
                <w:sz w:val="17"/>
                <w:szCs w:val="17"/>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Gross</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89"/>
        </w:trPr>
        <w:tc>
          <w:tcPr>
            <w:tcW w:w="5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Unrealized</w:t>
            </w:r>
          </w:p>
        </w:tc>
        <w:tc>
          <w:tcPr>
            <w:tcW w:w="20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Unrealized</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40"/>
        </w:trPr>
        <w:tc>
          <w:tcPr>
            <w:tcW w:w="5560" w:type="dxa"/>
            <w:vAlign w:val="bottom"/>
          </w:tcPr>
          <w:p>
            <w:pPr>
              <w:spacing w:after="0"/>
              <w:rPr>
                <w:sz w:val="20"/>
                <w:szCs w:val="20"/>
                <w:color w:val="auto"/>
              </w:rPr>
            </w:pPr>
          </w:p>
        </w:tc>
        <w:tc>
          <w:tcPr>
            <w:tcW w:w="1440" w:type="dxa"/>
            <w:vAlign w:val="bottom"/>
            <w:gridSpan w:val="3"/>
          </w:tcPr>
          <w:p>
            <w:pPr>
              <w:ind w:left="80"/>
              <w:spacing w:after="0"/>
              <w:rPr>
                <w:sz w:val="20"/>
                <w:szCs w:val="20"/>
                <w:color w:val="auto"/>
              </w:rPr>
            </w:pPr>
            <w:r>
              <w:rPr>
                <w:rFonts w:ascii="Arial" w:cs="Arial" w:eastAsia="Arial" w:hAnsi="Arial"/>
                <w:sz w:val="16"/>
                <w:szCs w:val="16"/>
                <w:b w:val="1"/>
                <w:bCs w:val="1"/>
                <w:color w:val="auto"/>
              </w:rPr>
              <w:t>Amortized Cost</w:t>
            </w:r>
          </w:p>
        </w:tc>
        <w:tc>
          <w:tcPr>
            <w:tcW w:w="200" w:type="dxa"/>
            <w:vAlign w:val="bottom"/>
          </w:tcPr>
          <w:p>
            <w:pPr>
              <w:spacing w:after="0"/>
              <w:rPr>
                <w:sz w:val="20"/>
                <w:szCs w:val="20"/>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8"/>
              </w:rPr>
              <w:t>Gains</w:t>
            </w:r>
          </w:p>
        </w:tc>
        <w:tc>
          <w:tcPr>
            <w:tcW w:w="200" w:type="dxa"/>
            <w:vAlign w:val="bottom"/>
          </w:tcPr>
          <w:p>
            <w:pPr>
              <w:spacing w:after="0"/>
              <w:rPr>
                <w:sz w:val="20"/>
                <w:szCs w:val="20"/>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Losses</w:t>
            </w:r>
          </w:p>
        </w:tc>
        <w:tc>
          <w:tcPr>
            <w:tcW w:w="220" w:type="dxa"/>
            <w:vAlign w:val="bottom"/>
          </w:tcPr>
          <w:p>
            <w:pPr>
              <w:spacing w:after="0"/>
              <w:rPr>
                <w:sz w:val="20"/>
                <w:szCs w:val="20"/>
                <w:color w:val="auto"/>
              </w:rPr>
            </w:pPr>
          </w:p>
        </w:tc>
        <w:tc>
          <w:tcPr>
            <w:tcW w:w="1140" w:type="dxa"/>
            <w:vAlign w:val="bottom"/>
          </w:tcPr>
          <w:p>
            <w:pPr>
              <w:jc w:val="right"/>
              <w:ind w:right="211"/>
              <w:spacing w:after="0"/>
              <w:rPr>
                <w:sz w:val="20"/>
                <w:szCs w:val="20"/>
                <w:color w:val="auto"/>
              </w:rPr>
            </w:pPr>
            <w:r>
              <w:rPr>
                <w:rFonts w:ascii="Arial" w:cs="Arial" w:eastAsia="Arial" w:hAnsi="Arial"/>
                <w:sz w:val="16"/>
                <w:szCs w:val="16"/>
                <w:b w:val="1"/>
                <w:bCs w:val="1"/>
                <w:color w:val="auto"/>
              </w:rPr>
              <w:t>Fair Value</w:t>
            </w:r>
          </w:p>
        </w:tc>
      </w:tr>
      <w:tr>
        <w:trPr>
          <w:trHeight w:val="234"/>
        </w:trPr>
        <w:tc>
          <w:tcPr>
            <w:tcW w:w="5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 securities available-for-sale:</w:t>
            </w: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7"/>
        </w:trPr>
        <w:tc>
          <w:tcPr>
            <w:tcW w:w="5560" w:type="dxa"/>
            <w:vAlign w:val="bottom"/>
          </w:tcPr>
          <w:p>
            <w:pPr>
              <w:ind w:left="220"/>
              <w:spacing w:after="0"/>
              <w:rPr>
                <w:sz w:val="20"/>
                <w:szCs w:val="20"/>
                <w:color w:val="auto"/>
              </w:rPr>
            </w:pPr>
            <w:r>
              <w:rPr>
                <w:rFonts w:ascii="Arial" w:cs="Arial" w:eastAsia="Arial" w:hAnsi="Arial"/>
                <w:sz w:val="18"/>
                <w:szCs w:val="18"/>
                <w:color w:val="auto"/>
              </w:rPr>
              <w:t>Commercial paper</w:t>
            </w:r>
          </w:p>
        </w:tc>
        <w:tc>
          <w:tcPr>
            <w:tcW w:w="300" w:type="dxa"/>
            <w:vAlign w:val="bottom"/>
          </w:tcPr>
          <w:p>
            <w:pPr>
              <w:jc w:val="right"/>
              <w:ind w:right="93"/>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241,439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241,439</w:t>
            </w:r>
          </w:p>
        </w:tc>
      </w:tr>
      <w:tr>
        <w:trPr>
          <w:trHeight w:val="23"/>
        </w:trPr>
        <w:tc>
          <w:tcPr>
            <w:tcW w:w="5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Corporate bonds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882,390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4,138</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886,500</w:t>
            </w:r>
          </w:p>
        </w:tc>
      </w:tr>
      <w:tr>
        <w:trPr>
          <w:trHeight w:val="247"/>
        </w:trPr>
        <w:tc>
          <w:tcPr>
            <w:tcW w:w="5560" w:type="dxa"/>
            <w:vAlign w:val="bottom"/>
          </w:tcPr>
          <w:p>
            <w:pPr>
              <w:ind w:left="220"/>
              <w:spacing w:after="0"/>
              <w:rPr>
                <w:sz w:val="20"/>
                <w:szCs w:val="20"/>
                <w:color w:val="auto"/>
              </w:rPr>
            </w:pPr>
            <w:r>
              <w:rPr>
                <w:rFonts w:ascii="Arial" w:cs="Arial" w:eastAsia="Arial" w:hAnsi="Arial"/>
                <w:sz w:val="18"/>
                <w:szCs w:val="18"/>
                <w:color w:val="auto"/>
              </w:rPr>
              <w:t>U.S. Treasury and government-sponsored enterprises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154,449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155,139</w:t>
            </w:r>
          </w:p>
        </w:tc>
      </w:tr>
      <w:tr>
        <w:trPr>
          <w:trHeight w:val="23"/>
        </w:trPr>
        <w:tc>
          <w:tcPr>
            <w:tcW w:w="5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Municipal bonds</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8,715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8,764</w:t>
            </w:r>
          </w:p>
        </w:tc>
      </w:tr>
      <w:tr>
        <w:trPr>
          <w:trHeight w:val="240"/>
        </w:trPr>
        <w:tc>
          <w:tcPr>
            <w:tcW w:w="5560" w:type="dxa"/>
            <w:vAlign w:val="bottom"/>
          </w:tcPr>
          <w:p>
            <w:pPr>
              <w:ind w:left="480"/>
              <w:spacing w:after="0"/>
              <w:rPr>
                <w:sz w:val="20"/>
                <w:szCs w:val="20"/>
                <w:color w:val="auto"/>
              </w:rPr>
            </w:pPr>
            <w:r>
              <w:rPr>
                <w:rFonts w:ascii="Arial" w:cs="Arial" w:eastAsia="Arial" w:hAnsi="Arial"/>
                <w:sz w:val="18"/>
                <w:szCs w:val="18"/>
                <w:color w:val="auto"/>
              </w:rPr>
              <w:t>Total debt securities available-for-sale</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1,286,993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4,887</w:t>
            </w: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1,291,842</w:t>
            </w:r>
          </w:p>
        </w:tc>
      </w:tr>
      <w:tr>
        <w:trPr>
          <w:trHeight w:val="23"/>
        </w:trPr>
        <w:tc>
          <w:tcPr>
            <w:tcW w:w="5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47"/>
        </w:trPr>
        <w:tc>
          <w:tcPr>
            <w:tcW w:w="556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304,352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304,352</w:t>
            </w:r>
          </w:p>
        </w:tc>
      </w:tr>
      <w:tr>
        <w:trPr>
          <w:trHeight w:val="23"/>
        </w:trPr>
        <w:tc>
          <w:tcPr>
            <w:tcW w:w="5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Certificates of deposit</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66,388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66,388</w:t>
            </w:r>
          </w:p>
        </w:tc>
      </w:tr>
      <w:tr>
        <w:trPr>
          <w:trHeight w:val="263"/>
        </w:trPr>
        <w:tc>
          <w:tcPr>
            <w:tcW w:w="5560" w:type="dxa"/>
            <w:vAlign w:val="bottom"/>
          </w:tcPr>
          <w:p>
            <w:pPr>
              <w:ind w:left="480"/>
              <w:spacing w:after="0"/>
              <w:rPr>
                <w:sz w:val="20"/>
                <w:szCs w:val="20"/>
                <w:color w:val="auto"/>
              </w:rPr>
            </w:pPr>
            <w:r>
              <w:rPr>
                <w:rFonts w:ascii="Arial" w:cs="Arial" w:eastAsia="Arial" w:hAnsi="Arial"/>
                <w:sz w:val="18"/>
                <w:szCs w:val="18"/>
                <w:color w:val="auto"/>
              </w:rPr>
              <w:t>Total cash, cash equivalents and marketable securities</w:t>
            </w:r>
          </w:p>
        </w:tc>
        <w:tc>
          <w:tcPr>
            <w:tcW w:w="30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1,657,845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4,887</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1,662,694</w:t>
            </w:r>
          </w:p>
        </w:tc>
      </w:tr>
      <w:tr>
        <w:trPr>
          <w:trHeight w:val="21"/>
        </w:trPr>
        <w:tc>
          <w:tcPr>
            <w:tcW w:w="5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8"/>
          <w:szCs w:val="18"/>
          <w:color w:val="auto"/>
        </w:rPr>
        <w:t>Interest receivable was $10.5 million and $12.4 million as of March 31, 2026 and December 31, 2025, respectively, and is included in prepaid expenses and other current assets in the accompanying Condensed Consolidated Balance Sheets.</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Realized gains and losses on the sales of marketable securities were immaterial during the three months ended March 31, 2026 and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2025.</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20" w:firstLine="648"/>
        <w:spacing w:after="0" w:line="268" w:lineRule="auto"/>
        <w:rPr>
          <w:sz w:val="20"/>
          <w:szCs w:val="20"/>
          <w:color w:val="auto"/>
        </w:rPr>
      </w:pPr>
      <w:r>
        <w:rPr>
          <w:rFonts w:ascii="Arial" w:cs="Arial" w:eastAsia="Arial" w:hAnsi="Arial"/>
          <w:sz w:val="18"/>
          <w:szCs w:val="18"/>
          <w:color w:val="auto"/>
        </w:rPr>
        <w:t>We manage credit risk associated with our marketable securities portfolio through our investment policy, which limits purchases to high-quality issuers and the amount of our portfolio that can be invested in a single issuer. The fair value and gross unrealized losses on debt securities available-for-sale in an unrealized loss position were as follows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7"/>
          </w:tcPr>
          <w:p>
            <w:pPr>
              <w:jc w:val="center"/>
              <w:ind w:right="700"/>
              <w:spacing w:after="0"/>
              <w:rPr>
                <w:sz w:val="20"/>
                <w:szCs w:val="20"/>
                <w:color w:val="auto"/>
              </w:rPr>
            </w:pPr>
            <w:r>
              <w:rPr>
                <w:rFonts w:ascii="Arial" w:cs="Arial" w:eastAsia="Arial" w:hAnsi="Arial"/>
                <w:sz w:val="16"/>
                <w:szCs w:val="16"/>
                <w:b w:val="1"/>
                <w:bCs w:val="1"/>
                <w:color w:val="auto"/>
              </w:rPr>
              <w:t>March 31, 2026</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r>
      <w:tr>
        <w:trPr>
          <w:trHeight w:val="199"/>
        </w:trPr>
        <w:tc>
          <w:tcPr>
            <w:tcW w:w="3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80" w:type="dxa"/>
            <w:vAlign w:val="bottom"/>
            <w:gridSpan w:val="7"/>
          </w:tcPr>
          <w:p>
            <w:pPr>
              <w:jc w:val="center"/>
              <w:ind w:right="240"/>
              <w:spacing w:after="0"/>
              <w:rPr>
                <w:sz w:val="20"/>
                <w:szCs w:val="20"/>
                <w:color w:val="auto"/>
              </w:rPr>
            </w:pPr>
            <w:r>
              <w:rPr>
                <w:rFonts w:ascii="Arial" w:cs="Arial" w:eastAsia="Arial" w:hAnsi="Arial"/>
                <w:sz w:val="16"/>
                <w:szCs w:val="16"/>
                <w:b w:val="1"/>
                <w:bCs w:val="1"/>
                <w:color w:val="auto"/>
              </w:rPr>
              <w:t>In an Unrealized Loss Position</w:t>
            </w:r>
          </w:p>
        </w:tc>
        <w:tc>
          <w:tcPr>
            <w:tcW w:w="20" w:type="dxa"/>
            <w:vAlign w:val="bottom"/>
          </w:tcPr>
          <w:p>
            <w:pPr>
              <w:spacing w:after="0"/>
              <w:rPr>
                <w:sz w:val="17"/>
                <w:szCs w:val="17"/>
                <w:color w:val="auto"/>
              </w:rPr>
            </w:pPr>
          </w:p>
        </w:tc>
        <w:tc>
          <w:tcPr>
            <w:tcW w:w="2840" w:type="dxa"/>
            <w:vAlign w:val="bottom"/>
            <w:gridSpan w:val="8"/>
          </w:tcPr>
          <w:p>
            <w:pPr>
              <w:jc w:val="center"/>
              <w:ind w:right="100"/>
              <w:spacing w:after="0"/>
              <w:rPr>
                <w:sz w:val="20"/>
                <w:szCs w:val="20"/>
                <w:color w:val="auto"/>
              </w:rPr>
            </w:pPr>
            <w:r>
              <w:rPr>
                <w:rFonts w:ascii="Arial" w:cs="Arial" w:eastAsia="Arial" w:hAnsi="Arial"/>
                <w:sz w:val="16"/>
                <w:szCs w:val="16"/>
                <w:b w:val="1"/>
                <w:bCs w:val="1"/>
                <w:color w:val="auto"/>
              </w:rPr>
              <w:t>In an Unrealized Loss Position 12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40"/>
        </w:trPr>
        <w:tc>
          <w:tcPr>
            <w:tcW w:w="3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6"/>
          </w:tcPr>
          <w:p>
            <w:pPr>
              <w:jc w:val="center"/>
              <w:ind w:right="74"/>
              <w:spacing w:after="0"/>
              <w:rPr>
                <w:sz w:val="20"/>
                <w:szCs w:val="20"/>
                <w:color w:val="auto"/>
              </w:rPr>
            </w:pPr>
            <w:r>
              <w:rPr>
                <w:rFonts w:ascii="Arial" w:cs="Arial" w:eastAsia="Arial" w:hAnsi="Arial"/>
                <w:sz w:val="16"/>
                <w:szCs w:val="16"/>
                <w:b w:val="1"/>
                <w:bCs w:val="1"/>
                <w:color w:val="auto"/>
              </w:rPr>
              <w:t>Less than 12 Months</w:t>
            </w: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jc w:val="center"/>
              <w:ind w:right="134"/>
              <w:spacing w:after="0"/>
              <w:rPr>
                <w:sz w:val="20"/>
                <w:szCs w:val="20"/>
                <w:color w:val="auto"/>
              </w:rPr>
            </w:pPr>
            <w:r>
              <w:rPr>
                <w:rFonts w:ascii="Arial" w:cs="Arial" w:eastAsia="Arial" w:hAnsi="Arial"/>
                <w:sz w:val="16"/>
                <w:szCs w:val="16"/>
                <w:b w:val="1"/>
                <w:bCs w:val="1"/>
                <w:color w:val="auto"/>
              </w:rPr>
              <w:t>Months or Greater</w:t>
            </w:r>
          </w:p>
        </w:tc>
        <w:tc>
          <w:tcPr>
            <w:tcW w:w="100" w:type="dxa"/>
            <w:vAlign w:val="bottom"/>
            <w:gridSpan w:val="2"/>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Total</w:t>
            </w:r>
          </w:p>
        </w:tc>
        <w:tc>
          <w:tcPr>
            <w:tcW w:w="980" w:type="dxa"/>
            <w:vAlign w:val="bottom"/>
            <w:tcBorders>
              <w:bottom w:val="single" w:sz="8" w:color="auto"/>
            </w:tcBorders>
          </w:tcPr>
          <w:p>
            <w:pPr>
              <w:spacing w:after="0"/>
              <w:rPr>
                <w:sz w:val="20"/>
                <w:szCs w:val="20"/>
                <w:color w:val="auto"/>
              </w:rPr>
            </w:pPr>
          </w:p>
        </w:tc>
      </w:tr>
      <w:tr>
        <w:trPr>
          <w:trHeight w:val="199"/>
        </w:trPr>
        <w:tc>
          <w:tcPr>
            <w:tcW w:w="3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Gross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99"/>
              </w:rPr>
              <w:t>Gross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center"/>
              <w:ind w:right="74"/>
              <w:spacing w:after="0"/>
              <w:rPr>
                <w:sz w:val="20"/>
                <w:szCs w:val="20"/>
                <w:color w:val="auto"/>
              </w:rPr>
            </w:pPr>
            <w:r>
              <w:rPr>
                <w:rFonts w:ascii="Arial" w:cs="Arial" w:eastAsia="Arial" w:hAnsi="Arial"/>
                <w:sz w:val="16"/>
                <w:szCs w:val="16"/>
                <w:b w:val="1"/>
                <w:bCs w:val="1"/>
                <w:color w:val="auto"/>
                <w:w w:val="99"/>
              </w:rPr>
              <w:t>Gross</w:t>
            </w:r>
          </w:p>
        </w:tc>
      </w:tr>
      <w:tr>
        <w:trPr>
          <w:trHeight w:val="203"/>
        </w:trPr>
        <w:tc>
          <w:tcPr>
            <w:tcW w:w="3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Unrealized</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rPr>
              <w:t>Unrealized</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center"/>
              <w:ind w:right="74"/>
              <w:spacing w:after="0"/>
              <w:rPr>
                <w:sz w:val="20"/>
                <w:szCs w:val="20"/>
                <w:color w:val="auto"/>
              </w:rPr>
            </w:pPr>
            <w:r>
              <w:rPr>
                <w:rFonts w:ascii="Arial" w:cs="Arial" w:eastAsia="Arial" w:hAnsi="Arial"/>
                <w:sz w:val="16"/>
                <w:szCs w:val="16"/>
                <w:b w:val="1"/>
                <w:bCs w:val="1"/>
                <w:color w:val="auto"/>
              </w:rPr>
              <w:t>Unrealized</w:t>
            </w:r>
          </w:p>
        </w:tc>
      </w:tr>
      <w:tr>
        <w:trPr>
          <w:trHeight w:val="226"/>
        </w:trPr>
        <w:tc>
          <w:tcPr>
            <w:tcW w:w="3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3"/>
          </w:tcPr>
          <w:p>
            <w:pPr>
              <w:ind w:left="120"/>
              <w:spacing w:after="0"/>
              <w:rPr>
                <w:sz w:val="20"/>
                <w:szCs w:val="20"/>
                <w:color w:val="auto"/>
              </w:rPr>
            </w:pPr>
            <w:r>
              <w:rPr>
                <w:rFonts w:ascii="Arial" w:cs="Arial" w:eastAsia="Arial" w:hAnsi="Arial"/>
                <w:sz w:val="16"/>
                <w:szCs w:val="16"/>
                <w:b w:val="1"/>
                <w:bCs w:val="1"/>
                <w:color w:val="auto"/>
              </w:rPr>
              <w:t>Fair Value</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Losses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ind w:left="60"/>
              <w:spacing w:after="0"/>
              <w:rPr>
                <w:sz w:val="20"/>
                <w:szCs w:val="20"/>
                <w:color w:val="auto"/>
              </w:rPr>
            </w:pPr>
            <w:r>
              <w:rPr>
                <w:rFonts w:ascii="Arial" w:cs="Arial" w:eastAsia="Arial" w:hAnsi="Arial"/>
                <w:sz w:val="16"/>
                <w:szCs w:val="16"/>
                <w:b w:val="1"/>
                <w:bCs w:val="1"/>
                <w:color w:val="auto"/>
              </w:rPr>
              <w:t>Fair Value</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rPr>
              <w:t>Losses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ind w:left="20"/>
              <w:spacing w:after="0"/>
              <w:rPr>
                <w:sz w:val="20"/>
                <w:szCs w:val="20"/>
                <w:color w:val="auto"/>
              </w:rPr>
            </w:pPr>
            <w:r>
              <w:rPr>
                <w:rFonts w:ascii="Arial" w:cs="Arial" w:eastAsia="Arial" w:hAnsi="Arial"/>
                <w:sz w:val="16"/>
                <w:szCs w:val="16"/>
                <w:b w:val="1"/>
                <w:bCs w:val="1"/>
                <w:color w:val="auto"/>
              </w:rPr>
              <w:t>Fair Value</w:t>
            </w:r>
          </w:p>
        </w:tc>
        <w:tc>
          <w:tcPr>
            <w:tcW w:w="160" w:type="dxa"/>
            <w:vAlign w:val="bottom"/>
          </w:tcPr>
          <w:p>
            <w:pPr>
              <w:spacing w:after="0"/>
              <w:rPr>
                <w:sz w:val="19"/>
                <w:szCs w:val="19"/>
                <w:color w:val="auto"/>
              </w:rPr>
            </w:pPr>
          </w:p>
        </w:tc>
        <w:tc>
          <w:tcPr>
            <w:tcW w:w="980" w:type="dxa"/>
            <w:vAlign w:val="bottom"/>
          </w:tcPr>
          <w:p>
            <w:pPr>
              <w:jc w:val="center"/>
              <w:ind w:right="54"/>
              <w:spacing w:after="0"/>
              <w:rPr>
                <w:sz w:val="20"/>
                <w:szCs w:val="20"/>
                <w:color w:val="auto"/>
              </w:rPr>
            </w:pPr>
            <w:r>
              <w:rPr>
                <w:rFonts w:ascii="Arial" w:cs="Arial" w:eastAsia="Arial" w:hAnsi="Arial"/>
                <w:sz w:val="16"/>
                <w:szCs w:val="16"/>
                <w:b w:val="1"/>
                <w:bCs w:val="1"/>
                <w:color w:val="auto"/>
              </w:rPr>
              <w:t>Losses</w:t>
            </w:r>
          </w:p>
        </w:tc>
      </w:tr>
      <w:tr>
        <w:trPr>
          <w:trHeight w:val="247"/>
        </w:trPr>
        <w:tc>
          <w:tcPr>
            <w:tcW w:w="3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160" w:type="dxa"/>
            <w:vAlign w:val="bottom"/>
            <w:tcBorders>
              <w:top w:val="single" w:sz="8" w:color="auto"/>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406,431</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409,406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(1,681)</w:t>
            </w:r>
          </w:p>
        </w:tc>
      </w:tr>
      <w:tr>
        <w:trPr>
          <w:trHeight w:val="224"/>
        </w:trPr>
        <w:tc>
          <w:tcPr>
            <w:tcW w:w="3180" w:type="dxa"/>
            <w:vAlign w:val="bottom"/>
          </w:tcPr>
          <w:p>
            <w:pPr>
              <w:ind w:left="20"/>
              <w:spacing w:after="0"/>
              <w:rPr>
                <w:sz w:val="20"/>
                <w:szCs w:val="20"/>
                <w:color w:val="auto"/>
              </w:rPr>
            </w:pPr>
            <w:r>
              <w:rPr>
                <w:rFonts w:ascii="Arial" w:cs="Arial" w:eastAsia="Arial" w:hAnsi="Arial"/>
                <w:sz w:val="18"/>
                <w:szCs w:val="18"/>
                <w:color w:val="auto"/>
              </w:rPr>
              <w:t>U.S. Treasury and government-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9"/>
        </w:trPr>
        <w:tc>
          <w:tcPr>
            <w:tcW w:w="3180" w:type="dxa"/>
            <w:vAlign w:val="bottom"/>
          </w:tcPr>
          <w:p>
            <w:pPr>
              <w:ind w:left="20"/>
              <w:spacing w:after="0"/>
              <w:rPr>
                <w:sz w:val="20"/>
                <w:szCs w:val="20"/>
                <w:color w:val="auto"/>
              </w:rPr>
            </w:pPr>
            <w:r>
              <w:rPr>
                <w:rFonts w:ascii="Arial" w:cs="Arial" w:eastAsia="Arial" w:hAnsi="Arial"/>
                <w:sz w:val="18"/>
                <w:szCs w:val="18"/>
                <w:color w:val="auto"/>
              </w:rPr>
              <w:t>sponsored enterprises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70,556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4,965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75,521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(274)</w:t>
            </w:r>
          </w:p>
        </w:tc>
      </w:tr>
      <w:tr>
        <w:trPr>
          <w:trHeight w:val="23"/>
        </w:trPr>
        <w:tc>
          <w:tcPr>
            <w:tcW w:w="3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Municipal Bonds</w:t>
            </w: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3,407</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3,407</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63"/>
        </w:trPr>
        <w:tc>
          <w:tcPr>
            <w:tcW w:w="3180" w:type="dxa"/>
            <w:vAlign w:val="bottom"/>
          </w:tcPr>
          <w:p>
            <w:pPr>
              <w:ind w:left="2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480,394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(1,920)</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gridSpan w:val="2"/>
          </w:tcPr>
          <w:p>
            <w:pPr>
              <w:jc w:val="right"/>
              <w:ind w:right="19"/>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7,940</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488,334</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(1,958)</w:t>
            </w:r>
          </w:p>
        </w:tc>
      </w:tr>
      <w:tr>
        <w:trPr>
          <w:trHeight w:val="21"/>
        </w:trPr>
        <w:tc>
          <w:tcPr>
            <w:tcW w:w="3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516"/>
        </w:trPr>
        <w:tc>
          <w:tcPr>
            <w:tcW w:w="3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7"/>
          </w:tcPr>
          <w:p>
            <w:pPr>
              <w:jc w:val="center"/>
              <w:ind w:right="700"/>
              <w:spacing w:after="0"/>
              <w:rPr>
                <w:sz w:val="20"/>
                <w:szCs w:val="20"/>
                <w:color w:val="auto"/>
              </w:rPr>
            </w:pPr>
            <w:r>
              <w:rPr>
                <w:rFonts w:ascii="Arial" w:cs="Arial" w:eastAsia="Arial" w:hAnsi="Arial"/>
                <w:sz w:val="16"/>
                <w:szCs w:val="16"/>
                <w:b w:val="1"/>
                <w:bCs w:val="1"/>
                <w:color w:val="auto"/>
              </w:rPr>
              <w:t>December 31, 2025</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199"/>
        </w:trPr>
        <w:tc>
          <w:tcPr>
            <w:tcW w:w="3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80" w:type="dxa"/>
            <w:vAlign w:val="bottom"/>
            <w:gridSpan w:val="7"/>
          </w:tcPr>
          <w:p>
            <w:pPr>
              <w:jc w:val="center"/>
              <w:ind w:right="220"/>
              <w:spacing w:after="0"/>
              <w:rPr>
                <w:sz w:val="20"/>
                <w:szCs w:val="20"/>
                <w:color w:val="auto"/>
              </w:rPr>
            </w:pPr>
            <w:r>
              <w:rPr>
                <w:rFonts w:ascii="Arial" w:cs="Arial" w:eastAsia="Arial" w:hAnsi="Arial"/>
                <w:sz w:val="16"/>
                <w:szCs w:val="16"/>
                <w:b w:val="1"/>
                <w:bCs w:val="1"/>
                <w:color w:val="auto"/>
              </w:rPr>
              <w:t>In an Unrealized Loss Position</w:t>
            </w:r>
          </w:p>
        </w:tc>
        <w:tc>
          <w:tcPr>
            <w:tcW w:w="20" w:type="dxa"/>
            <w:vAlign w:val="bottom"/>
          </w:tcPr>
          <w:p>
            <w:pPr>
              <w:spacing w:after="0"/>
              <w:rPr>
                <w:sz w:val="17"/>
                <w:szCs w:val="17"/>
                <w:color w:val="auto"/>
              </w:rPr>
            </w:pPr>
          </w:p>
        </w:tc>
        <w:tc>
          <w:tcPr>
            <w:tcW w:w="2840" w:type="dxa"/>
            <w:vAlign w:val="bottom"/>
            <w:gridSpan w:val="8"/>
          </w:tcPr>
          <w:p>
            <w:pPr>
              <w:jc w:val="center"/>
              <w:ind w:right="80"/>
              <w:spacing w:after="0"/>
              <w:rPr>
                <w:sz w:val="20"/>
                <w:szCs w:val="20"/>
                <w:color w:val="auto"/>
              </w:rPr>
            </w:pPr>
            <w:r>
              <w:rPr>
                <w:rFonts w:ascii="Arial" w:cs="Arial" w:eastAsia="Arial" w:hAnsi="Arial"/>
                <w:sz w:val="16"/>
                <w:szCs w:val="16"/>
                <w:b w:val="1"/>
                <w:bCs w:val="1"/>
                <w:color w:val="auto"/>
              </w:rPr>
              <w:t>In an Unrealized Loss Position 12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40"/>
        </w:trPr>
        <w:tc>
          <w:tcPr>
            <w:tcW w:w="3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6"/>
          </w:tcPr>
          <w:p>
            <w:pPr>
              <w:jc w:val="center"/>
              <w:ind w:right="54"/>
              <w:spacing w:after="0"/>
              <w:rPr>
                <w:sz w:val="20"/>
                <w:szCs w:val="20"/>
                <w:color w:val="auto"/>
              </w:rPr>
            </w:pPr>
            <w:r>
              <w:rPr>
                <w:rFonts w:ascii="Arial" w:cs="Arial" w:eastAsia="Arial" w:hAnsi="Arial"/>
                <w:sz w:val="16"/>
                <w:szCs w:val="16"/>
                <w:b w:val="1"/>
                <w:bCs w:val="1"/>
                <w:color w:val="auto"/>
              </w:rPr>
              <w:t>Less than 12 Months</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6"/>
          </w:tcPr>
          <w:p>
            <w:pPr>
              <w:jc w:val="center"/>
              <w:ind w:right="200"/>
              <w:spacing w:after="0"/>
              <w:rPr>
                <w:sz w:val="20"/>
                <w:szCs w:val="20"/>
                <w:color w:val="auto"/>
              </w:rPr>
            </w:pPr>
            <w:r>
              <w:rPr>
                <w:rFonts w:ascii="Arial" w:cs="Arial" w:eastAsia="Arial" w:hAnsi="Arial"/>
                <w:sz w:val="16"/>
                <w:szCs w:val="16"/>
                <w:b w:val="1"/>
                <w:bCs w:val="1"/>
                <w:color w:val="auto"/>
              </w:rPr>
              <w:t>Months or Greater</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Total</w:t>
            </w:r>
          </w:p>
        </w:tc>
        <w:tc>
          <w:tcPr>
            <w:tcW w:w="980" w:type="dxa"/>
            <w:vAlign w:val="bottom"/>
            <w:tcBorders>
              <w:bottom w:val="single" w:sz="8" w:color="auto"/>
            </w:tcBorders>
          </w:tcPr>
          <w:p>
            <w:pPr>
              <w:spacing w:after="0"/>
              <w:rPr>
                <w:sz w:val="20"/>
                <w:szCs w:val="20"/>
                <w:color w:val="auto"/>
              </w:rPr>
            </w:pPr>
          </w:p>
        </w:tc>
      </w:tr>
      <w:tr>
        <w:trPr>
          <w:trHeight w:val="199"/>
        </w:trPr>
        <w:tc>
          <w:tcPr>
            <w:tcW w:w="3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Gross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9"/>
              </w:rPr>
              <w:t>Gross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center"/>
              <w:ind w:right="74"/>
              <w:spacing w:after="0"/>
              <w:rPr>
                <w:sz w:val="20"/>
                <w:szCs w:val="20"/>
                <w:color w:val="auto"/>
              </w:rPr>
            </w:pPr>
            <w:r>
              <w:rPr>
                <w:rFonts w:ascii="Arial" w:cs="Arial" w:eastAsia="Arial" w:hAnsi="Arial"/>
                <w:sz w:val="16"/>
                <w:szCs w:val="16"/>
                <w:b w:val="1"/>
                <w:bCs w:val="1"/>
                <w:color w:val="auto"/>
                <w:w w:val="99"/>
              </w:rPr>
              <w:t>Gross</w:t>
            </w:r>
          </w:p>
        </w:tc>
      </w:tr>
      <w:tr>
        <w:trPr>
          <w:trHeight w:val="189"/>
        </w:trPr>
        <w:tc>
          <w:tcPr>
            <w:tcW w:w="3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Unrealized</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rPr>
              <w:t>Unrealized</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center"/>
              <w:ind w:right="74"/>
              <w:spacing w:after="0"/>
              <w:rPr>
                <w:sz w:val="20"/>
                <w:szCs w:val="20"/>
                <w:color w:val="auto"/>
              </w:rPr>
            </w:pPr>
            <w:r>
              <w:rPr>
                <w:rFonts w:ascii="Arial" w:cs="Arial" w:eastAsia="Arial" w:hAnsi="Arial"/>
                <w:sz w:val="16"/>
                <w:szCs w:val="16"/>
                <w:b w:val="1"/>
                <w:bCs w:val="1"/>
                <w:color w:val="auto"/>
              </w:rPr>
              <w:t>Unrealized</w:t>
            </w:r>
          </w:p>
        </w:tc>
      </w:tr>
      <w:tr>
        <w:trPr>
          <w:trHeight w:val="240"/>
        </w:trPr>
        <w:tc>
          <w:tcPr>
            <w:tcW w:w="31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Fair Value</w:t>
            </w: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94"/>
              <w:spacing w:after="0"/>
              <w:rPr>
                <w:sz w:val="20"/>
                <w:szCs w:val="20"/>
                <w:color w:val="auto"/>
              </w:rPr>
            </w:pPr>
            <w:r>
              <w:rPr>
                <w:rFonts w:ascii="Arial" w:cs="Arial" w:eastAsia="Arial" w:hAnsi="Arial"/>
                <w:sz w:val="16"/>
                <w:szCs w:val="16"/>
                <w:b w:val="1"/>
                <w:bCs w:val="1"/>
                <w:color w:val="auto"/>
              </w:rPr>
              <w:t>Losses</w:t>
            </w: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94"/>
              <w:spacing w:after="0"/>
              <w:rPr>
                <w:sz w:val="20"/>
                <w:szCs w:val="20"/>
                <w:color w:val="auto"/>
              </w:rPr>
            </w:pPr>
            <w:r>
              <w:rPr>
                <w:rFonts w:ascii="Arial" w:cs="Arial" w:eastAsia="Arial" w:hAnsi="Arial"/>
                <w:sz w:val="16"/>
                <w:szCs w:val="16"/>
                <w:b w:val="1"/>
                <w:bCs w:val="1"/>
                <w:color w:val="auto"/>
              </w:rPr>
              <w:t>Fair Value</w:t>
            </w: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rPr>
              <w:t>Losses</w:t>
            </w: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Fair Value</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4"/>
              <w:spacing w:after="0"/>
              <w:rPr>
                <w:sz w:val="20"/>
                <w:szCs w:val="20"/>
                <w:color w:val="auto"/>
              </w:rPr>
            </w:pPr>
            <w:r>
              <w:rPr>
                <w:rFonts w:ascii="Arial" w:cs="Arial" w:eastAsia="Arial" w:hAnsi="Arial"/>
                <w:sz w:val="16"/>
                <w:szCs w:val="16"/>
                <w:b w:val="1"/>
                <w:bCs w:val="1"/>
                <w:color w:val="auto"/>
              </w:rPr>
              <w:t>Losses</w:t>
            </w:r>
          </w:p>
        </w:tc>
      </w:tr>
      <w:tr>
        <w:trPr>
          <w:trHeight w:val="247"/>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46,851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5,104</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51,955</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24"/>
        </w:trPr>
        <w:tc>
          <w:tcPr>
            <w:tcW w:w="3180" w:type="dxa"/>
            <w:vAlign w:val="bottom"/>
          </w:tcPr>
          <w:p>
            <w:pPr>
              <w:ind w:left="20"/>
              <w:spacing w:after="0"/>
              <w:rPr>
                <w:sz w:val="20"/>
                <w:szCs w:val="20"/>
                <w:color w:val="auto"/>
              </w:rPr>
            </w:pPr>
            <w:r>
              <w:rPr>
                <w:rFonts w:ascii="Arial" w:cs="Arial" w:eastAsia="Arial" w:hAnsi="Arial"/>
                <w:sz w:val="18"/>
                <w:szCs w:val="18"/>
                <w:color w:val="auto"/>
              </w:rPr>
              <w:t>U.S. Treasury and government-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9"/>
        </w:trPr>
        <w:tc>
          <w:tcPr>
            <w:tcW w:w="3180" w:type="dxa"/>
            <w:vAlign w:val="bottom"/>
          </w:tcPr>
          <w:p>
            <w:pPr>
              <w:ind w:left="20"/>
              <w:spacing w:after="0"/>
              <w:rPr>
                <w:sz w:val="20"/>
                <w:szCs w:val="20"/>
                <w:color w:val="auto"/>
              </w:rPr>
            </w:pPr>
            <w:r>
              <w:rPr>
                <w:rFonts w:ascii="Arial" w:cs="Arial" w:eastAsia="Arial" w:hAnsi="Arial"/>
                <w:sz w:val="18"/>
                <w:szCs w:val="18"/>
                <w:color w:val="auto"/>
              </w:rPr>
              <w:t>sponsored enterprises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11,350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4,991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16,341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
        </w:trPr>
        <w:tc>
          <w:tcPr>
            <w:tcW w:w="31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83"/>
        </w:trPr>
        <w:tc>
          <w:tcPr>
            <w:tcW w:w="3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58,201</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24"/>
                <w:szCs w:val="24"/>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10,095</w:t>
            </w:r>
          </w:p>
        </w:tc>
        <w:tc>
          <w:tcPr>
            <w:tcW w:w="80" w:type="dxa"/>
            <w:vAlign w:val="bottom"/>
            <w:shd w:val="clear" w:color="auto" w:fill="CCEEFF"/>
          </w:tcPr>
          <w:p>
            <w:pPr>
              <w:spacing w:after="0"/>
              <w:rPr>
                <w:sz w:val="24"/>
                <w:szCs w:val="24"/>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68,296</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There were 230 and 35 debt securities available-for-sale in an unrealized loss position as of March 31, 2026 and December 31, 2025, respectively. During the three months ended March 31, 2026, we did not record an allowance for credit losses or other impairment charges on our marketable securities. Based upon our quarterly impairment review, we determined that the unrealized losses were not attributed to credit risk but were primarily associated with changes in interest rates and market liquidity. Based on the scheduled maturities of our marketable securities, we determined that it was more likely than not that we will hold these marketable securities for a period of time sufficient for a recovery of our cost basis.</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values of debt securities available-for-sale by contractual maturity were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gridSpan w:val="2"/>
          </w:tcPr>
          <w:p>
            <w:pPr>
              <w:ind w:left="100"/>
              <w:spacing w:after="0"/>
              <w:rPr>
                <w:sz w:val="20"/>
                <w:szCs w:val="20"/>
                <w:color w:val="auto"/>
              </w:rPr>
            </w:pPr>
            <w:r>
              <w:rPr>
                <w:rFonts w:ascii="Arial" w:cs="Arial" w:eastAsia="Arial" w:hAnsi="Arial"/>
                <w:sz w:val="16"/>
                <w:szCs w:val="16"/>
                <w:b w:val="1"/>
                <w:bCs w:val="1"/>
                <w:color w:val="auto"/>
              </w:rPr>
              <w:t>March 31, 2026</w:t>
            </w:r>
          </w:p>
        </w:tc>
        <w:tc>
          <w:tcPr>
            <w:tcW w:w="140" w:type="dxa"/>
            <w:vAlign w:val="bottom"/>
          </w:tcPr>
          <w:p>
            <w:pPr>
              <w:spacing w:after="0"/>
              <w:rPr>
                <w:sz w:val="19"/>
                <w:szCs w:val="19"/>
                <w:color w:val="auto"/>
              </w:rPr>
            </w:pPr>
          </w:p>
        </w:tc>
        <w:tc>
          <w:tcPr>
            <w:tcW w:w="1660" w:type="dxa"/>
            <w:vAlign w:val="bottom"/>
          </w:tcPr>
          <w:p>
            <w:pPr>
              <w:jc w:val="right"/>
              <w:ind w:right="92"/>
              <w:spacing w:after="0"/>
              <w:rPr>
                <w:sz w:val="20"/>
                <w:szCs w:val="20"/>
                <w:color w:val="auto"/>
              </w:rPr>
            </w:pPr>
            <w:r>
              <w:rPr>
                <w:rFonts w:ascii="Arial" w:cs="Arial" w:eastAsia="Arial" w:hAnsi="Arial"/>
                <w:sz w:val="16"/>
                <w:szCs w:val="16"/>
                <w:b w:val="1"/>
                <w:bCs w:val="1"/>
                <w:color w:val="auto"/>
              </w:rPr>
              <w:t>December 31, 2025</w:t>
            </w:r>
          </w:p>
        </w:tc>
      </w:tr>
      <w:tr>
        <w:trPr>
          <w:trHeight w:val="247"/>
        </w:trPr>
        <w:tc>
          <w:tcPr>
            <w:tcW w:w="7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Maturing in one year or less</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616,805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691,409</w:t>
            </w:r>
          </w:p>
        </w:tc>
      </w:tr>
      <w:tr>
        <w:trPr>
          <w:trHeight w:val="247"/>
        </w:trPr>
        <w:tc>
          <w:tcPr>
            <w:tcW w:w="7520" w:type="dxa"/>
            <w:vAlign w:val="bottom"/>
          </w:tcPr>
          <w:p>
            <w:pPr>
              <w:ind w:left="20"/>
              <w:spacing w:after="0"/>
              <w:rPr>
                <w:sz w:val="20"/>
                <w:szCs w:val="20"/>
                <w:color w:val="auto"/>
              </w:rPr>
            </w:pPr>
            <w:r>
              <w:rPr>
                <w:rFonts w:ascii="Arial" w:cs="Arial" w:eastAsia="Arial" w:hAnsi="Arial"/>
                <w:sz w:val="18"/>
                <w:szCs w:val="18"/>
                <w:color w:val="auto"/>
              </w:rPr>
              <w:t>Maturing after one year through five years</w:t>
            </w: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649,144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600,433</w:t>
            </w:r>
          </w:p>
        </w:tc>
      </w:tr>
      <w:tr>
        <w:trPr>
          <w:trHeight w:val="23"/>
        </w:trPr>
        <w:tc>
          <w:tcPr>
            <w:tcW w:w="7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89"/>
        </w:trPr>
        <w:tc>
          <w:tcPr>
            <w:tcW w:w="75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debt securities available-for-sale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1,265,949</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1,291,842</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FAIR VALUE MEASUREMENTS</w:t>
      </w:r>
    </w:p>
    <w:p>
      <w:pPr>
        <w:spacing w:after="0" w:line="171" w:lineRule="exact"/>
        <w:rPr>
          <w:sz w:val="20"/>
          <w:szCs w:val="20"/>
          <w:color w:val="auto"/>
        </w:rPr>
      </w:pPr>
    </w:p>
    <w:p>
      <w:pPr>
        <w:ind w:right="340" w:firstLine="648"/>
        <w:spacing w:after="0" w:line="281" w:lineRule="auto"/>
        <w:rPr>
          <w:sz w:val="20"/>
          <w:szCs w:val="20"/>
          <w:color w:val="auto"/>
        </w:rPr>
      </w:pPr>
      <w:r>
        <w:rPr>
          <w:rFonts w:ascii="Arial" w:cs="Arial" w:eastAsia="Arial" w:hAnsi="Arial"/>
          <w:sz w:val="18"/>
          <w:szCs w:val="18"/>
          <w:color w:val="auto"/>
        </w:rPr>
        <w:t>Fair value reflects the amounts that would be received upon sale of an asset or paid to transfer a liability in an orderly transaction between market participants at the measurement date. The fair value hierarchy has the following three levels:</w:t>
      </w:r>
    </w:p>
    <w:p>
      <w:pPr>
        <w:spacing w:after="0" w:line="1" w:lineRule="exact"/>
        <w:rPr>
          <w:sz w:val="20"/>
          <w:szCs w:val="20"/>
          <w:color w:val="auto"/>
        </w:rPr>
      </w:pPr>
    </w:p>
    <w:p>
      <w:pPr>
        <w:ind w:left="620" w:hanging="191"/>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1 - quoted prices (unadjusted) in active markets for identical assets and liabilities;</w:t>
      </w:r>
    </w:p>
    <w:p>
      <w:pPr>
        <w:spacing w:after="0" w:line="63" w:lineRule="exact"/>
        <w:rPr>
          <w:rFonts w:ascii="Arial" w:cs="Arial" w:eastAsia="Arial" w:hAnsi="Arial"/>
          <w:sz w:val="18"/>
          <w:szCs w:val="18"/>
          <w:color w:val="auto"/>
        </w:rPr>
      </w:pPr>
    </w:p>
    <w:p>
      <w:pPr>
        <w:jc w:val="both"/>
        <w:ind w:left="660" w:right="160" w:hanging="231"/>
        <w:spacing w:after="0" w:line="268" w:lineRule="auto"/>
        <w:tabs>
          <w:tab w:leader="none" w:pos="631"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2 - inputs other than Level 1 that are observable either directly or indirectly, such as quoted prices in active markets for similar instruments or on industry models using data inputs, such as interest rates and prices that can be directly observed or corroborated in active markets; and</w:t>
      </w:r>
    </w:p>
    <w:p>
      <w:pPr>
        <w:spacing w:after="0" w:line="8" w:lineRule="exact"/>
        <w:rPr>
          <w:rFonts w:ascii="Arial" w:cs="Arial" w:eastAsia="Arial" w:hAnsi="Arial"/>
          <w:sz w:val="18"/>
          <w:szCs w:val="18"/>
          <w:color w:val="auto"/>
        </w:rPr>
      </w:pPr>
    </w:p>
    <w:p>
      <w:pPr>
        <w:ind w:left="620" w:hanging="191"/>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3 - unobservable inputs that are supported by little or no market activity that are significant to the fair value measurement.</w:t>
      </w:r>
    </w:p>
    <w:p>
      <w:pPr>
        <w:sectPr>
          <w:pgSz w:w="11900" w:h="16838" w:orient="portrait"/>
          <w:cols w:equalWidth="0" w:num="1">
            <w:col w:w="11240"/>
          </w:cols>
          <w:pgMar w:left="320" w:top="2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60" w:firstLine="648"/>
        <w:spacing w:after="0" w:line="287" w:lineRule="auto"/>
        <w:rPr>
          <w:sz w:val="20"/>
          <w:szCs w:val="20"/>
          <w:color w:val="auto"/>
        </w:rPr>
      </w:pPr>
      <w:r>
        <w:rPr>
          <w:rFonts w:ascii="Arial" w:cs="Arial" w:eastAsia="Arial" w:hAnsi="Arial"/>
          <w:sz w:val="18"/>
          <w:szCs w:val="18"/>
          <w:color w:val="auto"/>
        </w:rPr>
        <w:t>The classifications within the fair value hierarchy of our financial assets that were measured and recorded at fair value on a recurring basis were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0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6"/>
                <w:szCs w:val="16"/>
                <w:b w:val="1"/>
                <w:bCs w:val="1"/>
                <w:color w:val="auto"/>
              </w:rPr>
              <w:t>March 31, 2026</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r>
      <w:tr>
        <w:trPr>
          <w:trHeight w:val="237"/>
        </w:trPr>
        <w:tc>
          <w:tcPr>
            <w:tcW w:w="70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Level 1</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71"/>
              <w:spacing w:after="0"/>
              <w:rPr>
                <w:sz w:val="20"/>
                <w:szCs w:val="20"/>
                <w:color w:val="auto"/>
              </w:rPr>
            </w:pPr>
            <w:r>
              <w:rPr>
                <w:rFonts w:ascii="Arial" w:cs="Arial" w:eastAsia="Arial" w:hAnsi="Arial"/>
                <w:sz w:val="16"/>
                <w:szCs w:val="16"/>
                <w:b w:val="1"/>
                <w:bCs w:val="1"/>
                <w:color w:val="auto"/>
              </w:rPr>
              <w:t>Level 2</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Total</w:t>
            </w:r>
          </w:p>
        </w:tc>
      </w:tr>
      <w:tr>
        <w:trPr>
          <w:trHeight w:val="247"/>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207,972</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207,972</w:t>
            </w:r>
          </w:p>
        </w:tc>
      </w:tr>
      <w:tr>
        <w:trPr>
          <w:trHeight w:val="247"/>
        </w:trPr>
        <w:tc>
          <w:tcPr>
            <w:tcW w:w="7000" w:type="dxa"/>
            <w:vAlign w:val="bottom"/>
          </w:tcPr>
          <w:p>
            <w:pPr>
              <w:ind w:left="20"/>
              <w:spacing w:after="0"/>
              <w:rPr>
                <w:sz w:val="20"/>
                <w:szCs w:val="20"/>
                <w:color w:val="auto"/>
              </w:rPr>
            </w:pPr>
            <w:r>
              <w:rPr>
                <w:rFonts w:ascii="Arial" w:cs="Arial" w:eastAsia="Arial" w:hAnsi="Arial"/>
                <w:sz w:val="18"/>
                <w:szCs w:val="18"/>
                <w:color w:val="auto"/>
              </w:rPr>
              <w:t>Corporate bonds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889,818</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889,818</w:t>
            </w:r>
          </w:p>
        </w:tc>
      </w:tr>
      <w:tr>
        <w:trPr>
          <w:trHeight w:val="23"/>
        </w:trPr>
        <w:tc>
          <w:tcPr>
            <w:tcW w:w="7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Treasury and government-sponsored enterprises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159,434</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159,434</w:t>
            </w:r>
          </w:p>
        </w:tc>
      </w:tr>
      <w:tr>
        <w:trPr>
          <w:trHeight w:val="247"/>
        </w:trPr>
        <w:tc>
          <w:tcPr>
            <w:tcW w:w="7000" w:type="dxa"/>
            <w:vAlign w:val="bottom"/>
          </w:tcPr>
          <w:p>
            <w:pPr>
              <w:ind w:left="20"/>
              <w:spacing w:after="0"/>
              <w:rPr>
                <w:sz w:val="20"/>
                <w:szCs w:val="20"/>
                <w:color w:val="auto"/>
              </w:rPr>
            </w:pPr>
            <w:r>
              <w:rPr>
                <w:rFonts w:ascii="Arial" w:cs="Arial" w:eastAsia="Arial" w:hAnsi="Arial"/>
                <w:sz w:val="18"/>
                <w:szCs w:val="18"/>
                <w:color w:val="auto"/>
              </w:rPr>
              <w:t>Municipal bonds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8,725</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8,725</w:t>
            </w:r>
          </w:p>
        </w:tc>
      </w:tr>
      <w:tr>
        <w:trPr>
          <w:trHeight w:val="23"/>
        </w:trPr>
        <w:tc>
          <w:tcPr>
            <w:tcW w:w="7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7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debt securities available-for-sale</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1,265,949</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1,265,949</w:t>
            </w:r>
          </w:p>
        </w:tc>
      </w:tr>
      <w:tr>
        <w:trPr>
          <w:trHeight w:val="247"/>
        </w:trPr>
        <w:tc>
          <w:tcPr>
            <w:tcW w:w="700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97,686</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97,686</w:t>
            </w:r>
          </w:p>
        </w:tc>
      </w:tr>
      <w:tr>
        <w:trPr>
          <w:trHeight w:val="23"/>
        </w:trPr>
        <w:tc>
          <w:tcPr>
            <w:tcW w:w="7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Certificates of deposit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62,716</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62,716</w:t>
            </w:r>
          </w:p>
        </w:tc>
      </w:tr>
      <w:tr>
        <w:trPr>
          <w:trHeight w:val="264"/>
        </w:trPr>
        <w:tc>
          <w:tcPr>
            <w:tcW w:w="7000" w:type="dxa"/>
            <w:vAlign w:val="bottom"/>
          </w:tcPr>
          <w:p>
            <w:pPr>
              <w:ind w:left="220"/>
              <w:spacing w:after="0"/>
              <w:rPr>
                <w:sz w:val="20"/>
                <w:szCs w:val="20"/>
                <w:color w:val="auto"/>
              </w:rPr>
            </w:pPr>
            <w:r>
              <w:rPr>
                <w:rFonts w:ascii="Arial" w:cs="Arial" w:eastAsia="Arial" w:hAnsi="Arial"/>
                <w:sz w:val="18"/>
                <w:szCs w:val="18"/>
                <w:color w:val="auto"/>
              </w:rPr>
              <w:t>Total financial assets carried at fair value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97,686</w:t>
            </w: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1,328,665</w:t>
            </w:r>
          </w:p>
        </w:tc>
        <w:tc>
          <w:tcPr>
            <w:tcW w:w="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1,426,351</w:t>
            </w:r>
          </w:p>
        </w:tc>
      </w:tr>
      <w:tr>
        <w:trPr>
          <w:trHeight w:val="20"/>
        </w:trPr>
        <w:tc>
          <w:tcPr>
            <w:tcW w:w="7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489"/>
        </w:trPr>
        <w:tc>
          <w:tcPr>
            <w:tcW w:w="70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9"/>
              </w:rPr>
              <w:t>December 31, 2025</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236"/>
        </w:trPr>
        <w:tc>
          <w:tcPr>
            <w:tcW w:w="70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Level 1</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71"/>
              <w:spacing w:after="0"/>
              <w:rPr>
                <w:sz w:val="20"/>
                <w:szCs w:val="20"/>
                <w:color w:val="auto"/>
              </w:rPr>
            </w:pPr>
            <w:r>
              <w:rPr>
                <w:rFonts w:ascii="Arial" w:cs="Arial" w:eastAsia="Arial" w:hAnsi="Arial"/>
                <w:sz w:val="16"/>
                <w:szCs w:val="16"/>
                <w:b w:val="1"/>
                <w:bCs w:val="1"/>
                <w:color w:val="auto"/>
              </w:rPr>
              <w:t>Level 2</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Total</w:t>
            </w:r>
          </w:p>
        </w:tc>
      </w:tr>
      <w:tr>
        <w:trPr>
          <w:trHeight w:val="247"/>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241,439</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241,439</w:t>
            </w:r>
          </w:p>
        </w:tc>
      </w:tr>
      <w:tr>
        <w:trPr>
          <w:trHeight w:val="247"/>
        </w:trPr>
        <w:tc>
          <w:tcPr>
            <w:tcW w:w="7000" w:type="dxa"/>
            <w:vAlign w:val="bottom"/>
          </w:tcPr>
          <w:p>
            <w:pPr>
              <w:ind w:left="20"/>
              <w:spacing w:after="0"/>
              <w:rPr>
                <w:sz w:val="20"/>
                <w:szCs w:val="20"/>
                <w:color w:val="auto"/>
              </w:rPr>
            </w:pPr>
            <w:r>
              <w:rPr>
                <w:rFonts w:ascii="Arial" w:cs="Arial" w:eastAsia="Arial" w:hAnsi="Arial"/>
                <w:sz w:val="18"/>
                <w:szCs w:val="18"/>
                <w:color w:val="auto"/>
              </w:rPr>
              <w:t>Corporate bonds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886,500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886,500</w:t>
            </w:r>
          </w:p>
        </w:tc>
      </w:tr>
      <w:tr>
        <w:trPr>
          <w:trHeight w:val="23"/>
        </w:trPr>
        <w:tc>
          <w:tcPr>
            <w:tcW w:w="7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Treasury and government-sponsored enterprises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155,139</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155,139</w:t>
            </w:r>
          </w:p>
        </w:tc>
      </w:tr>
      <w:tr>
        <w:trPr>
          <w:trHeight w:val="247"/>
        </w:trPr>
        <w:tc>
          <w:tcPr>
            <w:tcW w:w="7000" w:type="dxa"/>
            <w:vAlign w:val="bottom"/>
          </w:tcPr>
          <w:p>
            <w:pPr>
              <w:ind w:left="20"/>
              <w:spacing w:after="0"/>
              <w:rPr>
                <w:sz w:val="20"/>
                <w:szCs w:val="20"/>
                <w:color w:val="auto"/>
              </w:rPr>
            </w:pPr>
            <w:r>
              <w:rPr>
                <w:rFonts w:ascii="Arial" w:cs="Arial" w:eastAsia="Arial" w:hAnsi="Arial"/>
                <w:sz w:val="18"/>
                <w:szCs w:val="18"/>
                <w:color w:val="auto"/>
              </w:rPr>
              <w:t>Municipal bonds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8,764</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8,764</w:t>
            </w:r>
          </w:p>
        </w:tc>
      </w:tr>
      <w:tr>
        <w:trPr>
          <w:trHeight w:val="23"/>
        </w:trPr>
        <w:tc>
          <w:tcPr>
            <w:tcW w:w="7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7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debt securities available-for-sale</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1,291,842</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1,291,842</w:t>
            </w:r>
          </w:p>
        </w:tc>
      </w:tr>
      <w:tr>
        <w:trPr>
          <w:trHeight w:val="247"/>
        </w:trPr>
        <w:tc>
          <w:tcPr>
            <w:tcW w:w="700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304,352</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304,352</w:t>
            </w:r>
          </w:p>
        </w:tc>
      </w:tr>
      <w:tr>
        <w:trPr>
          <w:trHeight w:val="23"/>
        </w:trPr>
        <w:tc>
          <w:tcPr>
            <w:tcW w:w="7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Certificates of deposit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66,388</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66,388</w:t>
            </w:r>
          </w:p>
        </w:tc>
      </w:tr>
      <w:tr>
        <w:trPr>
          <w:trHeight w:val="264"/>
        </w:trPr>
        <w:tc>
          <w:tcPr>
            <w:tcW w:w="7000" w:type="dxa"/>
            <w:vAlign w:val="bottom"/>
          </w:tcPr>
          <w:p>
            <w:pPr>
              <w:ind w:left="220"/>
              <w:spacing w:after="0"/>
              <w:rPr>
                <w:sz w:val="20"/>
                <w:szCs w:val="20"/>
                <w:color w:val="auto"/>
              </w:rPr>
            </w:pPr>
            <w:r>
              <w:rPr>
                <w:rFonts w:ascii="Arial" w:cs="Arial" w:eastAsia="Arial" w:hAnsi="Arial"/>
                <w:sz w:val="18"/>
                <w:szCs w:val="18"/>
                <w:color w:val="auto"/>
              </w:rPr>
              <w:t>Total financial assets carried at fair value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304,352</w:t>
            </w: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1,358,230</w:t>
            </w:r>
          </w:p>
        </w:tc>
        <w:tc>
          <w:tcPr>
            <w:tcW w:w="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1,662,582</w:t>
            </w:r>
          </w:p>
        </w:tc>
      </w:tr>
      <w:tr>
        <w:trPr>
          <w:trHeight w:val="20"/>
        </w:trPr>
        <w:tc>
          <w:tcPr>
            <w:tcW w:w="7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right="80" w:firstLine="648"/>
        <w:spacing w:after="0" w:line="268" w:lineRule="auto"/>
        <w:rPr>
          <w:sz w:val="20"/>
          <w:szCs w:val="20"/>
          <w:color w:val="auto"/>
        </w:rPr>
      </w:pPr>
      <w:r>
        <w:rPr>
          <w:rFonts w:ascii="Arial" w:cs="Arial" w:eastAsia="Arial" w:hAnsi="Arial"/>
          <w:sz w:val="18"/>
          <w:szCs w:val="18"/>
          <w:color w:val="auto"/>
        </w:rPr>
        <w:t>When available, we value marketable securities based on quoted prices for those financial instruments, which is a Level 1 input. Our remaining marketable securities are valued using third-party pricing sources, which use observable market prices, interest rates and yield curves observable at commonly quoted intervals for similar assets as observable inputs for pricing, which is a Level 2 input.</w:t>
      </w:r>
    </w:p>
    <w:p>
      <w:pPr>
        <w:spacing w:after="0" w:line="117" w:lineRule="exact"/>
        <w:rPr>
          <w:sz w:val="20"/>
          <w:szCs w:val="20"/>
          <w:color w:val="auto"/>
        </w:rPr>
      </w:pPr>
    </w:p>
    <w:p>
      <w:pPr>
        <w:ind w:right="400" w:firstLine="648"/>
        <w:spacing w:after="0" w:line="287" w:lineRule="auto"/>
        <w:rPr>
          <w:sz w:val="20"/>
          <w:szCs w:val="20"/>
          <w:color w:val="auto"/>
        </w:rPr>
      </w:pPr>
      <w:r>
        <w:rPr>
          <w:rFonts w:ascii="Arial" w:cs="Arial" w:eastAsia="Arial" w:hAnsi="Arial"/>
          <w:sz w:val="18"/>
          <w:szCs w:val="18"/>
          <w:color w:val="auto"/>
        </w:rPr>
        <w:t>The carrying amount of our remaining financial assets and liabilities, which include cash, receivables and payables, approximate their fair values due to their short-term nature.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Foreign Currency Contracts</w:t>
      </w:r>
    </w:p>
    <w:p>
      <w:pPr>
        <w:spacing w:after="0" w:line="171" w:lineRule="exact"/>
        <w:rPr>
          <w:sz w:val="20"/>
          <w:szCs w:val="20"/>
          <w:color w:val="auto"/>
        </w:rPr>
      </w:pPr>
    </w:p>
    <w:p>
      <w:pPr>
        <w:jc w:val="both"/>
        <w:ind w:right="40" w:firstLine="648"/>
        <w:spacing w:after="0" w:line="268" w:lineRule="auto"/>
        <w:rPr>
          <w:sz w:val="20"/>
          <w:szCs w:val="20"/>
          <w:color w:val="auto"/>
        </w:rPr>
      </w:pPr>
      <w:r>
        <w:rPr>
          <w:rFonts w:ascii="Arial" w:cs="Arial" w:eastAsia="Arial" w:hAnsi="Arial"/>
          <w:sz w:val="18"/>
          <w:szCs w:val="18"/>
          <w:color w:val="auto"/>
        </w:rPr>
        <w:t>We may enter into forward foreign currency exchange contracts that are not designated as hedges for accounting purposes to hedge certain operational exposures for the changes in foreign currency exchange rates associated with assets or liabilities denominated in foreign currencies, primarily the Euro.</w:t>
      </w:r>
    </w:p>
    <w:p>
      <w:pPr>
        <w:spacing w:after="0" w:line="117" w:lineRule="exact"/>
        <w:rPr>
          <w:sz w:val="20"/>
          <w:szCs w:val="20"/>
          <w:color w:val="auto"/>
        </w:rPr>
      </w:pPr>
    </w:p>
    <w:p>
      <w:pPr>
        <w:ind w:right="340" w:firstLine="648"/>
        <w:spacing w:after="0" w:line="257" w:lineRule="auto"/>
        <w:rPr>
          <w:sz w:val="20"/>
          <w:szCs w:val="20"/>
          <w:color w:val="auto"/>
        </w:rPr>
      </w:pPr>
      <w:r>
        <w:rPr>
          <w:rFonts w:ascii="Arial" w:cs="Arial" w:eastAsia="Arial" w:hAnsi="Arial"/>
          <w:sz w:val="18"/>
          <w:szCs w:val="18"/>
          <w:color w:val="auto"/>
        </w:rPr>
        <w:t>As of March 31, 2026, we had one forward contract outstanding to sell €3.5 million. The forward contract with a maturity of three months is recorded at fair value and is included in other current liabilities in the accompanying Condensed Consolidated Balance Sheets. The unrealized gain on the forward contract was immaterial as of March 31, 2026. The forward contract is considered a Level 2 in the fair value hierarchy of our fair value measurements. The net realized gains (losses) we recognized on the maturity of forward contracts were immaterial for each of the three months ended March 31, 2026 and 2025, and are included in other income (expenses), net in the accompanying Condensed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INVENTORY</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Inventory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gridSpan w:val="2"/>
          </w:tcPr>
          <w:p>
            <w:pPr>
              <w:ind w:left="100"/>
              <w:spacing w:after="0"/>
              <w:rPr>
                <w:sz w:val="20"/>
                <w:szCs w:val="20"/>
                <w:color w:val="auto"/>
              </w:rPr>
            </w:pPr>
            <w:r>
              <w:rPr>
                <w:rFonts w:ascii="Arial" w:cs="Arial" w:eastAsia="Arial" w:hAnsi="Arial"/>
                <w:sz w:val="16"/>
                <w:szCs w:val="16"/>
                <w:b w:val="1"/>
                <w:bCs w:val="1"/>
                <w:color w:val="auto"/>
              </w:rPr>
              <w:t>March 31, 2026</w:t>
            </w:r>
          </w:p>
        </w:tc>
        <w:tc>
          <w:tcPr>
            <w:tcW w:w="140" w:type="dxa"/>
            <w:vAlign w:val="bottom"/>
          </w:tcPr>
          <w:p>
            <w:pPr>
              <w:spacing w:after="0"/>
              <w:rPr>
                <w:sz w:val="19"/>
                <w:szCs w:val="19"/>
                <w:color w:val="auto"/>
              </w:rPr>
            </w:pPr>
          </w:p>
        </w:tc>
        <w:tc>
          <w:tcPr>
            <w:tcW w:w="1660" w:type="dxa"/>
            <w:vAlign w:val="bottom"/>
          </w:tcPr>
          <w:p>
            <w:pPr>
              <w:jc w:val="right"/>
              <w:ind w:right="91"/>
              <w:spacing w:after="0"/>
              <w:rPr>
                <w:sz w:val="20"/>
                <w:szCs w:val="20"/>
                <w:color w:val="auto"/>
              </w:rPr>
            </w:pPr>
            <w:r>
              <w:rPr>
                <w:rFonts w:ascii="Arial" w:cs="Arial" w:eastAsia="Arial" w:hAnsi="Arial"/>
                <w:sz w:val="16"/>
                <w:szCs w:val="16"/>
                <w:b w:val="1"/>
                <w:bCs w:val="1"/>
                <w:color w:val="auto"/>
              </w:rPr>
              <w:t>December 31, 2025</w:t>
            </w:r>
          </w:p>
        </w:tc>
      </w:tr>
      <w:tr>
        <w:trPr>
          <w:trHeight w:val="247"/>
        </w:trPr>
        <w:tc>
          <w:tcPr>
            <w:tcW w:w="7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894</w:t>
            </w:r>
          </w:p>
        </w:tc>
      </w:tr>
      <w:tr>
        <w:trPr>
          <w:trHeight w:val="247"/>
        </w:trPr>
        <w:tc>
          <w:tcPr>
            <w:tcW w:w="752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51,870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53,531</w:t>
            </w:r>
          </w:p>
        </w:tc>
      </w:tr>
      <w:tr>
        <w:trPr>
          <w:trHeight w:val="23"/>
        </w:trPr>
        <w:tc>
          <w:tcPr>
            <w:tcW w:w="7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11,303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5,942</w:t>
            </w:r>
          </w:p>
        </w:tc>
      </w:tr>
      <w:tr>
        <w:trPr>
          <w:trHeight w:val="263"/>
        </w:trPr>
        <w:tc>
          <w:tcPr>
            <w:tcW w:w="7520" w:type="dxa"/>
            <w:vAlign w:val="bottom"/>
          </w:tcPr>
          <w:p>
            <w:pPr>
              <w:ind w:left="36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63,910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60,367</w:t>
            </w:r>
          </w:p>
        </w:tc>
      </w:tr>
      <w:tr>
        <w:trPr>
          <w:trHeight w:val="20"/>
        </w:trPr>
        <w:tc>
          <w:tcPr>
            <w:tcW w:w="75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37"/>
        </w:trPr>
        <w:tc>
          <w:tcPr>
            <w:tcW w:w="75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r>
      <w:tr>
        <w:trPr>
          <w:trHeight w:val="247"/>
        </w:trPr>
        <w:tc>
          <w:tcPr>
            <w:tcW w:w="7520" w:type="dxa"/>
            <w:vAlign w:val="bottom"/>
          </w:tcPr>
          <w:p>
            <w:pPr>
              <w:ind w:left="20"/>
              <w:spacing w:after="0"/>
              <w:rPr>
                <w:sz w:val="20"/>
                <w:szCs w:val="20"/>
                <w:color w:val="auto"/>
              </w:rPr>
            </w:pPr>
            <w:r>
              <w:rPr>
                <w:rFonts w:ascii="Arial" w:cs="Arial" w:eastAsia="Arial" w:hAnsi="Arial"/>
                <w:sz w:val="18"/>
                <w:szCs w:val="18"/>
                <w:i w:val="1"/>
                <w:iCs w:val="1"/>
                <w:color w:val="auto"/>
              </w:rPr>
              <w:t>Balance Sheet classification:</w:t>
            </w: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3"/>
        </w:trPr>
        <w:tc>
          <w:tcPr>
            <w:tcW w:w="7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Current portion included in inventory</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21,686</w:t>
            </w:r>
          </w:p>
        </w:tc>
      </w:tr>
      <w:tr>
        <w:trPr>
          <w:trHeight w:val="247"/>
        </w:trPr>
        <w:tc>
          <w:tcPr>
            <w:tcW w:w="7520" w:type="dxa"/>
            <w:vAlign w:val="bottom"/>
          </w:tcPr>
          <w:p>
            <w:pPr>
              <w:ind w:left="220"/>
              <w:spacing w:after="0"/>
              <w:rPr>
                <w:sz w:val="20"/>
                <w:szCs w:val="20"/>
                <w:color w:val="auto"/>
              </w:rPr>
            </w:pPr>
            <w:r>
              <w:rPr>
                <w:rFonts w:ascii="Arial" w:cs="Arial" w:eastAsia="Arial" w:hAnsi="Arial"/>
                <w:sz w:val="18"/>
                <w:szCs w:val="18"/>
                <w:color w:val="auto"/>
              </w:rPr>
              <w:t>Non-current portion included in other non-current assets</w:t>
            </w: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37,305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38,681</w:t>
            </w:r>
          </w:p>
        </w:tc>
      </w:tr>
      <w:tr>
        <w:trPr>
          <w:trHeight w:val="23"/>
        </w:trPr>
        <w:tc>
          <w:tcPr>
            <w:tcW w:w="7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89"/>
        </w:trPr>
        <w:tc>
          <w:tcPr>
            <w:tcW w:w="7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63,910</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60,367</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STOCKHOLDERS’ EQUITY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71" w:lineRule="exact"/>
        <w:rPr>
          <w:sz w:val="20"/>
          <w:szCs w:val="20"/>
          <w:color w:val="auto"/>
        </w:rPr>
      </w:pPr>
    </w:p>
    <w:p>
      <w:pPr>
        <w:ind w:right="20" w:firstLine="648"/>
        <w:spacing w:after="0" w:line="262" w:lineRule="auto"/>
        <w:rPr>
          <w:sz w:val="20"/>
          <w:szCs w:val="20"/>
          <w:color w:val="auto"/>
        </w:rPr>
      </w:pPr>
      <w:r>
        <w:rPr>
          <w:rFonts w:ascii="Arial" w:cs="Arial" w:eastAsia="Arial" w:hAnsi="Arial"/>
          <w:sz w:val="18"/>
          <w:szCs w:val="18"/>
          <w:color w:val="auto"/>
        </w:rPr>
        <w:t>We have an equity incentive plan under which we grant stock options and restricted stock units (RSUs), including market condition-based RSUs and performance-based RSUs (PSUs) to employees and directors. As of March 31, 2026, 12.5 million shares were available for grant under the Exelixis, Inc. 2017 Equity Incentive Plan (as amended and restated, the 2017 Plan). The share reserve is reduced by 1 share for each share issued pursuant to a stock option and 2 shares for full value awards, including RSUs and PSUs.</w:t>
      </w:r>
    </w:p>
    <w:p>
      <w:pPr>
        <w:spacing w:after="0" w:line="122" w:lineRule="exact"/>
        <w:rPr>
          <w:sz w:val="20"/>
          <w:szCs w:val="20"/>
          <w:color w:val="auto"/>
        </w:rPr>
      </w:pPr>
    </w:p>
    <w:p>
      <w:pPr>
        <w:ind w:right="500" w:firstLine="648"/>
        <w:spacing w:after="0" w:line="287" w:lineRule="auto"/>
        <w:rPr>
          <w:sz w:val="20"/>
          <w:szCs w:val="20"/>
          <w:color w:val="auto"/>
        </w:rPr>
      </w:pPr>
      <w:r>
        <w:rPr>
          <w:rFonts w:ascii="Arial" w:cs="Arial" w:eastAsia="Arial" w:hAnsi="Arial"/>
          <w:sz w:val="18"/>
          <w:szCs w:val="18"/>
          <w:color w:val="auto"/>
        </w:rPr>
        <w:t>We allocated the stock-based compensation for our 2017 Plan and our 2000 Employee Stock Purchase Plan (as amended and restated, the Amended ESPP)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520" w:type="dxa"/>
            <w:vAlign w:val="bottom"/>
          </w:tcPr>
          <w:p>
            <w:pPr>
              <w:spacing w:after="0"/>
              <w:rPr>
                <w:sz w:val="19"/>
                <w:szCs w:val="19"/>
                <w:color w:val="auto"/>
              </w:rPr>
            </w:pPr>
          </w:p>
        </w:tc>
        <w:tc>
          <w:tcPr>
            <w:tcW w:w="30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640" w:type="dxa"/>
            <w:vAlign w:val="bottom"/>
            <w:tcBorders>
              <w:bottom w:val="single" w:sz="8" w:color="auto"/>
            </w:tcBorders>
          </w:tcPr>
          <w:p>
            <w:pPr>
              <w:spacing w:after="0"/>
              <w:rPr>
                <w:sz w:val="19"/>
                <w:szCs w:val="19"/>
                <w:color w:val="auto"/>
              </w:rPr>
            </w:pPr>
          </w:p>
        </w:tc>
      </w:tr>
      <w:tr>
        <w:trPr>
          <w:trHeight w:val="237"/>
        </w:trPr>
        <w:tc>
          <w:tcPr>
            <w:tcW w:w="75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6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640" w:type="dxa"/>
            <w:vAlign w:val="bottom"/>
            <w:tcBorders>
              <w:bottom w:val="single" w:sz="8" w:color="auto"/>
            </w:tcBorders>
          </w:tcPr>
          <w:p>
            <w:pPr>
              <w:spacing w:after="0"/>
              <w:rPr>
                <w:sz w:val="20"/>
                <w:szCs w:val="20"/>
                <w:color w:val="auto"/>
              </w:rPr>
            </w:pPr>
          </w:p>
        </w:tc>
      </w:tr>
      <w:tr>
        <w:trPr>
          <w:trHeight w:val="247"/>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140" w:type="dxa"/>
            <w:vAlign w:val="bottom"/>
            <w:tcBorders>
              <w:bottom w:val="single" w:sz="8" w:color="CCEEFF"/>
            </w:tcBorders>
            <w:shd w:val="clear" w:color="auto" w:fill="CCEEFF"/>
          </w:tcPr>
          <w:p>
            <w:pPr>
              <w:jc w:val="right"/>
              <w:ind w:right="935"/>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12,318</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73"/>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9,522</w:t>
            </w:r>
          </w:p>
        </w:tc>
      </w:tr>
      <w:tr>
        <w:trPr>
          <w:trHeight w:val="247"/>
        </w:trPr>
        <w:tc>
          <w:tcPr>
            <w:tcW w:w="752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16,732</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16,408</w:t>
            </w:r>
          </w:p>
        </w:tc>
      </w:tr>
      <w:tr>
        <w:trPr>
          <w:trHeight w:val="23"/>
        </w:trPr>
        <w:tc>
          <w:tcPr>
            <w:tcW w:w="75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88"/>
        </w:trPr>
        <w:tc>
          <w:tcPr>
            <w:tcW w:w="7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stock-based compensation</w:t>
            </w:r>
          </w:p>
        </w:tc>
        <w:tc>
          <w:tcPr>
            <w:tcW w:w="1140" w:type="dxa"/>
            <w:vAlign w:val="bottom"/>
            <w:tcBorders>
              <w:bottom w:val="single" w:sz="8" w:color="auto"/>
            </w:tcBorders>
            <w:shd w:val="clear" w:color="auto" w:fill="CCEEFF"/>
          </w:tcPr>
          <w:p>
            <w:pPr>
              <w:jc w:val="right"/>
              <w:ind w:right="935"/>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29,050</w:t>
            </w:r>
          </w:p>
        </w:tc>
        <w:tc>
          <w:tcPr>
            <w:tcW w:w="1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973"/>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25,930</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Stock-based compensation for each type of award under our 2017 Plan and Amended ESPP were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520" w:type="dxa"/>
            <w:vAlign w:val="bottom"/>
          </w:tcPr>
          <w:p>
            <w:pPr>
              <w:spacing w:after="0"/>
              <w:rPr>
                <w:sz w:val="19"/>
                <w:szCs w:val="19"/>
                <w:color w:val="auto"/>
              </w:rPr>
            </w:pPr>
          </w:p>
        </w:tc>
        <w:tc>
          <w:tcPr>
            <w:tcW w:w="30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640" w:type="dxa"/>
            <w:vAlign w:val="bottom"/>
            <w:tcBorders>
              <w:bottom w:val="single" w:sz="8" w:color="auto"/>
            </w:tcBorders>
          </w:tcPr>
          <w:p>
            <w:pPr>
              <w:spacing w:after="0"/>
              <w:rPr>
                <w:sz w:val="19"/>
                <w:szCs w:val="19"/>
                <w:color w:val="auto"/>
              </w:rPr>
            </w:pPr>
          </w:p>
        </w:tc>
      </w:tr>
      <w:tr>
        <w:trPr>
          <w:trHeight w:val="237"/>
        </w:trPr>
        <w:tc>
          <w:tcPr>
            <w:tcW w:w="75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6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640" w:type="dxa"/>
            <w:vAlign w:val="bottom"/>
            <w:tcBorders>
              <w:bottom w:val="single" w:sz="8" w:color="auto"/>
            </w:tcBorders>
          </w:tcPr>
          <w:p>
            <w:pPr>
              <w:spacing w:after="0"/>
              <w:rPr>
                <w:sz w:val="20"/>
                <w:szCs w:val="20"/>
                <w:color w:val="auto"/>
              </w:rPr>
            </w:pPr>
          </w:p>
        </w:tc>
      </w:tr>
      <w:tr>
        <w:trPr>
          <w:trHeight w:val="247"/>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140" w:type="dxa"/>
            <w:vAlign w:val="bottom"/>
            <w:tcBorders>
              <w:bottom w:val="single" w:sz="8" w:color="CCEEFF"/>
            </w:tcBorders>
            <w:shd w:val="clear" w:color="auto" w:fill="CCEEFF"/>
          </w:tcPr>
          <w:p>
            <w:pPr>
              <w:jc w:val="right"/>
              <w:ind w:right="935"/>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73"/>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1,060</w:t>
            </w:r>
          </w:p>
        </w:tc>
      </w:tr>
      <w:tr>
        <w:trPr>
          <w:trHeight w:val="247"/>
        </w:trPr>
        <w:tc>
          <w:tcPr>
            <w:tcW w:w="7520" w:type="dxa"/>
            <w:vAlign w:val="bottom"/>
          </w:tcPr>
          <w:p>
            <w:pPr>
              <w:ind w:left="20"/>
              <w:spacing w:after="0"/>
              <w:rPr>
                <w:sz w:val="20"/>
                <w:szCs w:val="20"/>
                <w:color w:val="auto"/>
              </w:rPr>
            </w:pPr>
            <w:r>
              <w:rPr>
                <w:rFonts w:ascii="Arial" w:cs="Arial" w:eastAsia="Arial" w:hAnsi="Arial"/>
                <w:sz w:val="18"/>
                <w:szCs w:val="18"/>
                <w:color w:val="auto"/>
              </w:rPr>
              <w:t>Restricted stock units</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27,059</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23,102</w:t>
            </w:r>
          </w:p>
        </w:tc>
      </w:tr>
      <w:tr>
        <w:trPr>
          <w:trHeight w:val="23"/>
        </w:trPr>
        <w:tc>
          <w:tcPr>
            <w:tcW w:w="7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Performance stock units</w:t>
            </w:r>
          </w:p>
        </w:tc>
        <w:tc>
          <w:tcPr>
            <w:tcW w:w="1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w:t>
            </w:r>
          </w:p>
        </w:tc>
      </w:tr>
      <w:tr>
        <w:trPr>
          <w:trHeight w:val="247"/>
        </w:trPr>
        <w:tc>
          <w:tcPr>
            <w:tcW w:w="7520" w:type="dxa"/>
            <w:vAlign w:val="bottom"/>
          </w:tcPr>
          <w:p>
            <w:pPr>
              <w:ind w:left="20"/>
              <w:spacing w:after="0"/>
              <w:rPr>
                <w:sz w:val="20"/>
                <w:szCs w:val="20"/>
                <w:color w:val="auto"/>
              </w:rPr>
            </w:pPr>
            <w:r>
              <w:rPr>
                <w:rFonts w:ascii="Arial" w:cs="Arial" w:eastAsia="Arial" w:hAnsi="Arial"/>
                <w:sz w:val="18"/>
                <w:szCs w:val="18"/>
                <w:color w:val="auto"/>
              </w:rPr>
              <w:t>Employee stock purchase plan</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1,738</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1,527</w:t>
            </w:r>
          </w:p>
        </w:tc>
      </w:tr>
      <w:tr>
        <w:trPr>
          <w:trHeight w:val="23"/>
        </w:trPr>
        <w:tc>
          <w:tcPr>
            <w:tcW w:w="75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88"/>
        </w:trPr>
        <w:tc>
          <w:tcPr>
            <w:tcW w:w="7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stock-based compensation</w:t>
            </w:r>
          </w:p>
        </w:tc>
        <w:tc>
          <w:tcPr>
            <w:tcW w:w="1140" w:type="dxa"/>
            <w:vAlign w:val="bottom"/>
            <w:tcBorders>
              <w:bottom w:val="single" w:sz="8" w:color="auto"/>
            </w:tcBorders>
            <w:shd w:val="clear" w:color="auto" w:fill="CCEEFF"/>
          </w:tcPr>
          <w:p>
            <w:pPr>
              <w:jc w:val="right"/>
              <w:ind w:right="935"/>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29,050</w:t>
            </w:r>
          </w:p>
        </w:tc>
        <w:tc>
          <w:tcPr>
            <w:tcW w:w="1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973"/>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25,930</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720" w:firstLine="648"/>
        <w:spacing w:after="0" w:line="287" w:lineRule="auto"/>
        <w:rPr>
          <w:sz w:val="20"/>
          <w:szCs w:val="20"/>
          <w:color w:val="auto"/>
        </w:rPr>
      </w:pPr>
      <w:r>
        <w:rPr>
          <w:rFonts w:ascii="Arial" w:cs="Arial" w:eastAsia="Arial" w:hAnsi="Arial"/>
          <w:sz w:val="18"/>
          <w:szCs w:val="18"/>
          <w:color w:val="auto"/>
        </w:rPr>
        <w:t>As of March 31, 2026, there were 1.5 million stock options outstanding and $0.6 million of related unrecognized stock-based compensation.</w:t>
      </w:r>
    </w:p>
    <w:p>
      <w:pPr>
        <w:spacing w:after="0" w:line="9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February 2026, we awarded to certain employees an aggregate of 0.7 million RSUs (the target number) that are subject to a total shareholder return (TSR) market condition and a time-based service condition (the 2026 TSR-based RSUs). The TSR market condition is based on our relative TSR percentile rank compared to companies in the Nasdaq Biotechnology Index during the performance period, which is January 3, 2026 through December 29, 2028. Depending on the results relative to the TSR market condition, the holders of the 2026 TSR-based RSUs may earn up to 200% of the target number of</w:t>
      </w:r>
    </w:p>
    <w:p>
      <w:pPr>
        <w:sectPr>
          <w:pgSz w:w="11900" w:h="16838" w:orient="portrait"/>
          <w:cols w:equalWidth="0" w:num="1">
            <w:col w:w="11240"/>
          </w:cols>
          <w:pgMar w:left="320" w:top="2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shares. Following achievement of the market condition at the end of the performance period and upon employee’s continuous service through the vesting dates, 50% of the shares earned pursuant to the 2026 TSR-based RSUs will vest shortly after the end of the performance period, and the remainder will vest approximately one year later. The 2026 TSR-based RSUs will be forfeited if the market condition at or above a threshold level is not achieved, and/or the time-based service condition is not fulfilled, by the end of the performance period and through the vesting dates.</w:t>
      </w:r>
    </w:p>
    <w:p>
      <w:pPr>
        <w:spacing w:after="0" w:line="125" w:lineRule="exact"/>
        <w:rPr>
          <w:sz w:val="20"/>
          <w:szCs w:val="20"/>
          <w:color w:val="auto"/>
        </w:rPr>
      </w:pPr>
    </w:p>
    <w:p>
      <w:pPr>
        <w:ind w:right="240" w:firstLine="648"/>
        <w:spacing w:after="0" w:line="287" w:lineRule="auto"/>
        <w:rPr>
          <w:sz w:val="20"/>
          <w:szCs w:val="20"/>
          <w:color w:val="auto"/>
        </w:rPr>
      </w:pPr>
      <w:r>
        <w:rPr>
          <w:rFonts w:ascii="Arial" w:cs="Arial" w:eastAsia="Arial" w:hAnsi="Arial"/>
          <w:sz w:val="18"/>
          <w:szCs w:val="18"/>
          <w:color w:val="auto"/>
        </w:rPr>
        <w:t>We used a Monte Carlo simulation model and the following assumptions to determine the grant date fair value of $55.31 per share for the 2026 TSR-based RSUs: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9280" w:type="dxa"/>
            <w:vAlign w:val="bottom"/>
            <w:tcBorders>
              <w:bottom w:val="single" w:sz="8" w:color="CCEEFF"/>
            </w:tcBorders>
          </w:tcPr>
          <w:p>
            <w:pPr>
              <w:spacing w:after="0"/>
              <w:rPr>
                <w:sz w:val="19"/>
                <w:szCs w:val="19"/>
                <w:color w:val="auto"/>
              </w:rPr>
            </w:pPr>
          </w:p>
        </w:tc>
        <w:tc>
          <w:tcPr>
            <w:tcW w:w="19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6"/>
                <w:szCs w:val="16"/>
                <w:b w:val="1"/>
                <w:bCs w:val="1"/>
                <w:color w:val="auto"/>
              </w:rPr>
              <w:t>2026 TSR-based RSUs</w:t>
            </w:r>
          </w:p>
        </w:tc>
      </w:tr>
      <w:tr>
        <w:trPr>
          <w:trHeight w:val="247"/>
        </w:trPr>
        <w:tc>
          <w:tcPr>
            <w:tcW w:w="9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of Exelixis common stock on grant date</w:t>
            </w:r>
          </w:p>
        </w:tc>
        <w:tc>
          <w:tcPr>
            <w:tcW w:w="700" w:type="dxa"/>
            <w:vAlign w:val="bottom"/>
            <w:tcBorders>
              <w:bottom w:val="single" w:sz="8" w:color="CCEEFF"/>
            </w:tcBorders>
            <w:shd w:val="clear" w:color="auto" w:fill="CCEEFF"/>
          </w:tcPr>
          <w:p>
            <w:pPr>
              <w:jc w:val="right"/>
              <w:ind w:right="495"/>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44.28</w:t>
            </w:r>
          </w:p>
        </w:tc>
      </w:tr>
      <w:tr>
        <w:trPr>
          <w:trHeight w:val="247"/>
        </w:trPr>
        <w:tc>
          <w:tcPr>
            <w:tcW w:w="928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7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35.5%</w:t>
            </w:r>
          </w:p>
        </w:tc>
      </w:tr>
      <w:tr>
        <w:trPr>
          <w:trHeight w:val="23"/>
        </w:trPr>
        <w:tc>
          <w:tcPr>
            <w:tcW w:w="9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7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47"/>
        </w:trPr>
        <w:tc>
          <w:tcPr>
            <w:tcW w:w="928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7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6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Monte Carlo simulation model for our 2026 TSR-based RSUs assumed correlations of returns of the stock prices of Exelixis common stock and the common stock of a peer group of companies and historical stock price volatility of the peer group of companies. The valuation model also used terms based on the remaining length of the performance period and compound annual growth rate goals for TSR based on the provisions of the awards. Stock-based compensation related to RSUs with a market condition is recognized regardless of the outcome of the market condition.</w:t>
      </w:r>
    </w:p>
    <w:p>
      <w:pPr>
        <w:spacing w:after="0" w:line="125" w:lineRule="exact"/>
        <w:rPr>
          <w:sz w:val="20"/>
          <w:szCs w:val="20"/>
          <w:color w:val="auto"/>
        </w:rPr>
      </w:pPr>
    </w:p>
    <w:p>
      <w:pPr>
        <w:jc w:val="both"/>
        <w:ind w:right="260" w:firstLine="648"/>
        <w:spacing w:after="0" w:line="255" w:lineRule="auto"/>
        <w:rPr>
          <w:sz w:val="20"/>
          <w:szCs w:val="20"/>
          <w:color w:val="auto"/>
        </w:rPr>
      </w:pPr>
      <w:r>
        <w:rPr>
          <w:rFonts w:ascii="Arial" w:cs="Arial" w:eastAsia="Arial" w:hAnsi="Arial"/>
          <w:sz w:val="18"/>
          <w:szCs w:val="18"/>
          <w:color w:val="auto"/>
        </w:rPr>
        <w:t>During the three months ended March 31, 2026, we granted 1.6 million service-based RSUs with a weighted- average grant date fair value of $44.17 per share. As of March 31, 2026, there were 18.2 million RSUs outstanding, including RSUs that are subject to market conditions, and $366.9 million of related unrecognized stock-based compensation. Service-based RSUs granted to employees during the three months ended March 31, 2026, have vesting conditions and contractual lives of a similar nature to those described in “Note 9.</w:t>
      </w:r>
    </w:p>
    <w:p>
      <w:pPr>
        <w:spacing w:after="0" w:line="2" w:lineRule="exact"/>
        <w:rPr>
          <w:sz w:val="20"/>
          <w:szCs w:val="20"/>
          <w:color w:val="auto"/>
        </w:rPr>
      </w:pPr>
    </w:p>
    <w:p>
      <w:pPr>
        <w:ind w:right="900"/>
        <w:spacing w:after="0" w:line="427" w:lineRule="auto"/>
        <w:rPr>
          <w:sz w:val="20"/>
          <w:szCs w:val="20"/>
          <w:color w:val="auto"/>
        </w:rPr>
      </w:pPr>
      <w:r>
        <w:rPr>
          <w:rFonts w:ascii="Arial" w:cs="Arial" w:eastAsia="Arial" w:hAnsi="Arial"/>
          <w:sz w:val="18"/>
          <w:szCs w:val="18"/>
          <w:color w:val="auto"/>
        </w:rPr>
        <w:t xml:space="preserve">Stockholders’ Equity” of the “Notes to Consolidated Financial Statements” included in Part II, Item 8 of our Fiscal 2025 Form 10-K. </w:t>
      </w:r>
      <w:r>
        <w:rPr>
          <w:rFonts w:ascii="Arial" w:cs="Arial" w:eastAsia="Arial" w:hAnsi="Arial"/>
          <w:sz w:val="18"/>
          <w:szCs w:val="18"/>
          <w:b w:val="1"/>
          <w:bCs w:val="1"/>
          <w:color w:val="auto"/>
        </w:rPr>
        <w:t>Common Stock Repurchases</w:t>
      </w:r>
    </w:p>
    <w:p>
      <w:pPr>
        <w:spacing w:after="0" w:line="1"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In October 2025, our Board of Directors authorized a stock repurchase program (SRP) to acquire up to $750.0 million of our outstanding common stock before December 31, 2026. Under this SRP, as of March 31, 2026, we repurchased 13.7 million shares of common stock for an aggregate purchase price of $590.6 million. As of March 31, 2026, approximately $159.4 million remained available under the SRP for future stock repurchases before December 31, 2026. In May 2026, our Board of Directors authorized the repurchase of up to an additional $ 750.0 million of our outstanding common stock by December 31, 2027. Stock repurchases under these SRPs may be made from time to time through a variety of methods, which may include open market purchases, in block trades, Rule 10b5-1 trading plans, accelerated share repurchase transactions, exchange transactions, or any combination of such methods. The timing and amount of any stock repurchases under the SRPs will be based on a variety of factors, including ongoing assessments of the capital needs of the business, alternative investment opportunities, the market price of our common stock and general market conditions. The SRPs do not obligate us to acquire any amount of our common stock, and the SRPs may be modified, suspended or discontinued at any time without prior notice.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PROVISION FOR INCOME TAXES</w:t>
      </w:r>
    </w:p>
    <w:p>
      <w:pPr>
        <w:spacing w:after="0" w:line="17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effective tax rates for the three months ended March 31, 2026 was 21.4%, as compared to 22.4% for the corresponding period in 2025. The effective tax rate for the three months ended March 31, 2026, differed from the U.S. federal statutory tax rate of 21%, primarily due to state taxes, partially offset by excess tax benefits related to certain stock grants and the Foreign-Derived Intangible Income deduction. The effective tax rate for the three months ended March 31, 2025, differed from the U.S. federal statutory tax rate of 21%, primarily due to state taxes, partially offset by excess tax benefits related to certain stock grants and the generation of federal tax credits.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NET INCOME PER SHARE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income per share — basic and diluted, were computed as follows (in thousands, except per share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5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320" w:type="dxa"/>
            <w:vAlign w:val="bottom"/>
            <w:tcBorders>
              <w:bottom w:val="single" w:sz="8" w:color="auto"/>
            </w:tcBorders>
            <w:gridSpan w:val="4"/>
          </w:tcPr>
          <w:p>
            <w:pPr>
              <w:jc w:val="right"/>
              <w:ind w:right="571"/>
              <w:spacing w:after="0"/>
              <w:rPr>
                <w:sz w:val="20"/>
                <w:szCs w:val="20"/>
                <w:color w:val="auto"/>
              </w:rPr>
            </w:pPr>
            <w:r>
              <w:rPr>
                <w:rFonts w:ascii="Arial" w:cs="Arial" w:eastAsia="Arial" w:hAnsi="Arial"/>
                <w:sz w:val="16"/>
                <w:szCs w:val="16"/>
                <w:b w:val="1"/>
                <w:bCs w:val="1"/>
                <w:color w:val="auto"/>
              </w:rPr>
              <w:t>Three Months Ended March 31,</w:t>
            </w:r>
          </w:p>
        </w:tc>
      </w:tr>
      <w:tr>
        <w:trPr>
          <w:trHeight w:val="237"/>
        </w:trPr>
        <w:tc>
          <w:tcPr>
            <w:tcW w:w="75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32"/>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31"/>
              <w:spacing w:after="0"/>
              <w:rPr>
                <w:sz w:val="20"/>
                <w:szCs w:val="20"/>
                <w:color w:val="auto"/>
              </w:rPr>
            </w:pPr>
            <w:r>
              <w:rPr>
                <w:rFonts w:ascii="Arial" w:cs="Arial" w:eastAsia="Arial" w:hAnsi="Arial"/>
                <w:sz w:val="16"/>
                <w:szCs w:val="16"/>
                <w:b w:val="1"/>
                <w:bCs w:val="1"/>
                <w:color w:val="auto"/>
              </w:rPr>
              <w:t>2025</w:t>
            </w:r>
          </w:p>
        </w:tc>
      </w:tr>
      <w:tr>
        <w:trPr>
          <w:trHeight w:val="234"/>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4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r>
      <w:tr>
        <w:trPr>
          <w:trHeight w:val="265"/>
        </w:trPr>
        <w:tc>
          <w:tcPr>
            <w:tcW w:w="7520" w:type="dxa"/>
            <w:vAlign w:val="bottom"/>
          </w:tcPr>
          <w:p>
            <w:pPr>
              <w:ind w:left="400"/>
              <w:spacing w:after="0"/>
              <w:rPr>
                <w:sz w:val="20"/>
                <w:szCs w:val="20"/>
                <w:color w:val="auto"/>
              </w:rPr>
            </w:pPr>
            <w:r>
              <w:rPr>
                <w:rFonts w:ascii="Arial" w:cs="Arial" w:eastAsia="Arial" w:hAnsi="Arial"/>
                <w:sz w:val="18"/>
                <w:szCs w:val="18"/>
                <w:color w:val="auto"/>
              </w:rPr>
              <w:t>Net income</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210,467</w:t>
            </w:r>
          </w:p>
        </w:tc>
        <w:tc>
          <w:tcPr>
            <w:tcW w:w="100" w:type="dxa"/>
            <w:vAlign w:val="bottom"/>
          </w:tcPr>
          <w:p>
            <w:pPr>
              <w:spacing w:after="0"/>
              <w:rPr>
                <w:sz w:val="23"/>
                <w:szCs w:val="23"/>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159,616</w:t>
            </w:r>
          </w:p>
        </w:tc>
      </w:tr>
      <w:tr>
        <w:trPr>
          <w:trHeight w:val="20"/>
        </w:trPr>
        <w:tc>
          <w:tcPr>
            <w:tcW w:w="75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22"/>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Denominator:</w:t>
            </w:r>
          </w:p>
        </w:tc>
        <w:tc>
          <w:tcPr>
            <w:tcW w:w="4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spacing w:after="0"/>
              <w:rPr>
                <w:sz w:val="19"/>
                <w:szCs w:val="19"/>
                <w:color w:val="auto"/>
              </w:rPr>
            </w:pPr>
          </w:p>
        </w:tc>
      </w:tr>
      <w:tr>
        <w:trPr>
          <w:trHeight w:val="247"/>
        </w:trPr>
        <w:tc>
          <w:tcPr>
            <w:tcW w:w="7520" w:type="dxa"/>
            <w:vAlign w:val="bottom"/>
          </w:tcPr>
          <w:p>
            <w:pPr>
              <w:ind w:left="400"/>
              <w:spacing w:after="0"/>
              <w:rPr>
                <w:sz w:val="20"/>
                <w:szCs w:val="20"/>
                <w:color w:val="auto"/>
              </w:rPr>
            </w:pPr>
            <w:r>
              <w:rPr>
                <w:rFonts w:ascii="Arial" w:cs="Arial" w:eastAsia="Arial" w:hAnsi="Arial"/>
                <w:sz w:val="18"/>
                <w:szCs w:val="18"/>
                <w:color w:val="auto"/>
              </w:rPr>
              <w:t>Weighted-average common shares outstanding — basic</w:t>
            </w:r>
          </w:p>
        </w:tc>
        <w:tc>
          <w:tcPr>
            <w:tcW w:w="4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258,329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278,804</w:t>
            </w:r>
          </w:p>
        </w:tc>
      </w:tr>
      <w:tr>
        <w:trPr>
          <w:trHeight w:val="23"/>
        </w:trPr>
        <w:tc>
          <w:tcPr>
            <w:tcW w:w="7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5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Dilutive securities</w:t>
            </w:r>
          </w:p>
        </w:tc>
        <w:tc>
          <w:tcPr>
            <w:tcW w:w="4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8,993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9,373</w:t>
            </w:r>
          </w:p>
        </w:tc>
      </w:tr>
      <w:tr>
        <w:trPr>
          <w:trHeight w:val="241"/>
        </w:trPr>
        <w:tc>
          <w:tcPr>
            <w:tcW w:w="7520" w:type="dxa"/>
            <w:vAlign w:val="bottom"/>
          </w:tcPr>
          <w:p>
            <w:pPr>
              <w:ind w:left="400"/>
              <w:spacing w:after="0"/>
              <w:rPr>
                <w:sz w:val="20"/>
                <w:szCs w:val="20"/>
                <w:color w:val="auto"/>
              </w:rPr>
            </w:pPr>
            <w:r>
              <w:rPr>
                <w:rFonts w:ascii="Arial" w:cs="Arial" w:eastAsia="Arial" w:hAnsi="Arial"/>
                <w:sz w:val="18"/>
                <w:szCs w:val="18"/>
                <w:color w:val="auto"/>
              </w:rPr>
              <w:t>Weighted-average common shares outstanding — diluted</w:t>
            </w:r>
          </w:p>
        </w:tc>
        <w:tc>
          <w:tcPr>
            <w:tcW w:w="4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267,322</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288,177</w:t>
            </w:r>
          </w:p>
        </w:tc>
      </w:tr>
      <w:tr>
        <w:trPr>
          <w:trHeight w:val="23"/>
        </w:trPr>
        <w:tc>
          <w:tcPr>
            <w:tcW w:w="75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75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37"/>
        </w:trPr>
        <w:tc>
          <w:tcPr>
            <w:tcW w:w="75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r>
      <w:tr>
        <w:trPr>
          <w:trHeight w:val="270"/>
        </w:trPr>
        <w:tc>
          <w:tcPr>
            <w:tcW w:w="7520" w:type="dxa"/>
            <w:vAlign w:val="bottom"/>
          </w:tcPr>
          <w:p>
            <w:pPr>
              <w:ind w:left="20"/>
              <w:spacing w:after="0"/>
              <w:rPr>
                <w:sz w:val="20"/>
                <w:szCs w:val="20"/>
                <w:color w:val="auto"/>
              </w:rPr>
            </w:pPr>
            <w:r>
              <w:rPr>
                <w:rFonts w:ascii="Arial" w:cs="Arial" w:eastAsia="Arial" w:hAnsi="Arial"/>
                <w:sz w:val="18"/>
                <w:szCs w:val="18"/>
                <w:color w:val="auto"/>
              </w:rPr>
              <w:t>Net income per share — basic</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0.81</w:t>
            </w:r>
          </w:p>
        </w:tc>
        <w:tc>
          <w:tcPr>
            <w:tcW w:w="100" w:type="dxa"/>
            <w:vAlign w:val="bottom"/>
          </w:tcPr>
          <w:p>
            <w:pPr>
              <w:spacing w:after="0"/>
              <w:rPr>
                <w:sz w:val="23"/>
                <w:szCs w:val="23"/>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0.57</w:t>
            </w:r>
          </w:p>
        </w:tc>
      </w:tr>
      <w:tr>
        <w:trPr>
          <w:trHeight w:val="20"/>
        </w:trPr>
        <w:tc>
          <w:tcPr>
            <w:tcW w:w="75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89"/>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share — diluted</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0.55</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60" w:firstLine="648"/>
        <w:spacing w:after="0" w:line="278" w:lineRule="auto"/>
        <w:rPr>
          <w:sz w:val="20"/>
          <w:szCs w:val="20"/>
          <w:color w:val="auto"/>
        </w:rPr>
      </w:pPr>
      <w:r>
        <w:rPr>
          <w:rFonts w:ascii="Arial" w:cs="Arial" w:eastAsia="Arial" w:hAnsi="Arial"/>
          <w:sz w:val="17"/>
          <w:szCs w:val="17"/>
          <w:color w:val="auto"/>
        </w:rPr>
        <w:t>Basic net income per share is computed using the weighted-average number of common shares outstanding during the periods. The diluted net income per share is computed using the weighted-average number of common shares outstanding and dilutive potential common shares outstanding during the periods. Dilutive common shares outstanding include the dilutive effect of in-the-money options, unvested RSUs (including market condition-based RSUs), unvested PSUs when the performance condition is met and ESPP contributions. The dilutive effect of such equity awards is calculated based on the average share price for each fiscal period using the treasury stock method.</w:t>
      </w:r>
    </w:p>
    <w:p>
      <w:pPr>
        <w:spacing w:after="0" w:line="110" w:lineRule="exact"/>
        <w:rPr>
          <w:sz w:val="20"/>
          <w:szCs w:val="20"/>
          <w:color w:val="auto"/>
        </w:rPr>
      </w:pPr>
    </w:p>
    <w:p>
      <w:pPr>
        <w:ind w:right="100" w:firstLine="648"/>
        <w:spacing w:after="0" w:line="268" w:lineRule="auto"/>
        <w:rPr>
          <w:sz w:val="20"/>
          <w:szCs w:val="20"/>
          <w:color w:val="auto"/>
        </w:rPr>
      </w:pPr>
      <w:r>
        <w:rPr>
          <w:rFonts w:ascii="Arial" w:cs="Arial" w:eastAsia="Arial" w:hAnsi="Arial"/>
          <w:sz w:val="18"/>
          <w:szCs w:val="18"/>
          <w:color w:val="auto"/>
        </w:rPr>
        <w:t>Certain potential common shares were excluded from our calculation of weighted-average common shares outstanding — diluted because either they would have had an anti-dilutive effect on net income per share or they were related to shares from PSUs or from market condition-based RSUs that were contingently issuable, and the contingency had not been satisfied at the end of the reporting period.</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weighted-average potential common shares excluded from our calculation were as follows (in thousands):</w:t>
      </w:r>
    </w:p>
    <w:p>
      <w:pPr>
        <w:spacing w:after="0" w:line="230" w:lineRule="exact"/>
        <w:rPr>
          <w:sz w:val="20"/>
          <w:szCs w:val="20"/>
          <w:color w:val="auto"/>
        </w:rPr>
      </w:pPr>
    </w:p>
    <w:p>
      <w:pPr>
        <w:ind w:left="820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29210</wp:posOffset>
            </wp:positionV>
            <wp:extent cx="233997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56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0" w:type="dxa"/>
            <w:vAlign w:val="bottom"/>
            <w:tcBorders>
              <w:bottom w:val="single" w:sz="8" w:color="auto"/>
            </w:tcBorders>
          </w:tcPr>
          <w:p>
            <w:pPr>
              <w:jc w:val="right"/>
              <w:ind w:right="635"/>
              <w:spacing w:after="0"/>
              <w:rPr>
                <w:sz w:val="20"/>
                <w:szCs w:val="20"/>
                <w:color w:val="auto"/>
              </w:rPr>
            </w:pPr>
            <w:r>
              <w:rPr>
                <w:rFonts w:ascii="Arial" w:cs="Arial" w:eastAsia="Arial" w:hAnsi="Arial"/>
                <w:sz w:val="16"/>
                <w:szCs w:val="16"/>
                <w:b w:val="1"/>
                <w:bCs w:val="1"/>
                <w:color w:val="auto"/>
              </w:rPr>
              <w:t>2025</w:t>
            </w:r>
          </w:p>
        </w:tc>
      </w:tr>
      <w:tr>
        <w:trPr>
          <w:trHeight w:val="244"/>
        </w:trPr>
        <w:tc>
          <w:tcPr>
            <w:tcW w:w="8720" w:type="dxa"/>
            <w:vAlign w:val="bottom"/>
            <w:gridSpan w:val="2"/>
            <w:shd w:val="clear" w:color="auto" w:fill="CCEEFF"/>
          </w:tcPr>
          <w:p>
            <w:pPr>
              <w:jc w:val="right"/>
              <w:ind w:right="3439"/>
              <w:spacing w:after="0"/>
              <w:rPr>
                <w:sz w:val="20"/>
                <w:szCs w:val="20"/>
                <w:color w:val="auto"/>
              </w:rPr>
            </w:pPr>
            <w:r>
              <w:rPr>
                <w:rFonts w:ascii="Arial" w:cs="Arial" w:eastAsia="Arial" w:hAnsi="Arial"/>
                <w:sz w:val="18"/>
                <w:szCs w:val="18"/>
                <w:color w:val="auto"/>
              </w:rPr>
              <w:t>Anti-dilutive securities and contingently issuable shares excluded</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2,940</w:t>
            </w:r>
          </w:p>
        </w:tc>
        <w:tc>
          <w:tcPr>
            <w:tcW w:w="10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w:t>
            </w:r>
          </w:p>
        </w:tc>
      </w:tr>
      <w:tr>
        <w:trPr>
          <w:trHeight w:val="23"/>
        </w:trPr>
        <w:tc>
          <w:tcPr>
            <w:tcW w:w="75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COMMITMENTS AND CONTINGENCIES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MSN ANDA Litigation</w:t>
      </w:r>
    </w:p>
    <w:p>
      <w:pPr>
        <w:spacing w:after="0" w:line="169"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Consolidated lawsuits in the United States District Court for the District of Delaware (the Delaware District Court), numbered Civil Action Nos. 19-02017 and 20-00633 (collectively referred to as MSN I), related to an Abbreviated New Drug Application (ANDA) submitted to the FDA and an amendment thereto by MSN Pharmaceuticals, Inc. (individually and collectively with certain of its affiliates, including MSN Laboratories Private Limited, referred to as MSN), requesting approval to market a generic version of CABOMETYX tablets. The litigation included U.S. Patents No. 7,579,473, composition of matter (the ’473 Patent), 8,497,284, methods of treatment (the ’284 Patent), 8,877,776, salt and polymorphic forms (the ’776 Patent), 9,724,342, formulations (the ’342 Patent), 10,034,873, methods of treatment (the ’873 Patent), and 10,039,757, methods of treatment (the ’757 Patent), which are listed in the Approved Drug Products with Therapeutic Equivalence Evaluations, also referred to as the Orange Book, for CABOMETYX. On January 19, 2023, the Delaware District Court issued a ruling rejecting MSN’s invalidity challenge to the ’473 Patent. The Delaware District Court also ruled that MSN’s proposed ANDA product does not infringe the ’776 Patent. In accordance with these rulings, the Delaware District Court entered judgment that the effective date of any final FDA approval of MSN’s ANDA shall not be a date earlier than August 14, 2026, the expiration date of the ’473 Patent. Final judgment was entered on January 30, 2023. This ruling in MSN I did not impact our separate MSN II lawsuit (as defined below).</w:t>
      </w:r>
    </w:p>
    <w:p>
      <w:pPr>
        <w:sectPr>
          <w:pgSz w:w="11900" w:h="16838" w:orient="portrait"/>
          <w:cols w:equalWidth="0" w:num="1">
            <w:col w:w="11240"/>
          </w:cols>
          <w:pgMar w:left="320" w:top="2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On January 11, 2022, we received notice from MSN that it had further amended its ANDA to assert additional Paragraph IV certifications. In particular, the January 11, 2022 amended ANDA requested approval to market a generic version of CABOMETYX tablets prior to expiration of three previously-unasserted CABOMETYX patents that are now listed in the Orange Book: U.S. Patents No. 11,091,439, crystalline salt forms (the ’439 Patent), 11,091,440, pharmaceutical composition (the ’440 Patent), and 11,098,015, methods of treatment (the ’015 Patent). On February 23, 2022, we filed a complaint in the Delaware District Court for patent infringement against MSN asserting infringement of the ’439, ’440, and ’015 Patents arising from MSN’s further amendment of its ANDA filing with the FDA. On February 25, 2022, MSN filed its response to the complaint, alleging that the asserted claims of the ’439, ’440, and ’015 Patents are invalid and not infringed. On June 7, 2022, we received notice from MSN that it had further amended its ANDA to assert an additional Paragraph IV certification. As currently amended, MSN’s ANDA now requests approval to market a generic version of CABOMETYX tablets prior to expiration of a previously-unasserted CABOMETYX patent that is now listed in the Orange Book: U.S. Patent No. 11,298,349, pharmaceutical composition (the ’349 Patent). On July 18, 2022, we filed a complaint in the Delaware District Court for patent infringement against MSN asserting infringement of the ’349 Patent arising from MSN’s further amendment of its ANDA filing with the FDA. On August 9, 2022, MSN filed its response to the complaint, alleging that the asserted claims of the ’349 Patent are invalid and not infringed and amended its challenges to the ’439, ’440, and ’015 Patents to allege that these patents are not enforceable based on equitable grounds. The two lawsuits comprising this litigation (collectively referred to as MSN II), numbered Civil Action Nos. 22-00228 and 22-00945, were consolidated in October 2022 and involve Exelixis patents that are different from those asserted in the MSN I litigation described above.</w:t>
      </w:r>
    </w:p>
    <w:p>
      <w:pPr>
        <w:spacing w:after="0" w:line="141"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On June 21, 2022, pursuant to a stipulation between us and MSN, the Delaware District Court entered an order that (i) MSN’s submission of its ANDA constitutes infringement of certain claims relating to the ’439, ’440, and ’015 Patents, if those claims are not found to be invalid, and (ii) upon approval, MSN’s commercial manufacture, use, sale or offer for sale within the U.S., and importation into the U.S., of MSN’s proposed ANDA product prior to the expiration of these patents would also infringe certain claims of each patent, if those claims are not found to be invalid. In our MSN II complaints, we sought, among other relief, an order that the effective date of any FDA approval of MSN’s ANDA would be a date no earlier than the expiration of the ’439, ’440, ’015, and ’349 Patents, the latest of which expires on February 10, 2032, and equitable relief enjoining MSN from infringing these patents. On September 28, 2023, the Delaware District Court granted the parties’ stipulation of dismissal of MSN’s equitable defenses and counterclaims. A bench trial occurred in October 2023, and on October 15, 2024, the Delaware District Court issued a ruling rejecting MSN’s invalidity challenge to each of the ’439, ’440, and ’015 Patents. The Delaware District Court also ruled that the ’349 Patent is not invalid and that MSN’s proposed ANDA product does not infringe this patent. In accordance with these rulings, the Delaware District Court entered final judgment on October 23, 2024, that, should the FDA ultimately approve MSN’s ANDA, the effective date of any such approval of MSN’s ANDA shall not be a date earlier than January 15, 2030, the expiration date of each of the ’439, ’440, and ’015 Patents, subject to our potential additional regulatory exclusivity.</w:t>
      </w:r>
    </w:p>
    <w:p>
      <w:pPr>
        <w:spacing w:after="0" w:line="133" w:lineRule="exact"/>
        <w:rPr>
          <w:sz w:val="20"/>
          <w:szCs w:val="20"/>
          <w:color w:val="auto"/>
        </w:rPr>
      </w:pPr>
    </w:p>
    <w:p>
      <w:pPr>
        <w:ind w:right="360" w:firstLine="648"/>
        <w:spacing w:after="0" w:line="262" w:lineRule="auto"/>
        <w:rPr>
          <w:sz w:val="20"/>
          <w:szCs w:val="20"/>
          <w:color w:val="auto"/>
        </w:rPr>
      </w:pPr>
      <w:r>
        <w:rPr>
          <w:rFonts w:ascii="Arial" w:cs="Arial" w:eastAsia="Arial" w:hAnsi="Arial"/>
          <w:sz w:val="18"/>
          <w:szCs w:val="18"/>
          <w:color w:val="auto"/>
        </w:rPr>
        <w:t>On November 22, 2024, MSN noticed an appeal to the Court of Appeals for the Federal Circuit (CAFC) and we noticed a cross-appeal on November 26, 2024. On April 1, 2025, MSN filed its Opening Brief arguing that the asserted claims of the ’439, ’440, ’015, and ’349 Patents are invalid. On June 10, 2025, the CAFC granted our request to dismiss our cross-appeal. On June 11, 2025, we filed our Response Brief. On August 1, 2025, MSN filed its Reply Brief. Oral argument in this matter has been scheduled for June 4, 2026.</w:t>
      </w:r>
    </w:p>
    <w:p>
      <w:pPr>
        <w:spacing w:after="0" w:line="122"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In February 2025, we received another notice letter from MSN regarding its ANDA, requesting FDA approval to market a generic version of CABOMETYX tablets. MSN’s notice letter included a Paragraph IV certification with respect to Orange Book-listed patent U.S. Patent No. 12,128,039, low impurity (the ’039 Patent), which expires in 2032. On March 19, 2025, we filed a complaint in the Delaware District Court for patent infringement against MSN asserting infringement of this patent arising from MSN’s further amendment of its ANDA filing with the FDA. On April 10, 2025, MSN filed its response to the complaint, alleging that the asserted claims of the ’039 Patent are invalid, unenforceable, and not infringed. On May 1, 2025, we filed our answer to MSN’s counterclaim. On August 18, 2025, pursuant to a stipulation between us and MSN, the Delaware District Court entered an order that (i) MSN’s submission of its ANDA constitutes infringement of certain claims relating to the ’039 Patent, if those claims are not found to be invalid or unenforceable, and (ii) upon approval, MSN’s commercial manufacture, use, sale or offer for sale within the U.S., and importation into the U.S., of MSN’s proposed ANDA product prior to the expiration of the ’039 Patent would also infringe certain claims of the patent, if those claims are not found to be invalid or unenforceable. This litigation has been consolidated with the Sun Pharmaceutical Industries Ltd. (Sun) and Azurity Pharmaceuticals, Inc. (Azurity) litigations for the trial scheduled for November 2, 2026 (Consolidated Litigation). For additional information on the Consolidated Litigation, see “– Legal Proceedings – Consolidated Litigation.”</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2" w:right="359" w:bottom="1440" w:gutter="0" w:footer="0" w:header="0"/>
        </w:sectPr>
      </w:pPr>
    </w:p>
    <w:bookmarkStart w:id="20" w:name="page21"/>
    <w:bookmarkEnd w:id="2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Sun ANDA Litigation</w:t>
      </w:r>
    </w:p>
    <w:p>
      <w:pPr>
        <w:spacing w:after="0" w:line="16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September 17, 2024, we received a notice letter regarding an ANDA submitted to the FDA by Sun, requesting approval to market a generic version of CABOMETYX tablets. Sun’s notice letter included a Paragraph IV certification with respect to the ’776 Patent, the ’342 Patent, the ’873 Patent, the ’757 Patent, the ’439 Patent, the ’440 Patent, the ’015 Patent, and the ’349 Patent, which are listed in the Orange Book, for CABOMETYX. On October 30, 2024, we filed a complaint in the Delaware District Court for patent infringement against Sun asserting infringement of the ’776, ’439, ’440, and ’015 Patents. On January 22, 2025, Sun filed its response to the complaint, alleging that the asserted claims of the patents at issue are invalid and not infringed. Sun also filed counterclaims that, inter alia, seek a declaratory judgment that Sun’s ANDA would not infringe any valid and enforceable claim of the ’776, ’439, ’440, ’015, ’342, ’873, ’757, and ’349 Patents. On March 14, 2025, we filed our answer to Sun’s counterclaims.</w:t>
      </w:r>
    </w:p>
    <w:p>
      <w:pPr>
        <w:spacing w:after="0" w:line="13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February 2025, we received another notice letter from Sun regarding its ANDA, requesting FDA approval to market a generic version of CABOMETYX tablets. Sun’s notice letter included a Paragraph IV certification with respect to Orange Book-listed ’039 Patent, which expires in 2032. On April 4, 2025, we filed a complaint in the Delaware District Court for patent infringement against Sun asserting infringement of the ’039 Patent arising from Sun’s amendment of its ANDA filing with the FDA. On June 9, 2025, Sun filed its response to the complaint, alleging that the asserted claims of the ’039 Patent are invalid, unenforceable, and not infringed. On June 30, 2025, we filed our answer to Sun’s counterclaim.</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Sun litigations were consolidated in the Consolidated Litigation.</w:t>
      </w:r>
    </w:p>
    <w:p>
      <w:pPr>
        <w:spacing w:after="0" w:line="171" w:lineRule="exact"/>
        <w:rPr>
          <w:sz w:val="20"/>
          <w:szCs w:val="20"/>
          <w:color w:val="auto"/>
        </w:rPr>
      </w:pPr>
    </w:p>
    <w:p>
      <w:pPr>
        <w:ind w:right="40" w:firstLine="648"/>
        <w:spacing w:after="0" w:line="262" w:lineRule="auto"/>
        <w:rPr>
          <w:sz w:val="20"/>
          <w:szCs w:val="20"/>
          <w:color w:val="auto"/>
        </w:rPr>
      </w:pPr>
      <w:r>
        <w:rPr>
          <w:rFonts w:ascii="Arial" w:cs="Arial" w:eastAsia="Arial" w:hAnsi="Arial"/>
          <w:sz w:val="18"/>
          <w:szCs w:val="18"/>
          <w:color w:val="auto"/>
        </w:rPr>
        <w:t>In December 2025, we entered into a settlement agreement (Sun Settlement Agreement) with Sun. In accordance with the Sun Settlement Agreement, the parties terminated all ongoing Hatch-Waxman litigation between Exelixis and Sun regarding CABOMETYX patents pending in the U.S. District Court for the District of Delaware. These Sun litigations were terminated on December 30, 2025, at which time, in accordance with the Sun Settlement Agreement, Sun was dismissed from the Consolidated Litigation.</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Azurity 505(b)(2) NDA Litigation</w:t>
      </w:r>
    </w:p>
    <w:p>
      <w:pPr>
        <w:spacing w:after="0" w:line="16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March 2025, we received a notice letter regarding a 505(b)(2) New Drug Application (505(b)(2)) submitted to the FDA by Azurity, requesting approval to market cabozantinib tablets. Azurity’s notice letter included a Paragraph IV certification with respect to the ’776 Patent, the ’342 Patent, the ’873 Patent, the ’757 Patent, the ’439 Patent, the ’440 Patent, the ’015 Patent, the ’349 Patent, and the ’039 Patent which are listed in the Orange Book, for CABOMETYX. On April 18, 2025, we filed a complaint in the Delaware District Court for patent infringement against Azurity asserting infringement of the ’776, ’439, ’440, ’015, ’349, and ’039 Patents. On April 24, 2025, we filed our First Amended Complaint alleging infringement of the same patents. On June 11, 2025, Azurity filed its response to the complaint, alleging that the asserted claims of the patents at issue are not infringed and/or invalid. On July 2, 2025, we filed our answer to Azurity’s counterclaims. On July 28, 2025, Azurity filed motions for judgment on the pleadings regarding the non-infringement of the ’776, ’439, ’440, ’015, ’349, and ’039 Patents. On August 25, 2025, we filed our answering briefs to Azurity’s motions for judgment on the pleadings. On September 15, 2025, Azurity filed its reply briefs. This Azurity litigation was consolidated in the Consolidated Litigation.</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Consolidated Litigation</w:t>
      </w:r>
    </w:p>
    <w:p>
      <w:pPr>
        <w:spacing w:after="0" w:line="169" w:lineRule="exact"/>
        <w:rPr>
          <w:sz w:val="20"/>
          <w:szCs w:val="20"/>
          <w:color w:val="auto"/>
        </w:rPr>
      </w:pPr>
    </w:p>
    <w:p>
      <w:pPr>
        <w:ind w:right="120" w:firstLine="648"/>
        <w:spacing w:after="0" w:line="268" w:lineRule="auto"/>
        <w:rPr>
          <w:sz w:val="20"/>
          <w:szCs w:val="20"/>
          <w:color w:val="auto"/>
        </w:rPr>
      </w:pPr>
      <w:r>
        <w:rPr>
          <w:rFonts w:ascii="Arial" w:cs="Arial" w:eastAsia="Arial" w:hAnsi="Arial"/>
          <w:sz w:val="18"/>
          <w:szCs w:val="18"/>
          <w:color w:val="auto"/>
        </w:rPr>
        <w:t>On August 8, 2025, the Delaware District Court ordered that the then -pending abovementioned MSN, Sun, and Azurity district court litigations be consolidated with the trial scheduled for November 2, 2026. On December 30, 2025, in accordance with the Sun Settlement Agreement, Sun was dismissed from the Consolidated Litigation.</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w:t>
      </w:r>
    </w:p>
    <w:p>
      <w:pPr>
        <w:spacing w:after="0" w:line="16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November 2025, we received a notice letter regarding a 505(b)(2) New Drug Application submitted to the FDA by Handa Oncology, LLC (Handa), requesting approval to market cabozantinib capsules (in the form of cabozantinib lauryl sulfate). Handa’s notice letter included a Paragraph IV certification with respect to the ’776 Patent, the ’342 Patent, the ’873 Patent, the ’757 Patent, the ’439 Patent, the ’440 Patent, the ’015 Patent, the ’349 Patent, and the ’039 Patent which are listed in the Orange Book, for CABOMETYX. Handa’s notice letter also included a Paragraph III certification with respect to the ’473 patent. In April 2026, we filed a citizen petition with the FDA pursuant to section 505(q) of the Food, Drug, and Cosmetic Act notifying the FDA that Handa’s application raises new questions of safety and effectiveness requiring clinical data to support approval. The company continues to evaluate all legal and strategic options with respect to Handa’s product.</w:t>
      </w:r>
    </w:p>
    <w:p>
      <w:pPr>
        <w:sectPr>
          <w:pgSz w:w="11900" w:h="16838" w:orient="portrait"/>
          <w:cols w:equalWidth="0" w:num="1">
            <w:col w:w="11220"/>
          </w:cols>
          <w:pgMar w:left="320" w:top="29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2" w:right="35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20" w:firstLine="648"/>
        <w:spacing w:after="0" w:line="262" w:lineRule="auto"/>
        <w:rPr>
          <w:sz w:val="20"/>
          <w:szCs w:val="20"/>
          <w:color w:val="auto"/>
        </w:rPr>
      </w:pPr>
      <w:r>
        <w:rPr>
          <w:rFonts w:ascii="Arial" w:cs="Arial" w:eastAsia="Arial" w:hAnsi="Arial"/>
          <w:sz w:val="18"/>
          <w:szCs w:val="18"/>
          <w:color w:val="auto"/>
        </w:rPr>
        <w:t>The sale of any cabozantinib products, including tablets and/or capsules, besides CABOMETYX significantly earlier than CABOMETYX’s patent expiration could decrease our revenues derived from the U.S. sales of CABOMETYX and thereby materially harm our business, financial condition and results of operations. It is not possible at this time to determine the likelihood of an unfavorable outcome or estimate of the amount or range of any potential loss.</w:t>
      </w:r>
    </w:p>
    <w:p>
      <w:pPr>
        <w:spacing w:after="0" w:line="122" w:lineRule="exact"/>
        <w:rPr>
          <w:sz w:val="20"/>
          <w:szCs w:val="20"/>
          <w:color w:val="auto"/>
        </w:rPr>
      </w:pPr>
    </w:p>
    <w:p>
      <w:pPr>
        <w:ind w:right="140" w:firstLine="648"/>
        <w:spacing w:after="0" w:line="268" w:lineRule="auto"/>
        <w:rPr>
          <w:sz w:val="20"/>
          <w:szCs w:val="20"/>
          <w:color w:val="auto"/>
        </w:rPr>
      </w:pPr>
      <w:r>
        <w:rPr>
          <w:rFonts w:ascii="Arial" w:cs="Arial" w:eastAsia="Arial" w:hAnsi="Arial"/>
          <w:sz w:val="18"/>
          <w:szCs w:val="18"/>
          <w:color w:val="auto"/>
        </w:rPr>
        <w:t>We may also from time-to-time become a party or subject to various other legal proceedings and claims, either asserted or unasserted, which arise in the ordinary course of business. Some of these proceedings have involved, and may involve in the future, claims that are subject to substantial uncertainties and unascertainable damages.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3"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i w:val="1"/>
          <w:iCs w:val="1"/>
          <w:color w:val="auto"/>
        </w:rPr>
        <w:t>This Quarterly Report on Form 10-Q contains forward-looking statements. These statements are based on Exelixis, Inc.’s (Exelixis, we, our or us) current expectations, assumptions, estimates and projections about our business and our industry and involve known and unknown risks, uncertainties and other factors that may cause our company’s or our industry’s results, levels of activity, performance or achievements to be materially different from any future results, levels of activity, performance or achievements expressed or implied in, or contemplated by, the forward-looking statements. Our actual results and the timing of events may differ significantly from the results discussed in the forward-looking statements. Factors that might cause such a difference include those discussed in “Risk Factors” in Part I, Item 1A of our Annual Report on Form 10-K for the fiscal year ended December 31, 2025, filed with the Securities and Exchange Commission (SEC) on February 10, 2026 (Fiscal 2025 Form 10-K), as supplemented by the information appearing in Part II, Item 1A of our subsequent Quarterly Reports on Form 10-Q as well as those discussed elsewhere in this report. These and many other factors could affect our future financial and operating results. We undertake no obligation to update any forward-looking statement to reflect events after the date of this report. This discussion and analysis should be read in conjunction with our condensed consolidated financial statements and accompanying notes included in this report and the consolidated financial statements and accompanying notes thereto included in the Fiscal 2025 Form 10-K.</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1"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We are an oncology company innovating next-generation medicines and regimens at the forefront of cancer care. We have produced four marketed pharmaceutical products, two of which are formulations of our flagship molecule, cabozantinib, and we are steadily advancing and evolving our product pipeline portfolio, including our lead clinical asset, zanzalintinib, currently under review by the U.S. Food and Drug Administration (FDA) for the treatment of certain forms of colorectal cancer (CRC), as well as the focus of an extensive late-stage clinical development program in other indications. With a rational and disciplined approach to investment, we are leveraging our internal experience and expertise and the strength of strategic partnerships, to identify and pursue opportunities across the landscape of scientific modalities, including small molecules and biotherapeutics, such as antibody-drug conjugates (ADCs).</w:t>
      </w:r>
    </w:p>
    <w:p>
      <w:pPr>
        <w:spacing w:after="0" w:line="12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Sales related to cabozantinib account for the majority of our revenues. Cabozantinib is an inhibitor of multiple tyrosine kinases, including MET, AXL, VEGF receptors and RET and has been approved by the FDA, and in 68 other countries, for all or a combination of, the following indications: as CABOMETYX® (cabozantinib) tablets for advanced renal cell carcinoma (RCC) (both alone and in combination with Bristol-Myers Squibb Company’s nivolumab (OPDIVO®)), previously treated hepatocellular carcinoma (HCC), previously treated, RAI-refractory differentiated thyroid cancer (DTC) and previously treated, unresectable, locally advanced or metastatic, well-differentiated pancreatic neuroendocrine tumors (pNET) and extra-pancreatic neuroendocrine tumors (epNET); and as COMETRIQ® (cabozantinib) capsules for progressive, metastatic medullary thyroid cancer. For physicians treating these types of cancer, cabozantinib has become or is becoming an important medicine in their selection of effective therapies.</w:t>
      </w:r>
    </w:p>
    <w:p>
      <w:pPr>
        <w:spacing w:after="0" w:line="131"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The other two products resulting from our discovery efforts are: COTELLIC® (cobimetinib), an inhibitor of MEK, approved as part of multiple combination regimens to treat specific forms of advanced melanoma and marketed under a collaboration with Genentech (a member of the Roche Group); and MINNEBRO® (esaxerenone), an oral, non-steroidal, selective blocker of the mineralocorticoid receptor, approved for the treatment of hypertension in Japan and licensed to Daiichi Sankyo Company, Limited.</w:t>
      </w:r>
    </w:p>
    <w:p>
      <w:pPr>
        <w:spacing w:after="0" w:line="122"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We plan to continue leveraging our operating cash flows to advance a broad array of diverse biotherapeutics and small molecule programs for the treatment of cancer, as well as to support company-sponsored and externally sponsored clinical trials evaluating cabozantinib and zanzalintinib, a novel oral inhibitor of kinases including the TAM kinases (TYRO3, AXL, MER), MET and VEGF receptors. Our zanzalintinib development program includes a series of ongoing and planned pivotal trials to explore its therapeutic potential in CRC, clear cell (cc) and non-clear cell (ncc) RCC, and neuroendocrine</w:t>
      </w:r>
    </w:p>
    <w:p>
      <w:pPr>
        <w:sectPr>
          <w:pgSz w:w="11900" w:h="16838" w:orient="portrait"/>
          <w:cols w:equalWidth="0" w:num="1">
            <w:col w:w="11220"/>
          </w:cols>
          <w:pgMar w:left="320" w:top="29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2" w:right="35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tumors (NET), as well as earlier-stage trials in meningioma, lung cancer and castration-resistant prostate cancer. Our pipeline programs in phase 1 development each have best-in-class potential and include: XL309, a small molecule inhibitor of USP1, which has emerged as a synthetic lethal target in the context of BRCA-mutated tumors; XB010, an ADC consisting of a MMAE payload conjugated to a mAb targeting the tumor antigen 5T4; XB628, a first-in-class bispecific antibody that simultaneously targets PD-L1 and NKG2A, identified as key regulators of adaptive and innate immune cell activity; and XB371, a next-generation tissue factor (TF)-targeting ADC with a topoisomerase inhibitor payload. We complement our internal drug discovery and development efforts by in-licensing or acquiring, or obtaining options to in-license or acquire, investigational oncology assets from third parties if those oncology assets demonstrate evidence of, or potential for, clinical success.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Cabozantinib Franchise</w:t>
      </w:r>
    </w:p>
    <w:p>
      <w:pPr>
        <w:spacing w:after="0" w:line="16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FDA first approved CABOMETYX in the U.S. as a monotherapy for previously treated patients with advanced RCC in April 2016, and then for previously untreated patients with advanced RCC in December 2017. In January 2021, the CABOMETYX label was expanded to include first-line advanced RCC in combination with nivolumab, which was the first CABOMETYX regimen approved for treatment in combination with an immune checkpoint inhibitor (ICI). In addition to RCC, in January 2019, the FDA approved CABOMETYX for the treatment of patients with HCC previously treated with sorafenib, and in September 2021, the FDA approved CABOMETYX for the treatment of adult and pediatric patients 12 years of age and older with locally advanced or metastatic DTC that has progressed following prior VEGF receptor-targeted therapy and who are RAI-refractory or ineligible. In March 2025, the FDA approved CABOMETYX for the treatment of adult and pediatric patients 12 years of age and older with previously treated, unresectable, locally advanced or metastatic, well-differentiated pNET and epNET.</w:t>
      </w:r>
    </w:p>
    <w:p>
      <w:pPr>
        <w:spacing w:after="0" w:line="127" w:lineRule="exact"/>
        <w:rPr>
          <w:sz w:val="20"/>
          <w:szCs w:val="20"/>
          <w:color w:val="auto"/>
        </w:rPr>
      </w:pPr>
    </w:p>
    <w:p>
      <w:pPr>
        <w:ind w:right="20" w:firstLine="648"/>
        <w:spacing w:after="0" w:line="252" w:lineRule="auto"/>
        <w:rPr>
          <w:sz w:val="20"/>
          <w:szCs w:val="20"/>
          <w:color w:val="auto"/>
        </w:rPr>
      </w:pPr>
      <w:r>
        <w:rPr>
          <w:rFonts w:ascii="Arial" w:cs="Arial" w:eastAsia="Arial" w:hAnsi="Arial"/>
          <w:sz w:val="18"/>
          <w:szCs w:val="18"/>
          <w:color w:val="auto"/>
        </w:rPr>
        <w:t>The Inflation Reduction Act of 2022 (IRA) introduced numerous substantial changes to drug pricing, reimbursement and access support in the U.S., including enabling the Centers for Medicare &amp; Medicaid Services (CMS) to assert control over the prices of certain single-source drugs and biotherapeutics reimbursed under Medicare Part B and Part D (the Medicare Drug Price Negotiation Program). CMS has begun to announce rounds of drugs eligible for negotiation and establish so-called “Maximum Fair Prices” (MFP) under the Medicare Drug Price Negotiation Program. The IRA also contains a limited exception for small biotech drug manufacturers, which applies on a drug-specific basis, and provides that qualifying drugs will be exempt from possible pricing negotiation through 2028 and eligible for a lower limit (i.e., a price floor) on the potential MFP in 2029 and 2030, if the manufacturers of those drugs continue to qualify each year (small biotech exception). We have qualified for the small biotech exception with respect to our cabozantinib franchise products through Initial Price Applicability Year (IPAY) 2028. We also intend to apply to CMS to maintain our small biotech exception and price floor each subsequent year through 2030. Separately, in December 2024, CMS released final guidance on another program, the Medicare Part D Manufacturer Discount Program (Part D Discount Program), which requires manufacturers to take on more of the beneficiary cost previously subsidized by the federal government through the application of increased drug discounts. We have since received notice from CMS that we qualify for the "specified small manufacturer” designation and are thereby eligible for a phase-in of the increased manufacturer discounts under the Part D Discount Program, from 2025 to 2031. In April 2026, CMS also issued a final rule on the Part D Discount Program that largely codifies the final guidance. The IRA also imposes additional rebates for certain Part B and Part D drugs where relevant pricing metrics associated with the products increase faster than inflation.</w:t>
      </w:r>
    </w:p>
    <w:p>
      <w:pPr>
        <w:spacing w:after="0" w:line="141"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There have also been proposals from the current U.S. administration that aim to lower prescription drug costs. Central among these proposals is the most favored nation (“MFN”) drug pricing policy, which seeks to equalize the prices of drugs in the U.S. with the prices of those drugs in other developed countries. In 2025, an executive order directed the Department of Health and Human Services (HHS) and other federal agencies to implement MFN pricing through new models and potential regulatory actions. CMS has since announced pilot programs under both the Medicare and Medicaid Programs designed to apply MFN pricing principles to drug reimbursement. The pilot programs would tie reimbursement rates for certain covered drugs to lower prices observed in comparable international markets, though the full scope, timing and impact of these initiatives remain uncertain. Separately, on April 2, 2026, the administration issued a Proclamation under Section 232 of the Trade Expansion Act of 1962, imposing tariffs of up to 100% on certain imported patented pharmaceuticals and pharmaceutical ingredients, subject to exceptions for companies that have reached or are negotiating an MFN agreement, among other exceptions. Adoption of these programs and other measures could limit reimbursement of pharmaceuticals. As a result, the business case for any product that receives regulatory approval for commercial sale in the U.S. may be negatively impacted if the government and third-party payers fail to provide adequate coverage and reimbursement.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To develop and commercialize cabozantinib outside the U.S., we have entered into license agreements with Ipsen Pharma SAS (Ipsen) and Takeda Pharmaceutical Company Limited (Takeda). To Ipsen, we granted the rights to develop and commercialize cabozantinib outside of the U.S. and Japan, and to Takeda we granted such rights in Japan. Both Ipsen and Takeda also contribute financially and operationally to the further global development and commercialization of the cabozantinib franchise, and we work closely with them on these activities. Utilizing its regulatory expertise and established international oncology marketing network, Ipsen has continued to execute on its commercialization plans for CABOMETYX, having received regulatory approvals and launched in multiple territories outside of the U.S., including in the European Economic Area (EEA), which covers all 27 member states of the European Union and Norway, Liechtenstein and Iceland, the United Kingdom and Canada, as a treatment for advanced RCC (both as a monotherapy and in combination with nivolumab) and for previously treated HCC and DTC indications. In July 2025, Ipsen received approval for CABOMETYX as a treatment for previously treated, well-differentiated/unresectable, locally advanced, or metastatic pNET or epNET (with local labeling variations) from the European Commission (EC) for the EEA, and health regulatory authorities in Brazil and Australia, and from health regulatory authorities in Switzerland in October 2025 and Singapore in December 2025. With respect to the Japanese market, Takeda received Manufacturing and Marketing Approvals from the Japanese Pharmaceuticals and Medical Devices Agency for monotherapy CABOMETYX as a treatment of patients with curatively unresectable or metastatic RCC and as a treatment of patients with unresectable HCC that has progressed after cancer chemotherapy, as well as for CABOMETYX in combination with nivolumab as a treatment for unresectable or metastatic RCC.</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Pipeline Activities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Small Molecule Programs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Zanzalintinib</w:t>
      </w:r>
    </w:p>
    <w:p>
      <w:pPr>
        <w:spacing w:after="0" w:line="16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Zanzalintinib is a novel oral inhibitor of kinases including the TAM kinases (TYRO3, AXL, MER), MET and VEGF receptors, which are implicated in cancer’s growth and spread. We are evaluating zanzalintinib in a robust and growing development program that builds on our prior experience with cabozantinib and targets indications with high unmet need. We have established collaborations and will continue to explore additional opportunities for novel combinations with zanzalintinib. To date, we have initiated two large phase 1b/2 clinical trials and one phase 2 clinical trial studying zanzalintinib as a monotherapy and in combination with other therapies, including ICIs (STELLAR-001, STELLAR-002, and STELLAR-201). Patient enrollment into STELLAR-001 was completed in 2023 and preliminary results from a randomized expansion cohort of patients with metastatic CRC were presented at the American Society of Clinical Oncology (ASCO) Gastrointestinal Cancers Symposium in January 2025. In May 2025, preliminary results from an expansion cohort of patients with previously untreated advanced ccRCC from STELLAR-002 were presented at the 2025 ASCO Annual Meeting, along with data from multiple dose-escalation cohorts. In May 2026, we announced an additional expansion cohort for STELLAR-002 evaluating zanzalintinib in combination with docetaxel in metastatic castration-resistant prostate cancer patients with measurable disease, which we expect to open in the second half of 2026.</w:t>
      </w:r>
    </w:p>
    <w:p>
      <w:pPr>
        <w:spacing w:after="0" w:line="128" w:lineRule="exact"/>
        <w:rPr>
          <w:sz w:val="20"/>
          <w:szCs w:val="20"/>
          <w:color w:val="auto"/>
        </w:rPr>
      </w:pPr>
    </w:p>
    <w:p>
      <w:pPr>
        <w:jc w:val="both"/>
        <w:ind w:right="180" w:firstLine="648"/>
        <w:spacing w:after="0" w:line="262" w:lineRule="auto"/>
        <w:rPr>
          <w:sz w:val="20"/>
          <w:szCs w:val="20"/>
          <w:color w:val="auto"/>
        </w:rPr>
      </w:pPr>
      <w:r>
        <w:rPr>
          <w:rFonts w:ascii="Arial" w:cs="Arial" w:eastAsia="Arial" w:hAnsi="Arial"/>
          <w:sz w:val="18"/>
          <w:szCs w:val="18"/>
          <w:color w:val="auto"/>
        </w:rPr>
        <w:t>In April 2026, we initiated STELLAR-201, a phase 2 trial evaluating zanzalintinib in patients with recurrent Grade I/II/III meningioma with relapse or progression following radiation and/or surgery or those who are not candidates for these therapies. The primary endpoint of the trial is objective response rate (ORR), with secondary endpoints including progression-free survival (PFS), duration of response (DOR) and OS.</w:t>
      </w:r>
    </w:p>
    <w:p>
      <w:pPr>
        <w:spacing w:after="0" w:line="122"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 xml:space="preserve">We also have three ongoing pivotal trials, two evaluating zanzalintinib in combination with ICIs and one evaluating zanzalintinib as a monotherapy. Our first such trial, STELLAR-303, was initiated in June 2022 and is evaluating zanzalintinib in combination with atezolizumab versus regorafenib in patients with metastatic, refractory non- microsatellite instability high or non-mismatch repair-deficient CRC. In June 2025, we announced positive top-line results demonstrating a statistically significant improvement in overall survival (OS) versus regorafenib in the intention-to-treat (ITT) population, and in October 2025, announced that the study demonstrated a 20% reduction in the risk of death versus regorafenib in the ITT population at the final analysis (stratified hazard ratio [HR]: 0.80; 95% confidence interval [CI]: 0.69-0.93; P=0.0045). At a prespecified interim analysis, data pertaining to the other dual primary endpoint, OS in patients without liver metastases, showed a trend in OS favoring the combination (15.9 months versus 12.8 months; stratified HR: 0.79; 95% CI: 0.61-1.03; P=0.0875) at a median follow-up of 16.8 months. Detailed findings from the study, including OS and PFS in the ITT population and in the subset of patients without liver metastases, were presented at the 2025 European Society for Medical Oncology Congress in October 2025 and simultaneously published in </w:t>
      </w:r>
      <w:r>
        <w:rPr>
          <w:rFonts w:ascii="Arial" w:cs="Arial" w:eastAsia="Arial" w:hAnsi="Arial"/>
          <w:sz w:val="18"/>
          <w:szCs w:val="18"/>
          <w:i w:val="1"/>
          <w:iCs w:val="1"/>
          <w:color w:val="auto"/>
        </w:rPr>
        <w:t>The Lancet</w:t>
      </w:r>
      <w:r>
        <w:rPr>
          <w:rFonts w:ascii="Arial" w:cs="Arial" w:eastAsia="Arial" w:hAnsi="Arial"/>
          <w:sz w:val="18"/>
          <w:szCs w:val="18"/>
          <w:color w:val="auto"/>
        </w:rPr>
        <w:t>. The trial will proceed to the planned final analysis for the dual primary endpoint of OS in patients without liver metastases, expected in mid-2026, depending on event rates. In December 2025, we submitted a New Drug Application (NDA) to the FDA for zanzalintinib in combination with atezolizumab for the treatment of previously treated metastatic colorectal cancer. In February 2026, we announced</w:t>
      </w:r>
    </w:p>
    <w:p>
      <w:pPr>
        <w:sectPr>
          <w:pgSz w:w="11900" w:h="16838" w:orient="portrait"/>
          <w:cols w:equalWidth="0" w:num="1">
            <w:col w:w="11240"/>
          </w:cols>
          <w:pgMar w:left="320" w:top="2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that the FDA had accepted our NDA and assigned a standard review, with a Prescription Drug User Fee Act (PDUFA) target action date of December 3, 2026.</w:t>
      </w:r>
    </w:p>
    <w:p>
      <w:pPr>
        <w:spacing w:after="0" w:line="99" w:lineRule="exact"/>
        <w:rPr>
          <w:sz w:val="20"/>
          <w:szCs w:val="20"/>
          <w:color w:val="auto"/>
        </w:rPr>
      </w:pPr>
    </w:p>
    <w:p>
      <w:pPr>
        <w:ind w:right="120" w:firstLine="648"/>
        <w:spacing w:after="0" w:line="262" w:lineRule="auto"/>
        <w:rPr>
          <w:sz w:val="20"/>
          <w:szCs w:val="20"/>
          <w:color w:val="auto"/>
        </w:rPr>
      </w:pPr>
      <w:r>
        <w:rPr>
          <w:rFonts w:ascii="Arial" w:cs="Arial" w:eastAsia="Arial" w:hAnsi="Arial"/>
          <w:sz w:val="18"/>
          <w:szCs w:val="18"/>
          <w:color w:val="auto"/>
        </w:rPr>
        <w:t>The second pivotal trial, STELLAR-304, was initiated in December 2022 and is evaluating zanzalintinib in combination with nivolumab versus sunitinib in previously untreated patients with advanced nccRCC. The primary efficacy endpoints for STELLAR-304 are blinded independent radiology committee-assessed PFS and ORR per RECIST 1.1. The secondary efficacy endpoint is OS. We expect top-line results in the second half of 2026, depending on event rates.</w:t>
      </w:r>
    </w:p>
    <w:p>
      <w:pPr>
        <w:spacing w:after="0" w:line="122" w:lineRule="exact"/>
        <w:rPr>
          <w:sz w:val="20"/>
          <w:szCs w:val="20"/>
          <w:color w:val="auto"/>
        </w:rPr>
      </w:pPr>
    </w:p>
    <w:p>
      <w:pPr>
        <w:ind w:right="480" w:firstLine="648"/>
        <w:spacing w:after="0" w:line="268" w:lineRule="auto"/>
        <w:rPr>
          <w:sz w:val="20"/>
          <w:szCs w:val="20"/>
          <w:color w:val="auto"/>
        </w:rPr>
      </w:pPr>
      <w:r>
        <w:rPr>
          <w:rFonts w:ascii="Arial" w:cs="Arial" w:eastAsia="Arial" w:hAnsi="Arial"/>
          <w:sz w:val="18"/>
          <w:szCs w:val="18"/>
          <w:color w:val="auto"/>
        </w:rPr>
        <w:t>In June 2025, we initiated STELLAR-311, a phase 2/3 pivotal trial evaluating zanzalintinib versus everolimus in patients with advanced NET, regardless of site of origin, who had received up to one prior line of therapy. The primary endpoint of the trial is PFS per RECIST 1.1 as assessed by blinded independent central review. Enrollment is currently ongoing.</w:t>
      </w:r>
    </w:p>
    <w:p>
      <w:pPr>
        <w:spacing w:after="0" w:line="117"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Beyond STELLAR-001, STELLAR-002, STELLAR-201, STELLAR-303, STELLAR-304 and STELLAR-311, we intend to initiate additional early-stage and pivotal trials evaluating zanzalintinib across a broad array of potential future indications, including STELLAR-316, a planned phase 3 pivotal trial, in collaboration with Natera, which we anticipate will commence in mid-2026. STELLAR-316 will evaluate zanzalintinib, with and without an ICI, in patients with resected stage II/III CRC who, following completion of definitive therapy, have tested positive for MRD+ and have no radiographic evidence of disease. Natera will provide its Signatera™ assay to identify MRD+ patients for trial enrollment. Also, in May 2026, we announced STELLAR-202, a planned phase 2 trial evaluating zanzalintinib in combination with pembrolizumab in the maintenance setting in squamous non-small cell lung cancer, which we expect to initiate in the second half of 2026.</w:t>
      </w:r>
    </w:p>
    <w:p>
      <w:pPr>
        <w:spacing w:after="0" w:line="129"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To further expand our exploration of the clinical potential of zanzalintinib, we entered into a clinical development collaboration with Merck, known as MSD outside of the United States and Canada. Pursuant to this collaboration, Merck is sponsoring KEYMAKER-U03 (a phase 1/2 trial evaluating zanzalintinib in combination with WELIREG® (belzutifan), Merck's oral HIF-2α inhibitor, in RCC), LITESPARK-033 (a phase 3 trial, initiated in December 2025, evaluating zanzalintinib in combination with WELIREG versus cabozantinib in first-line advanced RCC following an immunotherapy administered in the adjuvant setting) and LITESPARK-034 (a phase 3 trial, initiated in April 2026, evaluating the combination of zanzalintinib and WELIREG versus WELIREG and placebo in second-line or later advanced RCC patients who have progressed on or after both programmed death-ligand 1 (PD-1/L1) and vascular endothelial growth factor receptor-tyrosine kinase inhibitor (VEGFR-TKI) therapies in sequence or in combination). Merck will fund one of these phase 3 studies and we will co-fund the phase 1/2 study and the other phase 3 study, as well as supply zanzalintinib and cabozantinib. Under the collaboration, we continue to retain all global commercial and marketing rights to zanzalintinib.</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Small Molecules</w:t>
      </w:r>
    </w:p>
    <w:p>
      <w:pPr>
        <w:spacing w:after="0" w:line="16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knowledge and experience gained through our efforts to discover cabozantinib, cobimetinib and esaxerenone, each of which were approved by regulatory authorities and are commercially distributed, informs our current strategy for discovering and developing additional small molecules with the potential to treat cancer, including XL309, a potentially best-in-class small molecule inhibitor of USP1, a synthetic lethal target in the context of BRCA-mutated tumors. XL309 is currently being evaluated in a phase 1 clinical trial as monotherapy and in combination with PARP1/2 inhibition in patients with advanced solid tumors and enrollment is ongoing. XL309 has potential in patients whose tumors are no longer responsive to PARPi, including ovarian, breast and prostate cancers. XL309 also has potential in combination with PARPi agents to deepen and prolong the response seen to PARPi, as well as to broaden the activity beyond that observed in patients with tumors that harbor a BRCA1/2 mutation. We also expect to progress a development candidate from our somatostatin receptor subtype 2 agonist program toward a potential investigational new drug (IND) filing in 2026.</w:t>
      </w:r>
    </w:p>
    <w:p>
      <w:pPr>
        <w:spacing w:after="0" w:line="127" w:lineRule="exact"/>
        <w:rPr>
          <w:sz w:val="20"/>
          <w:szCs w:val="20"/>
          <w:color w:val="auto"/>
        </w:rPr>
      </w:pPr>
    </w:p>
    <w:p>
      <w:pPr>
        <w:ind w:right="240" w:firstLine="648"/>
        <w:spacing w:after="0" w:line="268" w:lineRule="auto"/>
        <w:rPr>
          <w:sz w:val="20"/>
          <w:szCs w:val="20"/>
          <w:color w:val="auto"/>
        </w:rPr>
      </w:pPr>
      <w:r>
        <w:rPr>
          <w:rFonts w:ascii="Arial" w:cs="Arial" w:eastAsia="Arial" w:hAnsi="Arial"/>
          <w:sz w:val="18"/>
          <w:szCs w:val="18"/>
          <w:color w:val="auto"/>
        </w:rPr>
        <w:t>Beyond these small molecule assets, we continue to make progress on multiple lead optimization programs for molecules that address a variety of targets, and that we believe have significant potential for clinical differentiation. We anticipate that some of these other programs could reach development candidate status in 2026 and beyond.</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Biotherapeutics</w:t>
      </w:r>
    </w:p>
    <w:p>
      <w:pPr>
        <w:spacing w:after="0" w:line="169"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Part of our drug discovery activity focuses on discovering and advancing various biotherapeutics that have the potential to become anti-cancer therapies, such as bispecific antibodies, ADCs and other innovative treatments. ADCs in particular present a unique opportunity for new cancer treatments, given their capabilities to target the delivery of anti-cancer drug payloads to specific cells expressing the target; this increased precision should minimize collateral impact on healthy tissues that do not express the target. To facilitate the growth of our various biotherapeutics programs, we have established multiple research collaborations and in-licensing arrangements and entered into other strategic transactions,</w:t>
      </w:r>
    </w:p>
    <w:p>
      <w:pPr>
        <w:sectPr>
          <w:pgSz w:w="11900" w:h="16838" w:orient="portrait"/>
          <w:cols w:equalWidth="0" w:num="1">
            <w:col w:w="11240"/>
          </w:cols>
          <w:pgMar w:left="320" w:top="2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aimed at conserving capital and managing risks, that provide us with access to antibodies, binders, payloads and conjugation technologies, which are the components employed to generate next-generation ADCs or multispecific antibodies. We have also established laboratories for discovery of novel biologics with capabilities in antibody engineering, ADC chemistry, bioanalysis and preclinical testing.</w:t>
      </w:r>
    </w:p>
    <w:p>
      <w:pPr>
        <w:spacing w:after="0" w:line="117" w:lineRule="exact"/>
        <w:rPr>
          <w:sz w:val="20"/>
          <w:szCs w:val="20"/>
          <w:color w:val="auto"/>
        </w:rPr>
      </w:pPr>
    </w:p>
    <w:p>
      <w:pPr>
        <w:ind w:right="140" w:firstLine="648"/>
        <w:spacing w:after="0" w:line="281" w:lineRule="auto"/>
        <w:rPr>
          <w:sz w:val="20"/>
          <w:szCs w:val="20"/>
          <w:color w:val="auto"/>
        </w:rPr>
      </w:pPr>
      <w:r>
        <w:rPr>
          <w:rFonts w:ascii="Arial" w:cs="Arial" w:eastAsia="Arial" w:hAnsi="Arial"/>
          <w:sz w:val="17"/>
          <w:szCs w:val="17"/>
          <w:color w:val="auto"/>
        </w:rPr>
        <w:t>As part of our strategy to access clinical- or near-clinical-stage assets, we executed an exclusive option and license agreement and clinical development collaboration with Sairopa B.V. (Sairopa) to develop ADU-1805. ADU-1805 is currently being evaluated in a phase 1 clinical trial in patients with advanced or metastatic refractory solid tumors, as monotherapy and in combination with pembrolizumab. Enrollment is ongoing. In addition to the option deal with Sairopa, some of our active collaborations for biotherapeutics programs are with:</w:t>
      </w:r>
    </w:p>
    <w:p>
      <w:pPr>
        <w:ind w:left="660" w:right="360" w:hanging="231"/>
        <w:spacing w:after="0" w:line="232" w:lineRule="auto"/>
        <w:tabs>
          <w:tab w:leader="none" w:pos="631" w:val="left"/>
        </w:tabs>
        <w:numPr>
          <w:ilvl w:val="0"/>
          <w:numId w:val="8"/>
        </w:numPr>
        <w:rPr>
          <w:rFonts w:ascii="Arial" w:cs="Arial" w:eastAsia="Arial" w:hAnsi="Arial"/>
          <w:sz w:val="18"/>
          <w:szCs w:val="18"/>
          <w:color w:val="auto"/>
        </w:rPr>
      </w:pPr>
      <w:r>
        <w:rPr>
          <w:rFonts w:ascii="Arial" w:cs="Arial" w:eastAsia="Arial" w:hAnsi="Arial"/>
          <w:sz w:val="18"/>
          <w:szCs w:val="18"/>
          <w:color w:val="auto"/>
        </w:rPr>
        <w:t>Adagene Inc. (Adagene), which is focused on using Adagene’s SAFEbody</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technology to develop novel masked ADCs or other innovative biotherapeutics with potential for improved therapeutic index;</w:t>
      </w:r>
    </w:p>
    <w:p>
      <w:pPr>
        <w:spacing w:after="0" w:line="32" w:lineRule="exact"/>
        <w:rPr>
          <w:rFonts w:ascii="Arial" w:cs="Arial" w:eastAsia="Arial" w:hAnsi="Arial"/>
          <w:sz w:val="18"/>
          <w:szCs w:val="18"/>
          <w:color w:val="auto"/>
        </w:rPr>
      </w:pPr>
    </w:p>
    <w:p>
      <w:pPr>
        <w:ind w:left="660" w:right="860" w:hanging="231"/>
        <w:spacing w:after="0" w:line="281" w:lineRule="auto"/>
        <w:tabs>
          <w:tab w:leader="none" w:pos="631" w:val="left"/>
        </w:tabs>
        <w:numPr>
          <w:ilvl w:val="0"/>
          <w:numId w:val="8"/>
        </w:numPr>
        <w:rPr>
          <w:rFonts w:ascii="Arial" w:cs="Arial" w:eastAsia="Arial" w:hAnsi="Arial"/>
          <w:sz w:val="18"/>
          <w:szCs w:val="18"/>
          <w:color w:val="auto"/>
        </w:rPr>
      </w:pPr>
      <w:r>
        <w:rPr>
          <w:rFonts w:ascii="Arial" w:cs="Arial" w:eastAsia="Arial" w:hAnsi="Arial"/>
          <w:sz w:val="18"/>
          <w:szCs w:val="18"/>
          <w:color w:val="auto"/>
        </w:rPr>
        <w:t>Catalent, Inc. (Catalent), which is focused on the discovery and development of multiple ADCs using Catalent’s proprietary SMARTag® site-specific bioconjugation technology; and</w:t>
      </w:r>
    </w:p>
    <w:p>
      <w:pPr>
        <w:spacing w:after="0" w:line="1" w:lineRule="exact"/>
        <w:rPr>
          <w:rFonts w:ascii="Arial" w:cs="Arial" w:eastAsia="Arial" w:hAnsi="Arial"/>
          <w:sz w:val="18"/>
          <w:szCs w:val="18"/>
          <w:color w:val="auto"/>
        </w:rPr>
      </w:pPr>
    </w:p>
    <w:p>
      <w:pPr>
        <w:ind w:left="660" w:right="500" w:hanging="231"/>
        <w:spacing w:after="0" w:line="287" w:lineRule="auto"/>
        <w:tabs>
          <w:tab w:leader="none" w:pos="631" w:val="left"/>
        </w:tabs>
        <w:numPr>
          <w:ilvl w:val="0"/>
          <w:numId w:val="8"/>
        </w:numPr>
        <w:rPr>
          <w:rFonts w:ascii="Arial" w:cs="Arial" w:eastAsia="Arial" w:hAnsi="Arial"/>
          <w:sz w:val="18"/>
          <w:szCs w:val="18"/>
          <w:color w:val="auto"/>
        </w:rPr>
      </w:pPr>
      <w:r>
        <w:rPr>
          <w:rFonts w:ascii="Arial" w:cs="Arial" w:eastAsia="Arial" w:hAnsi="Arial"/>
          <w:sz w:val="18"/>
          <w:szCs w:val="18"/>
          <w:color w:val="auto"/>
        </w:rPr>
        <w:t>Invenra, Inc. (Invenra), which is focused on the discovery and development of novel binders and multispecific antibodies for the treatment of cancer.</w:t>
      </w:r>
    </w:p>
    <w:p>
      <w:pPr>
        <w:spacing w:after="0" w:line="9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We have made significant progress under our research collaborations and in-licensing arrangements and believe we will continue to do so in 2026 and in future years. For example, in April 2025, we initiated the phase 1 study of XB628, a first-in-class bispecific antibody discovered, in part, in collaboration with Invenra, and in August 2025, we initiated a phase 1 study of XB371, a next-generation TF-targeting ADC with a topoisomerase inhibitor payload, which was discovered, in part, in collaboration with Catalent. We also expect to progress XB773, an ADC targeting the tumor antigen DLL3 (discovered, in part, in connection with our research collaborations and in-licensing agreements) toward a potential IND filing in 2026.</w:t>
      </w:r>
    </w:p>
    <w:p>
      <w:pPr>
        <w:spacing w:after="0" w:line="128" w:lineRule="exact"/>
        <w:rPr>
          <w:sz w:val="20"/>
          <w:szCs w:val="20"/>
          <w:color w:val="auto"/>
        </w:rPr>
      </w:pPr>
    </w:p>
    <w:p>
      <w:pPr>
        <w:jc w:val="both"/>
        <w:ind w:right="240" w:firstLine="648"/>
        <w:spacing w:after="0" w:line="268" w:lineRule="auto"/>
        <w:rPr>
          <w:sz w:val="20"/>
          <w:szCs w:val="20"/>
          <w:color w:val="auto"/>
        </w:rPr>
      </w:pPr>
      <w:r>
        <w:rPr>
          <w:rFonts w:ascii="Arial" w:cs="Arial" w:eastAsia="Arial" w:hAnsi="Arial"/>
          <w:sz w:val="18"/>
          <w:szCs w:val="18"/>
          <w:color w:val="auto"/>
        </w:rPr>
        <w:t>Beyond these biotherapeutics assets, we continue to make progress on multiple preclinical programs for molecules that address a variety of targets, and that we believe have significant potential for clinical differentiation. We anticipate that some of these other programs could reach development candidate status in 2026 and beyond.</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Future Expansion of our Pipeline</w:t>
      </w:r>
    </w:p>
    <w:p>
      <w:pPr>
        <w:spacing w:after="0" w:line="169"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Increasing the number of novel anti-cancer agents in our pipeline is essential to our overall strategy and business goals. We are working to expand our oncology product pipeline through drug discovery efforts, which encompass our diverse biotherapeutics and small molecule programs exploring multiple modalities and mechanisms of action. This approach provides a high degree of flexibility with respect to target selection and modality of treatment and allows us to prioritize those targets that we believe have the greatest chance of becoming impactful therapeutics. As part of our strategy, our drug discovery activities have and will continue to include internal research, as well as external research collaborations, in-licensing arrangements and other strategic transactions that collectively leverage a wide range of technology platforms and assets and increase our probability of success. As of the date of this Quarterly Report on Form 10-Q, we expect to progress up to two new development candidates into preclinical development during 2026. We will continue to engage in pipeline expansion initiatives with the goal of discovering, acquiring and/or in-licensing promising investigational oncology assets and then further characterizing and developing them utilizing our established preclinical and clinical development infrastructure.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2026 Business Updates and Financial Highlights</w:t>
      </w:r>
    </w:p>
    <w:p>
      <w:pPr>
        <w:spacing w:after="0" w:line="171" w:lineRule="exact"/>
        <w:rPr>
          <w:sz w:val="20"/>
          <w:szCs w:val="20"/>
          <w:color w:val="auto"/>
        </w:rPr>
      </w:pPr>
    </w:p>
    <w:p>
      <w:pPr>
        <w:ind w:right="20" w:firstLine="648"/>
        <w:spacing w:after="0" w:line="268" w:lineRule="auto"/>
        <w:rPr>
          <w:sz w:val="20"/>
          <w:szCs w:val="20"/>
          <w:color w:val="auto"/>
        </w:rPr>
      </w:pPr>
      <w:r>
        <w:rPr>
          <w:rFonts w:ascii="Arial" w:cs="Arial" w:eastAsia="Arial" w:hAnsi="Arial"/>
          <w:sz w:val="18"/>
          <w:szCs w:val="18"/>
          <w:color w:val="auto"/>
        </w:rPr>
        <w:t>During the first quarter of 2026, we continued to execute on our business objectives, generating significant revenues from operations and enabling us to continue to seek to maximize the clinical and commercial potential of our products and expand our product pipeline. Significant business updates and financial highlights for the quarter and subsequent to quarter-end include:</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Business Updates</w:t>
      </w:r>
    </w:p>
    <w:p>
      <w:pPr>
        <w:spacing w:after="0" w:line="61" w:lineRule="exact"/>
        <w:rPr>
          <w:sz w:val="20"/>
          <w:szCs w:val="20"/>
          <w:color w:val="auto"/>
        </w:rPr>
      </w:pPr>
    </w:p>
    <w:p>
      <w:pPr>
        <w:ind w:left="660" w:right="200" w:hanging="231"/>
        <w:spacing w:after="0" w:line="262" w:lineRule="auto"/>
        <w:tabs>
          <w:tab w:leader="none" w:pos="631"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January 2026, we announced a collaboration with Natera on STELLAR-316, a planned phase 3 pivotal trial, which we anticipate will commence in mid-2026. STELLAR-316 will evaluate zanzalintinib, with and without an ICI, in patients with resected stage II/III CRC who, following completion of definitive therapy, have tested positive for MRD+ and have no radiographic evidence of disease. Natera will provide its Signatera™ assay to identify MRD+ patients for trial enrollment.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2" w:right="35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right="20" w:hanging="231"/>
        <w:spacing w:after="0" w:line="268" w:lineRule="auto"/>
        <w:tabs>
          <w:tab w:leader="none" w:pos="631"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February 2026, we announced that the FDA accepted our NDA for zanzalintinib in combination with atezolizumab for the treatment of previously treated metastatic colorectal cancer, based on positive results from the STELLAR-303 phase 3 pivotal trial, and had assigned a standard review, with a PDUFA target action date of December 3, 2026.</w:t>
      </w:r>
    </w:p>
    <w:p>
      <w:pPr>
        <w:spacing w:after="0" w:line="8" w:lineRule="exact"/>
        <w:rPr>
          <w:rFonts w:ascii="Arial" w:cs="Arial" w:eastAsia="Arial" w:hAnsi="Arial"/>
          <w:sz w:val="18"/>
          <w:szCs w:val="18"/>
          <w:color w:val="auto"/>
        </w:rPr>
      </w:pPr>
    </w:p>
    <w:p>
      <w:pPr>
        <w:ind w:left="660" w:right="200" w:hanging="231"/>
        <w:spacing w:after="0" w:line="268" w:lineRule="auto"/>
        <w:tabs>
          <w:tab w:leader="none" w:pos="631"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April 2026, we initiated STELLAR-201, a phase 2 trial evaluating zanzalintinib in patients with recurrent Grade I/II/III meningioma with relapse or progression following radiation and/or surgery or those who are not candidates for radiation and/or surgery. The primary endpoint of the trial is ORR, with secondary endpoints including PFS, DOR and OS.</w:t>
      </w:r>
    </w:p>
    <w:p>
      <w:pPr>
        <w:spacing w:after="0" w:line="8" w:lineRule="exact"/>
        <w:rPr>
          <w:rFonts w:ascii="Arial" w:cs="Arial" w:eastAsia="Arial" w:hAnsi="Arial"/>
          <w:sz w:val="18"/>
          <w:szCs w:val="18"/>
          <w:color w:val="auto"/>
        </w:rPr>
      </w:pPr>
    </w:p>
    <w:p>
      <w:pPr>
        <w:ind w:left="660" w:hanging="231"/>
        <w:spacing w:after="0" w:line="259" w:lineRule="auto"/>
        <w:tabs>
          <w:tab w:leader="none" w:pos="631"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May 2026, we announced two additional zanzalintinib studies: STELLAR-202, a planned phase 2 trial evaluating zanzalintinib in combination with pembrolizumab in the maintenance setting in squamous non-small cell lung cancer, and an additional expansion cohort in the ongoing phase 1b/2 STELLAR-002 study evaluating zanzalintinib in combination with docetaxel in metastatic castration-resistant prostate cancer patients with measurable disease. We expect to initiate STELLAR-202 and open the expansion cohort of STELLAR-002 in the second half of 2026.</w:t>
      </w:r>
    </w:p>
    <w:p>
      <w:pPr>
        <w:spacing w:after="0" w:line="17" w:lineRule="exact"/>
        <w:rPr>
          <w:rFonts w:ascii="Arial" w:cs="Arial" w:eastAsia="Arial" w:hAnsi="Arial"/>
          <w:sz w:val="18"/>
          <w:szCs w:val="18"/>
          <w:color w:val="auto"/>
        </w:rPr>
      </w:pPr>
    </w:p>
    <w:p>
      <w:pPr>
        <w:jc w:val="both"/>
        <w:ind w:left="660" w:right="40" w:hanging="231"/>
        <w:spacing w:after="0" w:line="259" w:lineRule="auto"/>
        <w:tabs>
          <w:tab w:leader="none" w:pos="631"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October 2025, our Board of Directors authorized a stock repurchase program (SRP) for the repurchase of up to an additional $750 million of our common stock before December 31, 2026. Under this SRP, as of March 31, 2026, we have repurchased $590.6 million of our common stock, at an average price of $43.14 per share. Exelixis expects to complete the remainder of this SRP in May 2026. In May 2026, our Board of Directors authorized the repurchase of up to an additional $750 million of our outstanding common stock by December 31, 2027.</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Financial Highlights</w:t>
      </w:r>
    </w:p>
    <w:p>
      <w:pPr>
        <w:spacing w:after="0" w:line="61" w:lineRule="exact"/>
        <w:rPr>
          <w:sz w:val="20"/>
          <w:szCs w:val="20"/>
          <w:color w:val="auto"/>
        </w:rPr>
      </w:pPr>
    </w:p>
    <w:p>
      <w:pPr>
        <w:ind w:left="620" w:hanging="191"/>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Net product revenues for the first quarter of 2026 were $555.0 million, as compared to $513.3 million for the first quarter of 2025.</w:t>
      </w:r>
    </w:p>
    <w:p>
      <w:pPr>
        <w:spacing w:after="0" w:line="63" w:lineRule="exact"/>
        <w:rPr>
          <w:rFonts w:ascii="Arial" w:cs="Arial" w:eastAsia="Arial" w:hAnsi="Arial"/>
          <w:sz w:val="18"/>
          <w:szCs w:val="18"/>
          <w:color w:val="auto"/>
        </w:rPr>
      </w:pPr>
    </w:p>
    <w:p>
      <w:pPr>
        <w:ind w:left="620" w:hanging="191"/>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Total revenues for the first quarter of 2026 were $610.8 million, as compared to $555.4 million for the first quarter of 2025.</w:t>
      </w:r>
    </w:p>
    <w:p>
      <w:pPr>
        <w:spacing w:after="0" w:line="63" w:lineRule="exact"/>
        <w:rPr>
          <w:rFonts w:ascii="Arial" w:cs="Arial" w:eastAsia="Arial" w:hAnsi="Arial"/>
          <w:sz w:val="18"/>
          <w:szCs w:val="18"/>
          <w:color w:val="auto"/>
        </w:rPr>
      </w:pPr>
    </w:p>
    <w:p>
      <w:pPr>
        <w:ind w:left="660" w:right="400" w:hanging="231"/>
        <w:spacing w:after="0" w:line="281" w:lineRule="auto"/>
        <w:tabs>
          <w:tab w:leader="none" w:pos="631"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Research and development expenses for the first quarter of 2026 were $199.9 million, as compared to $212.2 million for the first quarter of 2025.</w:t>
      </w:r>
    </w:p>
    <w:p>
      <w:pPr>
        <w:spacing w:after="0" w:line="1" w:lineRule="exact"/>
        <w:rPr>
          <w:rFonts w:ascii="Arial" w:cs="Arial" w:eastAsia="Arial" w:hAnsi="Arial"/>
          <w:sz w:val="18"/>
          <w:szCs w:val="18"/>
          <w:color w:val="auto"/>
        </w:rPr>
      </w:pPr>
    </w:p>
    <w:p>
      <w:pPr>
        <w:ind w:left="660" w:right="200" w:hanging="231"/>
        <w:spacing w:after="0" w:line="281" w:lineRule="auto"/>
        <w:tabs>
          <w:tab w:leader="none" w:pos="631"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Selling, general and administrative expenses for the first quarter of 2026 were $139.6 million, as compared to $137.2 million for the first quarter of 2025.</w:t>
      </w:r>
    </w:p>
    <w:p>
      <w:pPr>
        <w:spacing w:after="0" w:line="1" w:lineRule="exact"/>
        <w:rPr>
          <w:rFonts w:ascii="Arial" w:cs="Arial" w:eastAsia="Arial" w:hAnsi="Arial"/>
          <w:sz w:val="18"/>
          <w:szCs w:val="18"/>
          <w:color w:val="auto"/>
        </w:rPr>
      </w:pPr>
    </w:p>
    <w:p>
      <w:pPr>
        <w:ind w:left="620" w:hanging="191"/>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Provision for income taxes for the first quarter of 2026 was $57.2 million, as compared to $46.1 million for the first quarter of 2025.</w:t>
      </w:r>
    </w:p>
    <w:p>
      <w:pPr>
        <w:spacing w:after="0" w:line="63" w:lineRule="exact"/>
        <w:rPr>
          <w:rFonts w:ascii="Arial" w:cs="Arial" w:eastAsia="Arial" w:hAnsi="Arial"/>
          <w:sz w:val="18"/>
          <w:szCs w:val="18"/>
          <w:color w:val="auto"/>
        </w:rPr>
      </w:pPr>
    </w:p>
    <w:p>
      <w:pPr>
        <w:ind w:left="660" w:right="260" w:hanging="231"/>
        <w:spacing w:after="0" w:line="287" w:lineRule="auto"/>
        <w:tabs>
          <w:tab w:leader="none" w:pos="631"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Net income for the first quarter of 2026 was $210.5 million, or $0.81 per share, basic and $0.79 per share, diluted, as compared to net income of $159.6 million, or $0.57 per share, basic and $0.55 per share, diluted, for the first quarter of 2025.</w:t>
      </w:r>
    </w:p>
    <w:p>
      <w:pPr>
        <w:spacing w:after="0" w:line="99" w:lineRule="exact"/>
        <w:rPr>
          <w:sz w:val="20"/>
          <w:szCs w:val="20"/>
          <w:color w:val="auto"/>
        </w:rPr>
      </w:pPr>
    </w:p>
    <w:p>
      <w:pPr>
        <w:ind w:right="1440" w:firstLine="648"/>
        <w:spacing w:after="0" w:line="438"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“Results of Operations”</w:t>
      </w:r>
      <w:r>
        <w:rPr>
          <w:rFonts w:ascii="Arial" w:cs="Arial" w:eastAsia="Arial" w:hAnsi="Arial"/>
          <w:sz w:val="18"/>
          <w:szCs w:val="18"/>
          <w:color w:val="auto"/>
        </w:rPr>
        <w:t xml:space="preserve"> below for a discussion of the detailed components and analysis of the amounts above. </w:t>
      </w:r>
      <w:r>
        <w:rPr>
          <w:rFonts w:ascii="Arial" w:cs="Arial" w:eastAsia="Arial" w:hAnsi="Arial"/>
          <w:sz w:val="18"/>
          <w:szCs w:val="18"/>
          <w:b w:val="1"/>
          <w:bCs w:val="1"/>
          <w:color w:val="auto"/>
        </w:rPr>
        <w:t>Outlook, Challenges and Risks</w:t>
      </w:r>
    </w:p>
    <w:p>
      <w:pPr>
        <w:spacing w:after="0" w:line="1"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We will continue to face numerous challenges and risks that may impact our ability to execute on our business objectives. In particular, for the foreseeable future, we expect our ability to generate sufficient cash flow to fund our business operations and growth will depend upon the continued commercial success of CABOMETYX, both alone and in combination with other therapies, as a treatment for the highly competitive indications for which it is approved. In addition, CABOMETYX will only continue to be commercially successful if private third-party and government payers continue to provide coverage and reimbursement. As is the case for all innovative pharmaceutical therapies, obtaining and maintaining coverage and reimbursement for CABOMETYX is becoming increasingly difficult, both within the U.S. and in foreign markets. Further, healthcare policymakers in the U.S. continue to express concern over healthcare costs, and corresponding legislative and policy initiatives and activities have been launched aimed at increasing the healthcare cost burdens borne by pharmaceutical manufacturers, as well as expanding access to, and restricting the prices and growth in prices of, pharmaceuticals. Furthermore, the current U.S. administration has proposed a scheme to impose tariffs on imported pharmaceuticals.</w:t>
      </w:r>
    </w:p>
    <w:p>
      <w:pPr>
        <w:spacing w:after="0" w:line="13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Achievement of our business objectives will also depend on our ability to maintain a competitive position in the shifting landscape of therapeutic strategies for the treatment of cancer, which we may not be able to do. On an ongoing basis, we assess the constantly evolving landscape of other approved and investigational cancer therapies that could be competitive, or complementary in combination, with our products, and then we adapt our development strategies for the cabozantinib franchise and our pipeline product candidates accordingly, such as by modifying our clinical trials to include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2" w:right="359" w:bottom="1440" w:gutter="0" w:footer="0" w:header="0"/>
        </w:sectPr>
      </w:pPr>
    </w:p>
    <w:bookmarkStart w:id="27" w:name="page28"/>
    <w:bookmarkEnd w:id="2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evaluation of our therapies with ICIs and other targeted agents. Even if our current and future clinical trials produce positive results sufficient to obtain marketing approval by the FDA and other global regulatory authorities, it is uncertain whether physicians will choose to prescribe regimens containing our products instead of competing products and product combinations in approved indications.</w:t>
      </w:r>
    </w:p>
    <w:p>
      <w:pPr>
        <w:spacing w:after="0" w:line="11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the longer term, we may eventually face competition from potential manufacturers of generic or follow-on versions of our marketed products, including the proposed generic versions of CABOMETYX tablets that are the subject of ANDAs submitted to the FDA by MSN, Teva, Cipla, Biocon and Sun, as well as the 505(b)(2) for cabozantinib capsules submitted by Handa, or the 505(b)(2) for cabozantinib tablets submitted to the FDA by Azurity. The approval of any of these follow-on products and their subsequent launch could significantly decrease our revenues derived from the U.S. sales of CABOMETYX and thereby materially harm our business, financial condition and results of operations.</w:t>
      </w:r>
    </w:p>
    <w:p>
      <w:pPr>
        <w:spacing w:after="0" w:line="128" w:lineRule="exact"/>
        <w:rPr>
          <w:sz w:val="20"/>
          <w:szCs w:val="20"/>
          <w:color w:val="auto"/>
        </w:rPr>
      </w:pPr>
    </w:p>
    <w:p>
      <w:pPr>
        <w:ind w:right="160" w:firstLine="648"/>
        <w:spacing w:after="0" w:line="262" w:lineRule="auto"/>
        <w:rPr>
          <w:sz w:val="20"/>
          <w:szCs w:val="20"/>
          <w:color w:val="auto"/>
        </w:rPr>
      </w:pPr>
      <w:r>
        <w:rPr>
          <w:rFonts w:ascii="Arial" w:cs="Arial" w:eastAsia="Arial" w:hAnsi="Arial"/>
          <w:sz w:val="18"/>
          <w:szCs w:val="18"/>
          <w:color w:val="auto"/>
        </w:rPr>
        <w:t>Separately, our research and development objectives may be impeded by the challenges of scaling our organization to meet the demands of expanded drug development, unanticipated delays in clinical testing and the inherent risks and uncertainties associated with drug discovery operations, especially on the global level. In connection with efforts to expand our product pipeline, we may be unsuccessful in discovering new potential cancer treatments or identifying appropriate candidates for in-licensing or acquisition.</w:t>
      </w:r>
    </w:p>
    <w:p>
      <w:pPr>
        <w:spacing w:after="0" w:line="122" w:lineRule="exact"/>
        <w:rPr>
          <w:sz w:val="20"/>
          <w:szCs w:val="20"/>
          <w:color w:val="auto"/>
        </w:rPr>
      </w:pPr>
    </w:p>
    <w:p>
      <w:pPr>
        <w:ind w:right="60" w:firstLine="648"/>
        <w:spacing w:after="0" w:line="262" w:lineRule="auto"/>
        <w:rPr>
          <w:sz w:val="20"/>
          <w:szCs w:val="20"/>
          <w:color w:val="auto"/>
        </w:rPr>
      </w:pPr>
      <w:r>
        <w:rPr>
          <w:rFonts w:ascii="Arial" w:cs="Arial" w:eastAsia="Arial" w:hAnsi="Arial"/>
          <w:sz w:val="18"/>
          <w:szCs w:val="18"/>
          <w:color w:val="auto"/>
        </w:rPr>
        <w:t>Some of these challenges and risks are specific to our business, others are common to companies in the biopharmaceutical industry with development and commercial operations, and an additional category are macroeconomic, affecting all companies. For a more detailed discussion of challenges and risks we face, see “Risk Factors” in Part I, Item 1A of our 2025 Form 10-K, as supplemented and, to the extent inconsistent or superseded in Part II, Item 1A of our Quarterly Reports on Form 10-Q.</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Convention</w:t>
      </w:r>
    </w:p>
    <w:p>
      <w:pPr>
        <w:spacing w:after="0" w:line="17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have adopted a 52- or 53-week fiscal year policy that generally ends on the Friday closest to December 31. Fiscal year 2026, which is a 52-week fiscal year, will end on January 1, 2027 and fiscal year 2025, which was a 52-week fiscal year, ended on January 2, 2026. For convenience, references in this report as of and for the fiscal periods ended April 3, 2026 and April 4, 2025, and as of and for the fiscal years ending January 1, 2027 and ended January 2, 2026, are indicated as being as of and for the periods ended March 31, 2026 and March 31, 2025, and the years ending December 31, 2026 and ended December 31, 2025, respectively.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Revenues by category were as follows (dollars in thousands):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4"/>
          </w:tcPr>
          <w:p>
            <w:pPr>
              <w:jc w:val="right"/>
              <w:ind w:right="532"/>
              <w:spacing w:after="0"/>
              <w:rPr>
                <w:sz w:val="20"/>
                <w:szCs w:val="20"/>
                <w:color w:val="auto"/>
              </w:rPr>
            </w:pPr>
            <w:r>
              <w:rPr>
                <w:rFonts w:ascii="Arial" w:cs="Arial" w:eastAsia="Arial" w:hAnsi="Arial"/>
                <w:sz w:val="16"/>
                <w:szCs w:val="16"/>
                <w:b w:val="1"/>
                <w:bCs w:val="1"/>
                <w:color w:val="auto"/>
              </w:rPr>
              <w:t>Three Months Ended March 31,</w:t>
            </w:r>
          </w:p>
        </w:tc>
        <w:tc>
          <w:tcPr>
            <w:tcW w:w="100" w:type="dxa"/>
            <w:vAlign w:val="bottom"/>
          </w:tcPr>
          <w:p>
            <w:pPr>
              <w:spacing w:after="0"/>
              <w:rPr>
                <w:sz w:val="20"/>
                <w:szCs w:val="20"/>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b w:val="1"/>
                <w:bCs w:val="1"/>
                <w:color w:val="auto"/>
              </w:rPr>
              <w:t>Percent</w:t>
            </w:r>
          </w:p>
        </w:tc>
      </w:tr>
      <w:tr>
        <w:trPr>
          <w:trHeight w:val="233"/>
        </w:trPr>
        <w:tc>
          <w:tcPr>
            <w:tcW w:w="65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33"/>
              <w:spacing w:after="0"/>
              <w:rPr>
                <w:sz w:val="20"/>
                <w:szCs w:val="20"/>
                <w:color w:val="auto"/>
              </w:rPr>
            </w:pPr>
            <w:r>
              <w:rPr>
                <w:rFonts w:ascii="Arial" w:cs="Arial" w:eastAsia="Arial" w:hAnsi="Arial"/>
                <w:sz w:val="16"/>
                <w:szCs w:val="16"/>
                <w:b w:val="1"/>
                <w:bCs w:val="1"/>
                <w:color w:val="auto"/>
              </w:rPr>
              <w:t>2026</w:t>
            </w:r>
          </w:p>
        </w:tc>
        <w:tc>
          <w:tcPr>
            <w:tcW w:w="8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12"/>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r>
      <w:tr>
        <w:trPr>
          <w:trHeight w:val="247"/>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product revenues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554,977</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513,283</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7"/>
        </w:trPr>
        <w:tc>
          <w:tcPr>
            <w:tcW w:w="6520" w:type="dxa"/>
            <w:vAlign w:val="bottom"/>
          </w:tcPr>
          <w:p>
            <w:pPr>
              <w:ind w:left="240"/>
              <w:spacing w:after="0"/>
              <w:rPr>
                <w:sz w:val="20"/>
                <w:szCs w:val="20"/>
                <w:color w:val="auto"/>
              </w:rPr>
            </w:pPr>
            <w:r>
              <w:rPr>
                <w:rFonts w:ascii="Arial" w:cs="Arial" w:eastAsia="Arial" w:hAnsi="Arial"/>
                <w:sz w:val="18"/>
                <w:szCs w:val="18"/>
                <w:color w:val="auto"/>
              </w:rPr>
              <w:t>License revenues</w:t>
            </w:r>
          </w:p>
        </w:tc>
        <w:tc>
          <w:tcPr>
            <w:tcW w:w="3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56,948</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42,480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34%</w:t>
            </w:r>
          </w:p>
        </w:tc>
      </w:tr>
      <w:tr>
        <w:trPr>
          <w:trHeight w:val="23"/>
        </w:trPr>
        <w:tc>
          <w:tcPr>
            <w:tcW w:w="6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Collaboration services revenues</w:t>
            </w:r>
          </w:p>
        </w:tc>
        <w:tc>
          <w:tcPr>
            <w:tcW w:w="3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252%</w:t>
            </w:r>
          </w:p>
        </w:tc>
      </w:tr>
      <w:tr>
        <w:trPr>
          <w:trHeight w:val="240"/>
        </w:trPr>
        <w:tc>
          <w:tcPr>
            <w:tcW w:w="6520" w:type="dxa"/>
            <w:vAlign w:val="bottom"/>
          </w:tcPr>
          <w:p>
            <w:pPr>
              <w:ind w:left="440"/>
              <w:spacing w:after="0"/>
              <w:rPr>
                <w:sz w:val="20"/>
                <w:szCs w:val="20"/>
                <w:color w:val="auto"/>
              </w:rPr>
            </w:pPr>
            <w:r>
              <w:rPr>
                <w:rFonts w:ascii="Arial" w:cs="Arial" w:eastAsia="Arial" w:hAnsi="Arial"/>
                <w:sz w:val="18"/>
                <w:szCs w:val="18"/>
                <w:color w:val="auto"/>
              </w:rPr>
              <w:t>Total collaboration revenues</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55,835</w:t>
            </w:r>
          </w:p>
        </w:tc>
        <w:tc>
          <w:tcPr>
            <w:tcW w:w="8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42,164</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32%</w:t>
            </w:r>
          </w:p>
        </w:tc>
      </w:tr>
      <w:tr>
        <w:trPr>
          <w:trHeight w:val="23"/>
        </w:trPr>
        <w:tc>
          <w:tcPr>
            <w:tcW w:w="65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r>
      <w:tr>
        <w:trPr>
          <w:trHeight w:val="288"/>
        </w:trPr>
        <w:tc>
          <w:tcPr>
            <w:tcW w:w="65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Total revenues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610,812</w:t>
            </w:r>
          </w:p>
        </w:tc>
        <w:tc>
          <w:tcPr>
            <w:tcW w:w="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555,447</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u w:val="single" w:color="auto"/>
          <w:color w:val="0000FF"/>
        </w:rPr>
        <w:t>Table of Contents</w:t>
      </w:r>
    </w:p>
    <w:p>
      <w:pPr>
        <w:sectPr>
          <w:pgSz w:w="11900" w:h="16838" w:orient="portrait"/>
          <w:cols w:equalWidth="0" w:num="1">
            <w:col w:w="11240"/>
          </w:cols>
          <w:pgMar w:left="320" w:top="2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Product Revenues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Gross product revenues, discounts and allowances and net product revenues were as follows (dollars in thousands):</w:t>
      </w:r>
    </w:p>
    <w:p>
      <w:pPr>
        <w:spacing w:after="0" w:line="200" w:lineRule="exact"/>
        <w:rPr>
          <w:sz w:val="20"/>
          <w:szCs w:val="20"/>
          <w:color w:val="auto"/>
        </w:rPr>
      </w:pPr>
    </w:p>
    <w:p>
      <w:pPr>
        <w:spacing w:after="0" w:line="219" w:lineRule="exact"/>
        <w:rPr>
          <w:sz w:val="20"/>
          <w:szCs w:val="20"/>
          <w:color w:val="auto"/>
        </w:rPr>
      </w:pPr>
    </w:p>
    <w:tbl>
      <w:tblPr>
        <w:tblLayout w:type="fixed"/>
        <w:tblInd w:w="20" w:type="dxa"/>
        <w:tblCellMar>
          <w:top w:w="0" w:type="dxa"/>
          <w:left w:w="0" w:type="dxa"/>
          <w:bottom w:w="0" w:type="dxa"/>
          <w:right w:w="0" w:type="dxa"/>
        </w:tblCellMar>
      </w:tblPr>
      <w:tr>
        <w:trPr>
          <w:trHeight w:val="226"/>
        </w:trPr>
        <w:tc>
          <w:tcPr>
            <w:tcW w:w="65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gridSpan w:val="4"/>
          </w:tcPr>
          <w:p>
            <w:pPr>
              <w:jc w:val="right"/>
              <w:ind w:right="532"/>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34"/>
        </w:trPr>
        <w:tc>
          <w:tcPr>
            <w:tcW w:w="65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34"/>
              <w:spacing w:after="0"/>
              <w:rPr>
                <w:sz w:val="20"/>
                <w:szCs w:val="20"/>
                <w:color w:val="auto"/>
              </w:rPr>
            </w:pPr>
            <w:r>
              <w:rPr>
                <w:rFonts w:ascii="Arial" w:cs="Arial" w:eastAsia="Arial" w:hAnsi="Arial"/>
                <w:sz w:val="16"/>
                <w:szCs w:val="16"/>
                <w:b w:val="1"/>
                <w:bCs w:val="1"/>
                <w:color w:val="auto"/>
              </w:rPr>
              <w:t>2026</w:t>
            </w:r>
          </w:p>
        </w:tc>
        <w:tc>
          <w:tcPr>
            <w:tcW w:w="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12"/>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247"/>
        </w:trPr>
        <w:tc>
          <w:tcPr>
            <w:tcW w:w="6500" w:type="dxa"/>
            <w:vAlign w:val="bottom"/>
          </w:tcPr>
          <w:p>
            <w:pPr>
              <w:spacing w:after="0"/>
              <w:rPr>
                <w:sz w:val="20"/>
                <w:szCs w:val="20"/>
                <w:color w:val="auto"/>
              </w:rPr>
            </w:pPr>
            <w:r>
              <w:rPr>
                <w:rFonts w:ascii="Arial" w:cs="Arial" w:eastAsia="Arial" w:hAnsi="Arial"/>
                <w:sz w:val="18"/>
                <w:szCs w:val="18"/>
                <w:color w:val="auto"/>
              </w:rPr>
              <w:t>Gross product revenues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center"/>
              <w:ind w:left="514"/>
              <w:spacing w:after="0"/>
              <w:rPr>
                <w:sz w:val="20"/>
                <w:szCs w:val="20"/>
                <w:color w:val="auto"/>
              </w:rPr>
            </w:pPr>
            <w:r>
              <w:rPr>
                <w:rFonts w:ascii="Arial" w:cs="Arial" w:eastAsia="Arial" w:hAnsi="Arial"/>
                <w:sz w:val="18"/>
                <w:szCs w:val="18"/>
                <w:color w:val="auto"/>
              </w:rPr>
              <w:t>795,354</w:t>
            </w:r>
          </w:p>
        </w:tc>
        <w:tc>
          <w:tcPr>
            <w:tcW w:w="8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721,711</w:t>
            </w:r>
          </w:p>
        </w:tc>
        <w:tc>
          <w:tcPr>
            <w:tcW w:w="0" w:type="dxa"/>
            <w:vAlign w:val="bottom"/>
          </w:tcPr>
          <w:p>
            <w:pPr>
              <w:spacing w:after="0"/>
              <w:rPr>
                <w:sz w:val="1"/>
                <w:szCs w:val="1"/>
                <w:color w:val="auto"/>
              </w:rPr>
            </w:pPr>
          </w:p>
        </w:tc>
      </w:tr>
      <w:tr>
        <w:trPr>
          <w:trHeight w:val="270"/>
        </w:trPr>
        <w:tc>
          <w:tcPr>
            <w:tcW w:w="6500" w:type="dxa"/>
            <w:vAlign w:val="bottom"/>
          </w:tcPr>
          <w:p>
            <w:pPr>
              <w:spacing w:after="0"/>
              <w:rPr>
                <w:sz w:val="20"/>
                <w:szCs w:val="20"/>
                <w:color w:val="auto"/>
              </w:rPr>
            </w:pPr>
            <w:r>
              <w:rPr>
                <w:rFonts w:ascii="Arial" w:cs="Arial" w:eastAsia="Arial" w:hAnsi="Arial"/>
                <w:sz w:val="18"/>
                <w:szCs w:val="18"/>
                <w:color w:val="auto"/>
              </w:rPr>
              <w:t>Discounts and allowances</w:t>
            </w:r>
          </w:p>
        </w:tc>
        <w:tc>
          <w:tcPr>
            <w:tcW w:w="380" w:type="dxa"/>
            <w:vAlign w:val="bottom"/>
          </w:tcPr>
          <w:p>
            <w:pPr>
              <w:spacing w:after="0"/>
              <w:rPr>
                <w:sz w:val="23"/>
                <w:szCs w:val="23"/>
                <w:color w:val="auto"/>
              </w:rPr>
            </w:pPr>
          </w:p>
        </w:tc>
        <w:tc>
          <w:tcPr>
            <w:tcW w:w="1420" w:type="dxa"/>
            <w:vAlign w:val="bottom"/>
          </w:tcPr>
          <w:p>
            <w:pPr>
              <w:jc w:val="center"/>
              <w:ind w:left="494"/>
              <w:spacing w:after="0"/>
              <w:rPr>
                <w:sz w:val="20"/>
                <w:szCs w:val="20"/>
                <w:color w:val="auto"/>
              </w:rPr>
            </w:pPr>
            <w:r>
              <w:rPr>
                <w:rFonts w:ascii="Arial" w:cs="Arial" w:eastAsia="Arial" w:hAnsi="Arial"/>
                <w:sz w:val="18"/>
                <w:szCs w:val="18"/>
                <w:color w:val="auto"/>
                <w:w w:val="98"/>
              </w:rPr>
              <w:t>(240,377)</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(208,428)</w:t>
            </w:r>
          </w:p>
        </w:tc>
        <w:tc>
          <w:tcPr>
            <w:tcW w:w="0" w:type="dxa"/>
            <w:vAlign w:val="bottom"/>
          </w:tcPr>
          <w:p>
            <w:pPr>
              <w:spacing w:after="0"/>
              <w:rPr>
                <w:sz w:val="1"/>
                <w:szCs w:val="1"/>
                <w:color w:val="auto"/>
              </w:rPr>
            </w:pPr>
          </w:p>
        </w:tc>
      </w:tr>
      <w:tr>
        <w:trPr>
          <w:trHeight w:val="23"/>
        </w:trPr>
        <w:tc>
          <w:tcPr>
            <w:tcW w:w="6500" w:type="dxa"/>
            <w:vAlign w:val="bottom"/>
            <w:vMerge w:val="restart"/>
          </w:tcPr>
          <w:p>
            <w:pPr>
              <w:ind w:left="420"/>
              <w:spacing w:after="0"/>
              <w:rPr>
                <w:sz w:val="20"/>
                <w:szCs w:val="20"/>
                <w:color w:val="auto"/>
              </w:rPr>
            </w:pPr>
            <w:r>
              <w:rPr>
                <w:rFonts w:ascii="Arial" w:cs="Arial" w:eastAsia="Arial" w:hAnsi="Arial"/>
                <w:sz w:val="18"/>
                <w:szCs w:val="18"/>
                <w:color w:val="auto"/>
              </w:rPr>
              <w:t>Net product revenues</w:t>
            </w: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6500" w:type="dxa"/>
            <w:vAlign w:val="bottom"/>
            <w:vMerge w:val="continue"/>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center"/>
              <w:ind w:left="514"/>
              <w:spacing w:after="0"/>
              <w:rPr>
                <w:sz w:val="20"/>
                <w:szCs w:val="20"/>
                <w:color w:val="auto"/>
              </w:rPr>
            </w:pPr>
            <w:r>
              <w:rPr>
                <w:rFonts w:ascii="Arial" w:cs="Arial" w:eastAsia="Arial" w:hAnsi="Arial"/>
                <w:sz w:val="18"/>
                <w:szCs w:val="18"/>
                <w:color w:val="auto"/>
              </w:rPr>
              <w:t>554,977</w:t>
            </w:r>
          </w:p>
        </w:tc>
        <w:tc>
          <w:tcPr>
            <w:tcW w:w="8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513,283</w:t>
            </w:r>
          </w:p>
        </w:tc>
        <w:tc>
          <w:tcPr>
            <w:tcW w:w="0" w:type="dxa"/>
            <w:vAlign w:val="bottom"/>
          </w:tcPr>
          <w:p>
            <w:pPr>
              <w:spacing w:after="0"/>
              <w:rPr>
                <w:sz w:val="1"/>
                <w:szCs w:val="1"/>
                <w:color w:val="auto"/>
              </w:rPr>
            </w:pPr>
          </w:p>
        </w:tc>
      </w:tr>
      <w:tr>
        <w:trPr>
          <w:trHeight w:val="23"/>
        </w:trPr>
        <w:tc>
          <w:tcPr>
            <w:tcW w:w="65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65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132320" cy="1968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-565150</wp:posOffset>
            </wp:positionV>
            <wp:extent cx="7132320" cy="1797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product revenues by product were as follows (dollars in thousands):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b w:val="1"/>
          <w:bCs w:val="1"/>
          <w:color w:val="auto"/>
        </w:rPr>
        <w:t>Percent Change</w:t>
      </w:r>
    </w:p>
    <w:p>
      <w:pPr>
        <w:jc w:val="right"/>
        <w:ind w:right="20"/>
        <w:spacing w:after="0"/>
        <w:rPr>
          <w:sz w:val="20"/>
          <w:szCs w:val="20"/>
          <w:color w:val="auto"/>
        </w:rPr>
      </w:pPr>
      <w:r>
        <w:rPr>
          <w:rFonts w:ascii="Arial" w:cs="Arial" w:eastAsia="Arial" w:hAnsi="Arial"/>
          <w:sz w:val="18"/>
          <w:szCs w:val="18"/>
          <w:color w:val="auto"/>
        </w:rPr>
        <w:t>10%</w:t>
      </w:r>
    </w:p>
    <w:p>
      <w:pPr>
        <w:spacing w:after="0" w:line="6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15%</w:t>
      </w:r>
    </w:p>
    <w:p>
      <w:pPr>
        <w:spacing w:after="0" w:line="104"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8%</w:t>
      </w:r>
    </w:p>
    <w:p>
      <w:pPr>
        <w:spacing w:after="0" w:line="726" w:lineRule="exact"/>
        <w:rPr>
          <w:sz w:val="20"/>
          <w:szCs w:val="20"/>
          <w:color w:val="auto"/>
        </w:rPr>
      </w:pPr>
    </w:p>
    <w:p>
      <w:pPr>
        <w:sectPr>
          <w:pgSz w:w="11900" w:h="16838" w:orient="portrait"/>
          <w:cols w:equalWidth="0" w:num="2">
            <w:col w:w="10180" w:space="280"/>
            <w:col w:w="780"/>
          </w:cols>
          <w:pgMar w:left="320" w:top="292" w:right="339" w:bottom="1440" w:gutter="0" w:footer="0" w:header="0"/>
          <w:type w:val="continuous"/>
        </w:sect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4"/>
          </w:tcPr>
          <w:p>
            <w:pPr>
              <w:jc w:val="right"/>
              <w:ind w:right="532"/>
              <w:spacing w:after="0"/>
              <w:rPr>
                <w:sz w:val="20"/>
                <w:szCs w:val="20"/>
                <w:color w:val="auto"/>
              </w:rPr>
            </w:pPr>
            <w:r>
              <w:rPr>
                <w:rFonts w:ascii="Arial" w:cs="Arial" w:eastAsia="Arial" w:hAnsi="Arial"/>
                <w:sz w:val="16"/>
                <w:szCs w:val="16"/>
                <w:b w:val="1"/>
                <w:bCs w:val="1"/>
                <w:color w:val="auto"/>
              </w:rPr>
              <w:t>Three Months Ended March 31,</w:t>
            </w:r>
          </w:p>
        </w:tc>
        <w:tc>
          <w:tcPr>
            <w:tcW w:w="100" w:type="dxa"/>
            <w:vAlign w:val="bottom"/>
          </w:tcPr>
          <w:p>
            <w:pPr>
              <w:spacing w:after="0"/>
              <w:rPr>
                <w:sz w:val="20"/>
                <w:szCs w:val="20"/>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b w:val="1"/>
                <w:bCs w:val="1"/>
                <w:color w:val="auto"/>
              </w:rPr>
              <w:t>Percent</w:t>
            </w:r>
          </w:p>
        </w:tc>
      </w:tr>
      <w:tr>
        <w:trPr>
          <w:trHeight w:val="233"/>
        </w:trPr>
        <w:tc>
          <w:tcPr>
            <w:tcW w:w="65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34"/>
              <w:spacing w:after="0"/>
              <w:rPr>
                <w:sz w:val="20"/>
                <w:szCs w:val="20"/>
                <w:color w:val="auto"/>
              </w:rPr>
            </w:pPr>
            <w:r>
              <w:rPr>
                <w:rFonts w:ascii="Arial" w:cs="Arial" w:eastAsia="Arial" w:hAnsi="Arial"/>
                <w:sz w:val="16"/>
                <w:szCs w:val="16"/>
                <w:b w:val="1"/>
                <w:bCs w:val="1"/>
                <w:color w:val="auto"/>
              </w:rPr>
              <w:t>2026</w:t>
            </w:r>
          </w:p>
        </w:tc>
        <w:tc>
          <w:tcPr>
            <w:tcW w:w="8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12"/>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r>
      <w:tr>
        <w:trPr>
          <w:trHeight w:val="247"/>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CABOMETYX</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552,773</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510,872</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7"/>
        </w:trPr>
        <w:tc>
          <w:tcPr>
            <w:tcW w:w="6520" w:type="dxa"/>
            <w:vAlign w:val="bottom"/>
          </w:tcPr>
          <w:p>
            <w:pPr>
              <w:ind w:left="20"/>
              <w:spacing w:after="0"/>
              <w:rPr>
                <w:sz w:val="20"/>
                <w:szCs w:val="20"/>
                <w:color w:val="auto"/>
              </w:rPr>
            </w:pPr>
            <w:r>
              <w:rPr>
                <w:rFonts w:ascii="Arial" w:cs="Arial" w:eastAsia="Arial" w:hAnsi="Arial"/>
                <w:sz w:val="18"/>
                <w:szCs w:val="18"/>
                <w:color w:val="auto"/>
              </w:rPr>
              <w:t>COMETRIQ</w:t>
            </w:r>
          </w:p>
        </w:tc>
        <w:tc>
          <w:tcPr>
            <w:tcW w:w="3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2,204</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2,411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3"/>
        </w:trPr>
        <w:tc>
          <w:tcPr>
            <w:tcW w:w="65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r>
      <w:tr>
        <w:trPr>
          <w:trHeight w:val="288"/>
        </w:trPr>
        <w:tc>
          <w:tcPr>
            <w:tcW w:w="65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product revenues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554,977</w:t>
            </w:r>
          </w:p>
        </w:tc>
        <w:tc>
          <w:tcPr>
            <w:tcW w:w="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513,283</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r>
    </w:tbl>
    <w:p>
      <w:pPr>
        <w:spacing w:after="0" w:line="224"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increase in net product revenues for the three months ended March 31, 2026, as compared to the corresponding prior year period, was primarily related to a 7% increase in the number of CABOMETYX units sold reflecting continuing demand for CABOMETYX in combination with nivolumab as a first-line treatment of patients with advanced RCC, and demand for previously treated advanced NET and, to a lesser extent, a 1% increase in the average net selling price of CABOMETYX. The increase in sales volume was largely driven by refills, reflecting the longer duration of therapy for the combination of CABOMETYX with nivolumab, and an increase in related market share reflecting the continued evolution of the metastatic RCC and NET treatment landscapes.</w:t>
      </w:r>
    </w:p>
    <w:p>
      <w:pPr>
        <w:spacing w:after="0" w:line="128" w:lineRule="exact"/>
        <w:rPr>
          <w:sz w:val="20"/>
          <w:szCs w:val="20"/>
          <w:color w:val="auto"/>
        </w:rPr>
      </w:pPr>
    </w:p>
    <w:p>
      <w:pPr>
        <w:ind w:right="240" w:firstLine="648"/>
        <w:spacing w:after="0" w:line="287" w:lineRule="auto"/>
        <w:rPr>
          <w:sz w:val="20"/>
          <w:szCs w:val="20"/>
          <w:color w:val="auto"/>
        </w:rPr>
      </w:pPr>
      <w:r>
        <w:rPr>
          <w:rFonts w:ascii="Arial" w:cs="Arial" w:eastAsia="Arial" w:hAnsi="Arial"/>
          <w:sz w:val="18"/>
          <w:szCs w:val="18"/>
          <w:color w:val="auto"/>
        </w:rPr>
        <w:t>We project our net product revenues may increase for the remainder of 2026, as compared to the corresponding prior year period, for similar reasons noted above.</w:t>
      </w:r>
    </w:p>
    <w:p>
      <w:pPr>
        <w:spacing w:after="0" w:line="99"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We recognize product revenues net of discounts and allowances that are described in “Note 1. Organization and Summary of Significant Accounting Policies” of the “Notes to Consolidated Financial Statements” included in Part II, Item 8 of our Fiscal 2025 Form 10-K. Discounts and allowances have generally increased over time as the number of patients participating in government programs has increased and as the discounts given and rebates paid to government payers have also increased. The increase in the amount of discounts and allowances for the three months ended March 31, 2026, as compared to the corresponding prior year period, was primarily the result of increases in the volume of units sold, utilization and dollar amount of chargebacks under the 340B Drug Pricing Program and higher discounts and rebates associated with the Medicare Part D Program.</w:t>
      </w:r>
    </w:p>
    <w:p>
      <w:pPr>
        <w:spacing w:after="0" w:line="129" w:lineRule="exact"/>
        <w:rPr>
          <w:sz w:val="20"/>
          <w:szCs w:val="20"/>
          <w:color w:val="auto"/>
        </w:rPr>
      </w:pPr>
    </w:p>
    <w:p>
      <w:pPr>
        <w:ind w:right="480" w:firstLine="648"/>
        <w:spacing w:after="0" w:line="287" w:lineRule="auto"/>
        <w:rPr>
          <w:sz w:val="20"/>
          <w:szCs w:val="20"/>
          <w:color w:val="auto"/>
        </w:rPr>
      </w:pPr>
      <w:r>
        <w:rPr>
          <w:rFonts w:ascii="Arial" w:cs="Arial" w:eastAsia="Arial" w:hAnsi="Arial"/>
          <w:sz w:val="18"/>
          <w:szCs w:val="18"/>
          <w:color w:val="auto"/>
        </w:rPr>
        <w:t>We project our discounts and allowances may increase for the remainder of 2026, as compared to the corresponding prior year period, for similar reasons noted above.</w:t>
      </w:r>
    </w:p>
    <w:p>
      <w:pPr>
        <w:spacing w:after="0" w:line="10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License Revenues</w:t>
      </w:r>
    </w:p>
    <w:p>
      <w:pPr>
        <w:spacing w:after="0" w:line="169" w:lineRule="exact"/>
        <w:rPr>
          <w:sz w:val="20"/>
          <w:szCs w:val="20"/>
          <w:color w:val="auto"/>
        </w:rPr>
      </w:pPr>
    </w:p>
    <w:p>
      <w:pPr>
        <w:jc w:val="both"/>
        <w:ind w:right="300" w:firstLine="648"/>
        <w:spacing w:after="0" w:line="268" w:lineRule="auto"/>
        <w:rPr>
          <w:sz w:val="20"/>
          <w:szCs w:val="20"/>
          <w:color w:val="auto"/>
        </w:rPr>
      </w:pPr>
      <w:r>
        <w:rPr>
          <w:rFonts w:ascii="Arial" w:cs="Arial" w:eastAsia="Arial" w:hAnsi="Arial"/>
          <w:sz w:val="18"/>
          <w:szCs w:val="18"/>
          <w:color w:val="auto"/>
        </w:rPr>
        <w:t>License revenues primarily include: (a) the recognition of the portion of milestone payments allocated to the transfer of intellectual property licenses for which it had become probable, in the related period, that a milestone would be achieved and a significant reversal of revenues would not occur in future periods; and (b) royalty revenues.</w:t>
      </w:r>
    </w:p>
    <w:p>
      <w:pPr>
        <w:spacing w:after="0" w:line="117" w:lineRule="exact"/>
        <w:rPr>
          <w:sz w:val="20"/>
          <w:szCs w:val="20"/>
          <w:color w:val="auto"/>
        </w:rPr>
      </w:pPr>
    </w:p>
    <w:p>
      <w:pPr>
        <w:ind w:right="220" w:firstLine="648"/>
        <w:spacing w:after="0" w:line="256" w:lineRule="auto"/>
        <w:rPr>
          <w:sz w:val="20"/>
          <w:szCs w:val="20"/>
          <w:color w:val="auto"/>
        </w:rPr>
      </w:pPr>
      <w:r>
        <w:rPr>
          <w:rFonts w:ascii="Arial" w:cs="Arial" w:eastAsia="Arial" w:hAnsi="Arial"/>
          <w:sz w:val="18"/>
          <w:szCs w:val="18"/>
          <w:color w:val="auto"/>
        </w:rPr>
        <w:t>Milestone revenues, which are allocated between license revenues and collaboration services revenues, were $8.8 million for the three months ended March 31, 2026, as compared to $0.9 million for the corresponding prior year period. During the three months ended March 31, 2026, we recognized $7.7 million in revenues in connection with an $8.0 million commercial milestone payment from Takeda, which was earned upon their achievement of $300.0 million of cumulative net sales of cabozantinib in Japan. Of the revenues recognized from this milestone, $5.3 million was allocated to license revenues and $2.4 million was allocated to collaboration services revenues. Upon the achievement of this commercial milestone, the tiered royalty rate on annual net sales reset to 20% and will reset each calendar year thereafter.</w:t>
      </w:r>
    </w:p>
    <w:p>
      <w:pPr>
        <w:sectPr>
          <w:pgSz w:w="11900" w:h="16838" w:orient="portrait"/>
          <w:cols w:equalWidth="0" w:num="1">
            <w:col w:w="11240"/>
          </w:cols>
          <w:pgMar w:left="320" w:top="29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Royalty revenues for the three months ended March 31, 2026 increased, as compared to the corresponding prior year period, primarily as a result of an increase in Ipsen’s net sales of cabozantinib outside of the U.S and Japan. Ipsen royalties were $43.5 million for the three months ended March 31, 2026, as compared to $34.0 million for the corresponding prior year period. Royalty revenues related to Takeda’s net sales of cabozantinib were $2.4 million for the three months ended March 31, 2026, as compared to $2.8 million for the corresponding prior year period. CABOMETYX is approved and is commercially available in 68 countries outside the U.S.</w:t>
      </w:r>
    </w:p>
    <w:p>
      <w:pPr>
        <w:spacing w:after="0" w:line="125" w:lineRule="exact"/>
        <w:rPr>
          <w:sz w:val="20"/>
          <w:szCs w:val="20"/>
          <w:color w:val="auto"/>
        </w:rPr>
      </w:pPr>
    </w:p>
    <w:p>
      <w:pPr>
        <w:ind w:right="140" w:firstLine="648"/>
        <w:spacing w:after="0" w:line="287" w:lineRule="auto"/>
        <w:rPr>
          <w:sz w:val="20"/>
          <w:szCs w:val="20"/>
          <w:color w:val="auto"/>
        </w:rPr>
      </w:pPr>
      <w:r>
        <w:rPr>
          <w:rFonts w:ascii="Arial" w:cs="Arial" w:eastAsia="Arial" w:hAnsi="Arial"/>
          <w:sz w:val="18"/>
          <w:szCs w:val="18"/>
          <w:color w:val="auto"/>
        </w:rPr>
        <w:t>Due to uncertainties surrounding the timing and achievement of development, regulatory and commercial milestones, it is difficult to predict the timing of future milestone revenues; consequently, milestones may vary significantly from period to period.</w:t>
      </w:r>
    </w:p>
    <w:p>
      <w:pPr>
        <w:spacing w:after="0" w:line="10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Collaboration Services Revenues</w:t>
      </w:r>
    </w:p>
    <w:p>
      <w:pPr>
        <w:spacing w:after="0" w:line="169" w:lineRule="exact"/>
        <w:rPr>
          <w:sz w:val="20"/>
          <w:szCs w:val="20"/>
          <w:color w:val="auto"/>
        </w:rPr>
      </w:pPr>
    </w:p>
    <w:p>
      <w:pPr>
        <w:ind w:right="140" w:firstLine="648"/>
        <w:spacing w:after="0" w:line="262" w:lineRule="auto"/>
        <w:rPr>
          <w:sz w:val="20"/>
          <w:szCs w:val="20"/>
          <w:color w:val="auto"/>
        </w:rPr>
      </w:pPr>
      <w:r>
        <w:rPr>
          <w:rFonts w:ascii="Arial" w:cs="Arial" w:eastAsia="Arial" w:hAnsi="Arial"/>
          <w:sz w:val="18"/>
          <w:szCs w:val="18"/>
          <w:color w:val="auto"/>
        </w:rPr>
        <w:t>Collaboration services revenues include: (a) the development cost reimbursements earned under our collaboration agreements and product supply revenues, net of product supply costs; (b) the recognition of deferred revenues for the portion of upfront and milestone payments that have been allocated to research and development services performance obligations; offset by (c) the royalties we pay to Royalty Pharma plc (Royalty Pharma) on sales by Ipsen and Takeda of products containing cabozantinib.</w:t>
      </w:r>
    </w:p>
    <w:p>
      <w:pPr>
        <w:spacing w:after="0" w:line="122" w:lineRule="exact"/>
        <w:rPr>
          <w:sz w:val="20"/>
          <w:szCs w:val="20"/>
          <w:color w:val="auto"/>
        </w:rPr>
      </w:pPr>
    </w:p>
    <w:p>
      <w:pPr>
        <w:ind w:right="160" w:firstLine="648"/>
        <w:spacing w:after="0" w:line="287" w:lineRule="auto"/>
        <w:rPr>
          <w:sz w:val="20"/>
          <w:szCs w:val="20"/>
          <w:color w:val="auto"/>
        </w:rPr>
      </w:pPr>
      <w:r>
        <w:rPr>
          <w:rFonts w:ascii="Arial" w:cs="Arial" w:eastAsia="Arial" w:hAnsi="Arial"/>
          <w:sz w:val="18"/>
          <w:szCs w:val="18"/>
          <w:color w:val="auto"/>
        </w:rPr>
        <w:t>Development cost reimbursements for the three months ended March 31, 2026 decreased, as compared to the corresponding prior year period, due to a decrease in spending on studies evaluating cabozantinib that are subject to reimbursement.</w:t>
      </w:r>
    </w:p>
    <w:p>
      <w:pPr>
        <w:spacing w:after="0" w:line="99" w:lineRule="exact"/>
        <w:rPr>
          <w:sz w:val="20"/>
          <w:szCs w:val="20"/>
          <w:color w:val="auto"/>
        </w:rPr>
      </w:pPr>
    </w:p>
    <w:p>
      <w:pPr>
        <w:ind w:right="640" w:firstLine="648"/>
        <w:spacing w:after="0" w:line="287" w:lineRule="auto"/>
        <w:rPr>
          <w:sz w:val="20"/>
          <w:szCs w:val="20"/>
          <w:color w:val="auto"/>
        </w:rPr>
      </w:pPr>
      <w:r>
        <w:rPr>
          <w:rFonts w:ascii="Arial" w:cs="Arial" w:eastAsia="Arial" w:hAnsi="Arial"/>
          <w:sz w:val="18"/>
          <w:szCs w:val="18"/>
          <w:color w:val="auto"/>
        </w:rPr>
        <w:t>Recognition of deferred revenues for the portion of upfront and milestone payments that have been allocated to research and development services performance obligations were not material in each of the three months ended March 31, 2026 and 2025.</w:t>
      </w:r>
    </w:p>
    <w:p>
      <w:pPr>
        <w:spacing w:after="0" w:line="99" w:lineRule="exact"/>
        <w:rPr>
          <w:sz w:val="20"/>
          <w:szCs w:val="20"/>
          <w:color w:val="auto"/>
        </w:rPr>
      </w:pPr>
    </w:p>
    <w:p>
      <w:pPr>
        <w:ind w:right="160" w:firstLine="648"/>
        <w:spacing w:after="0" w:line="262" w:lineRule="auto"/>
        <w:rPr>
          <w:sz w:val="20"/>
          <w:szCs w:val="20"/>
          <w:color w:val="auto"/>
        </w:rPr>
      </w:pPr>
      <w:r>
        <w:rPr>
          <w:rFonts w:ascii="Arial" w:cs="Arial" w:eastAsia="Arial" w:hAnsi="Arial"/>
          <w:sz w:val="18"/>
          <w:szCs w:val="18"/>
          <w:color w:val="auto"/>
        </w:rPr>
        <w:t>Collaboration services revenues are reduced by the 3% royalty we are required to pay to Royalty Pharma on the net sales by Ipsen and Takeda of any products containing cabozantinib. The royalty payments due to Royalty Pharma increased in the three months ended March 31, 2026, as compared to the corresponding prior year period, as a result of an increase in the royalty generating sales of cabozantinib by Ipsen.</w:t>
      </w:r>
    </w:p>
    <w:p>
      <w:pPr>
        <w:spacing w:after="0" w:line="122" w:lineRule="exact"/>
        <w:rPr>
          <w:sz w:val="20"/>
          <w:szCs w:val="20"/>
          <w:color w:val="auto"/>
        </w:rPr>
      </w:pPr>
    </w:p>
    <w:p>
      <w:pPr>
        <w:ind w:right="20" w:firstLine="648"/>
        <w:spacing w:after="0" w:line="268" w:lineRule="auto"/>
        <w:rPr>
          <w:sz w:val="20"/>
          <w:szCs w:val="20"/>
          <w:color w:val="auto"/>
        </w:rPr>
      </w:pPr>
      <w:r>
        <w:rPr>
          <w:rFonts w:ascii="Arial" w:cs="Arial" w:eastAsia="Arial" w:hAnsi="Arial"/>
          <w:sz w:val="18"/>
          <w:szCs w:val="18"/>
          <w:color w:val="auto"/>
        </w:rPr>
        <w:t>We project our collaboration services revenues may increase for the remainder of 2026, as compared to the corresponding prior year period, primarily as a result of an increase in development cost reimbursements, partially offset by an increase in royalty payments on the sales of cabozantinib by Ipsen and Takeda.</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cost of goods sold and our gross margins were as follows (dollars in thousands):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spacing w:after="0"/>
              <w:rPr>
                <w:sz w:val="20"/>
                <w:szCs w:val="20"/>
                <w:color w:val="auto"/>
              </w:rPr>
            </w:pPr>
          </w:p>
        </w:tc>
        <w:tc>
          <w:tcPr>
            <w:tcW w:w="3200" w:type="dxa"/>
            <w:vAlign w:val="bottom"/>
            <w:tcBorders>
              <w:bottom w:val="single" w:sz="8" w:color="auto"/>
            </w:tcBorders>
            <w:gridSpan w:val="4"/>
          </w:tcPr>
          <w:p>
            <w:pPr>
              <w:ind w:left="760"/>
              <w:spacing w:after="0"/>
              <w:rPr>
                <w:sz w:val="20"/>
                <w:szCs w:val="20"/>
                <w:color w:val="auto"/>
              </w:rPr>
            </w:pPr>
            <w:r>
              <w:rPr>
                <w:rFonts w:ascii="Arial" w:cs="Arial" w:eastAsia="Arial" w:hAnsi="Arial"/>
                <w:sz w:val="16"/>
                <w:szCs w:val="16"/>
                <w:b w:val="1"/>
                <w:bCs w:val="1"/>
                <w:color w:val="auto"/>
              </w:rPr>
              <w:t>Three Months Ended March 31,</w:t>
            </w: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ind w:left="180"/>
              <w:spacing w:after="0"/>
              <w:rPr>
                <w:sz w:val="20"/>
                <w:szCs w:val="20"/>
                <w:color w:val="auto"/>
              </w:rPr>
            </w:pPr>
            <w:r>
              <w:rPr>
                <w:rFonts w:ascii="Arial" w:cs="Arial" w:eastAsia="Arial" w:hAnsi="Arial"/>
                <w:sz w:val="16"/>
                <w:szCs w:val="16"/>
                <w:b w:val="1"/>
                <w:bCs w:val="1"/>
                <w:color w:val="auto"/>
              </w:rPr>
              <w:t>Percent</w:t>
            </w:r>
          </w:p>
        </w:tc>
      </w:tr>
      <w:tr>
        <w:trPr>
          <w:trHeight w:val="233"/>
        </w:trPr>
        <w:tc>
          <w:tcPr>
            <w:tcW w:w="628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ind w:left="780"/>
              <w:spacing w:after="0"/>
              <w:rPr>
                <w:sz w:val="20"/>
                <w:szCs w:val="20"/>
                <w:color w:val="auto"/>
              </w:rPr>
            </w:pPr>
            <w:r>
              <w:rPr>
                <w:rFonts w:ascii="Arial" w:cs="Arial" w:eastAsia="Arial" w:hAnsi="Arial"/>
                <w:sz w:val="16"/>
                <w:szCs w:val="16"/>
                <w:b w:val="1"/>
                <w:bCs w:val="1"/>
                <w:color w:val="auto"/>
              </w:rPr>
              <w:t>2026</w:t>
            </w: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Change</w:t>
            </w:r>
          </w:p>
        </w:tc>
      </w:tr>
      <w:tr>
        <w:trPr>
          <w:trHeight w:val="247"/>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1180" w:type="dxa"/>
            <w:vAlign w:val="bottom"/>
            <w:tcBorders>
              <w:bottom w:val="single" w:sz="8" w:color="CCEEFF"/>
            </w:tcBorders>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19,953</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95"/>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19,172</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7"/>
        </w:trPr>
        <w:tc>
          <w:tcPr>
            <w:tcW w:w="6280" w:type="dxa"/>
            <w:vAlign w:val="bottom"/>
          </w:tcPr>
          <w:p>
            <w:pPr>
              <w:ind w:left="20"/>
              <w:spacing w:after="0"/>
              <w:rPr>
                <w:sz w:val="20"/>
                <w:szCs w:val="20"/>
                <w:color w:val="auto"/>
              </w:rPr>
            </w:pPr>
            <w:r>
              <w:rPr>
                <w:rFonts w:ascii="Arial" w:cs="Arial" w:eastAsia="Arial" w:hAnsi="Arial"/>
                <w:sz w:val="18"/>
                <w:szCs w:val="18"/>
                <w:color w:val="auto"/>
              </w:rPr>
              <w:t>Gross margin %</w:t>
            </w:r>
          </w:p>
        </w:tc>
        <w:tc>
          <w:tcPr>
            <w:tcW w:w="1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r>
    </w:tbl>
    <w:p>
      <w:pPr>
        <w:spacing w:after="0" w:line="261"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Cost of goods sold is related to our product revenues and consists of a 3% royalty payable on U.S. net sales of any product containing cabozantinib, as well as the cost of inventory sold, indirect labor costs, write-downs related to expiring, excess and obsolete inventory, and other third-party logistics costs. The increase in cost of goods sold for the three months ended March 31, 2026, as compared to the corresponding prior year period, was primarily due to an increase in royalties as a result of an increase in U.S. CABOMETYX sales. We project our gross margin will not change significantly during the remainder of 2026.</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69" w:lineRule="exact"/>
        <w:rPr>
          <w:sz w:val="20"/>
          <w:szCs w:val="20"/>
          <w:color w:val="auto"/>
        </w:rPr>
      </w:pPr>
    </w:p>
    <w:p>
      <w:pPr>
        <w:ind w:right="140" w:firstLine="648"/>
        <w:spacing w:after="0" w:line="262" w:lineRule="auto"/>
        <w:rPr>
          <w:sz w:val="20"/>
          <w:szCs w:val="20"/>
          <w:color w:val="auto"/>
        </w:rPr>
      </w:pPr>
      <w:r>
        <w:rPr>
          <w:rFonts w:ascii="Arial" w:cs="Arial" w:eastAsia="Arial" w:hAnsi="Arial"/>
          <w:sz w:val="18"/>
          <w:szCs w:val="18"/>
          <w:color w:val="auto"/>
        </w:rPr>
        <w:t>We do not track fully burdened research and development expenses on a project-by-project basis. We group our research and development expenses into three categories: (a) development; (b) drug discovery; and (c) other research and development. Our development group leads the development and implementation of our clinical and regulatory strategies and prioritizes disease indications in which our compounds are being or may be studied in clinical trials.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Development expenses include license and other collaboration costs, primarily composed of upfront license fees, development milestones and other payments associated with our clinical-stage in-licensing collaboration programs, clinical trial costs, personnel expenses, consulting and outside services and other development costs, including manufacturing costs of our drug development candidates. Our drug discovery group utilizes a variety of technologies, including in-licensed technologies, to enable the rapid discovery, optimization and extensive characterization of lead compounds and biotherapeutics such that we are able to select development candidates with the best potential for further evaluation and advancement into clinical development. Drug discovery expenses include license and other collaboration costs primarily composed of upfront license fees, research funding commitments, option exercise fees, development milestones and other payments associated with our in -licensing collaboration programs in preclinical development stage. Other drug discovery costs include personnel expenses, consulting and outside services and laboratory supplies. Other research and development expenses include the allocation of general corporate costs to research and development services and development cost reimbursements in connection with certain of our collaboration arrangements.</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Research and development expenses by category were as follows (dollars in thousands):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4"/>
          </w:tcPr>
          <w:p>
            <w:pPr>
              <w:jc w:val="right"/>
              <w:ind w:right="531"/>
              <w:spacing w:after="0"/>
              <w:rPr>
                <w:sz w:val="20"/>
                <w:szCs w:val="20"/>
                <w:color w:val="auto"/>
              </w:rPr>
            </w:pPr>
            <w:r>
              <w:rPr>
                <w:rFonts w:ascii="Arial" w:cs="Arial" w:eastAsia="Arial" w:hAnsi="Arial"/>
                <w:sz w:val="16"/>
                <w:szCs w:val="16"/>
                <w:b w:val="1"/>
                <w:bCs w:val="1"/>
                <w:color w:val="auto"/>
              </w:rPr>
              <w:t>Three Months Ended March 31,</w:t>
            </w:r>
          </w:p>
        </w:tc>
        <w:tc>
          <w:tcPr>
            <w:tcW w:w="100" w:type="dxa"/>
            <w:vAlign w:val="bottom"/>
          </w:tcPr>
          <w:p>
            <w:pPr>
              <w:spacing w:after="0"/>
              <w:rPr>
                <w:sz w:val="20"/>
                <w:szCs w:val="20"/>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b w:val="1"/>
                <w:bCs w:val="1"/>
                <w:color w:val="auto"/>
              </w:rPr>
              <w:t>Percent</w:t>
            </w:r>
          </w:p>
        </w:tc>
      </w:tr>
      <w:tr>
        <w:trPr>
          <w:trHeight w:val="233"/>
        </w:trPr>
        <w:tc>
          <w:tcPr>
            <w:tcW w:w="65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31"/>
              <w:spacing w:after="0"/>
              <w:rPr>
                <w:sz w:val="20"/>
                <w:szCs w:val="20"/>
                <w:color w:val="auto"/>
              </w:rPr>
            </w:pPr>
            <w:r>
              <w:rPr>
                <w:rFonts w:ascii="Arial" w:cs="Arial" w:eastAsia="Arial" w:hAnsi="Arial"/>
                <w:sz w:val="16"/>
                <w:szCs w:val="16"/>
                <w:b w:val="1"/>
                <w:bCs w:val="1"/>
                <w:color w:val="auto"/>
              </w:rPr>
              <w:t>2026</w:t>
            </w:r>
          </w:p>
        </w:tc>
        <w:tc>
          <w:tcPr>
            <w:tcW w:w="8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11"/>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r>
      <w:tr>
        <w:trPr>
          <w:trHeight w:val="234"/>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Development:</w:t>
            </w:r>
          </w:p>
        </w:tc>
        <w:tc>
          <w:tcPr>
            <w:tcW w:w="3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7"/>
        </w:trPr>
        <w:tc>
          <w:tcPr>
            <w:tcW w:w="6520" w:type="dxa"/>
            <w:vAlign w:val="bottom"/>
          </w:tcPr>
          <w:p>
            <w:pPr>
              <w:ind w:left="280"/>
              <w:spacing w:after="0"/>
              <w:rPr>
                <w:sz w:val="20"/>
                <w:szCs w:val="20"/>
                <w:color w:val="auto"/>
              </w:rPr>
            </w:pPr>
            <w:r>
              <w:rPr>
                <w:rFonts w:ascii="Arial" w:cs="Arial" w:eastAsia="Arial" w:hAnsi="Arial"/>
                <w:sz w:val="18"/>
                <w:szCs w:val="18"/>
                <w:color w:val="auto"/>
              </w:rPr>
              <w:t>Clinical trial costs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51,404</w:t>
            </w:r>
          </w:p>
        </w:tc>
        <w:tc>
          <w:tcPr>
            <w:tcW w:w="8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62,741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3"/>
        </w:trPr>
        <w:tc>
          <w:tcPr>
            <w:tcW w:w="6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Personnel expenses</w:t>
            </w: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48,990</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49,537</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7"/>
        </w:trPr>
        <w:tc>
          <w:tcPr>
            <w:tcW w:w="6520" w:type="dxa"/>
            <w:vAlign w:val="bottom"/>
          </w:tcPr>
          <w:p>
            <w:pPr>
              <w:ind w:left="280"/>
              <w:spacing w:after="0"/>
              <w:rPr>
                <w:sz w:val="20"/>
                <w:szCs w:val="20"/>
                <w:color w:val="auto"/>
              </w:rPr>
            </w:pPr>
            <w:r>
              <w:rPr>
                <w:rFonts w:ascii="Arial" w:cs="Arial" w:eastAsia="Arial" w:hAnsi="Arial"/>
                <w:sz w:val="18"/>
                <w:szCs w:val="18"/>
                <w:color w:val="auto"/>
              </w:rPr>
              <w:t>License and other collaboration costs</w:t>
            </w:r>
          </w:p>
        </w:tc>
        <w:tc>
          <w:tcPr>
            <w:tcW w:w="3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5,075</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5,000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3"/>
        </w:trPr>
        <w:tc>
          <w:tcPr>
            <w:tcW w:w="6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Consulting and outside services</w:t>
            </w: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13,638</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12,703</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7"/>
        </w:trPr>
        <w:tc>
          <w:tcPr>
            <w:tcW w:w="6520" w:type="dxa"/>
            <w:vAlign w:val="bottom"/>
          </w:tcPr>
          <w:p>
            <w:pPr>
              <w:ind w:left="280"/>
              <w:spacing w:after="0"/>
              <w:rPr>
                <w:sz w:val="20"/>
                <w:szCs w:val="20"/>
                <w:color w:val="auto"/>
              </w:rPr>
            </w:pPr>
            <w:r>
              <w:rPr>
                <w:rFonts w:ascii="Arial" w:cs="Arial" w:eastAsia="Arial" w:hAnsi="Arial"/>
                <w:sz w:val="18"/>
                <w:szCs w:val="18"/>
                <w:color w:val="auto"/>
              </w:rPr>
              <w:t>Other development costs</w:t>
            </w:r>
          </w:p>
        </w:tc>
        <w:tc>
          <w:tcPr>
            <w:tcW w:w="3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16,608</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23,236</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-29%</w:t>
            </w:r>
          </w:p>
        </w:tc>
      </w:tr>
      <w:tr>
        <w:trPr>
          <w:trHeight w:val="23"/>
        </w:trPr>
        <w:tc>
          <w:tcPr>
            <w:tcW w:w="65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r>
      <w:tr>
        <w:trPr>
          <w:trHeight w:val="263"/>
        </w:trPr>
        <w:tc>
          <w:tcPr>
            <w:tcW w:w="65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development</w:t>
            </w:r>
          </w:p>
        </w:tc>
        <w:tc>
          <w:tcPr>
            <w:tcW w:w="3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135,715</w:t>
            </w: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153,217</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7"/>
        </w:trPr>
        <w:tc>
          <w:tcPr>
            <w:tcW w:w="6520" w:type="dxa"/>
            <w:vAlign w:val="bottom"/>
          </w:tcPr>
          <w:p>
            <w:pPr>
              <w:ind w:left="20"/>
              <w:spacing w:after="0"/>
              <w:rPr>
                <w:sz w:val="20"/>
                <w:szCs w:val="20"/>
                <w:color w:val="auto"/>
              </w:rPr>
            </w:pPr>
            <w:r>
              <w:rPr>
                <w:rFonts w:ascii="Arial" w:cs="Arial" w:eastAsia="Arial" w:hAnsi="Arial"/>
                <w:sz w:val="18"/>
                <w:szCs w:val="18"/>
                <w:color w:val="auto"/>
              </w:rPr>
              <w:t>Drug discovery:</w:t>
            </w:r>
          </w:p>
        </w:tc>
        <w:tc>
          <w:tcPr>
            <w:tcW w:w="3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
        </w:trPr>
        <w:tc>
          <w:tcPr>
            <w:tcW w:w="6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License and other collaboration costs</w:t>
            </w: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2,810</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985%</w:t>
            </w:r>
          </w:p>
        </w:tc>
      </w:tr>
      <w:tr>
        <w:trPr>
          <w:trHeight w:val="247"/>
        </w:trPr>
        <w:tc>
          <w:tcPr>
            <w:tcW w:w="6520" w:type="dxa"/>
            <w:vAlign w:val="bottom"/>
          </w:tcPr>
          <w:p>
            <w:pPr>
              <w:ind w:left="280"/>
              <w:spacing w:after="0"/>
              <w:rPr>
                <w:sz w:val="20"/>
                <w:szCs w:val="20"/>
                <w:color w:val="auto"/>
              </w:rPr>
            </w:pPr>
            <w:r>
              <w:rPr>
                <w:rFonts w:ascii="Arial" w:cs="Arial" w:eastAsia="Arial" w:hAnsi="Arial"/>
                <w:sz w:val="18"/>
                <w:szCs w:val="18"/>
                <w:color w:val="auto"/>
              </w:rPr>
              <w:t>Other drug discovery costs</w:t>
            </w:r>
          </w:p>
        </w:tc>
        <w:tc>
          <w:tcPr>
            <w:tcW w:w="3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16,666</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17,994</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3"/>
        </w:trPr>
        <w:tc>
          <w:tcPr>
            <w:tcW w:w="65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r>
      <w:tr>
        <w:trPr>
          <w:trHeight w:val="263"/>
        </w:trPr>
        <w:tc>
          <w:tcPr>
            <w:tcW w:w="65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drug discovery</w:t>
            </w:r>
          </w:p>
        </w:tc>
        <w:tc>
          <w:tcPr>
            <w:tcW w:w="3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19,476</w:t>
            </w: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18,253</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0"/>
        </w:trPr>
        <w:tc>
          <w:tcPr>
            <w:tcW w:w="652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3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12,318</w:t>
            </w:r>
          </w:p>
        </w:tc>
        <w:tc>
          <w:tcPr>
            <w:tcW w:w="8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9,522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29%</w:t>
            </w:r>
          </w:p>
        </w:tc>
      </w:tr>
      <w:tr>
        <w:trPr>
          <w:trHeight w:val="23"/>
        </w:trPr>
        <w:tc>
          <w:tcPr>
            <w:tcW w:w="6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research and development</w:t>
            </w:r>
          </w:p>
        </w:tc>
        <w:tc>
          <w:tcPr>
            <w:tcW w:w="3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32,407</w:t>
            </w: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31,241</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63"/>
        </w:trPr>
        <w:tc>
          <w:tcPr>
            <w:tcW w:w="6520" w:type="dxa"/>
            <w:vAlign w:val="bottom"/>
          </w:tcPr>
          <w:p>
            <w:pPr>
              <w:ind w:left="680"/>
              <w:spacing w:after="0"/>
              <w:rPr>
                <w:sz w:val="20"/>
                <w:szCs w:val="20"/>
                <w:color w:val="auto"/>
              </w:rPr>
            </w:pPr>
            <w:r>
              <w:rPr>
                <w:rFonts w:ascii="Arial" w:cs="Arial" w:eastAsia="Arial" w:hAnsi="Arial"/>
                <w:sz w:val="18"/>
                <w:szCs w:val="18"/>
                <w:color w:val="auto"/>
              </w:rPr>
              <w:t>Total research and development expenses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199,916</w:t>
            </w:r>
          </w:p>
        </w:tc>
        <w:tc>
          <w:tcPr>
            <w:tcW w:w="8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212,233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65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238" w:lineRule="exact"/>
        <w:rPr>
          <w:sz w:val="20"/>
          <w:szCs w:val="20"/>
          <w:color w:val="auto"/>
        </w:rPr>
      </w:pPr>
    </w:p>
    <w:p>
      <w:pPr>
        <w:ind w:right="320" w:firstLine="648"/>
        <w:spacing w:after="0" w:line="262" w:lineRule="auto"/>
        <w:rPr>
          <w:sz w:val="20"/>
          <w:szCs w:val="20"/>
          <w:color w:val="auto"/>
        </w:rPr>
      </w:pPr>
      <w:r>
        <w:rPr>
          <w:rFonts w:ascii="Arial" w:cs="Arial" w:eastAsia="Arial" w:hAnsi="Arial"/>
          <w:sz w:val="18"/>
          <w:szCs w:val="18"/>
          <w:color w:val="auto"/>
        </w:rPr>
        <w:t>In addition, we track our external clinical trial costs by product and product candidate and by scientific modalities, which are categorized as small molecule and biotherapeutics programs. Small molecule clinical development for the reported periods were primarily composed of cabozantinib and zanzalintinib. Biotherapeutics clinical development for the reported periods were primarily composed of XB010, XB628, and XB371.</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Clinical trial costs by scientific modalities, by product and by product candidate were as follows (dollars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Pr>
          <w:p>
            <w:pPr>
              <w:spacing w:after="0"/>
              <w:rPr>
                <w:sz w:val="20"/>
                <w:szCs w:val="20"/>
                <w:color w:val="auto"/>
              </w:rPr>
            </w:pPr>
          </w:p>
        </w:tc>
        <w:tc>
          <w:tcPr>
            <w:tcW w:w="30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b w:val="1"/>
                <w:bCs w:val="1"/>
                <w:color w:val="auto"/>
              </w:rPr>
              <w:t>Percent</w:t>
            </w:r>
          </w:p>
        </w:tc>
      </w:tr>
      <w:tr>
        <w:trPr>
          <w:trHeight w:val="233"/>
        </w:trPr>
        <w:tc>
          <w:tcPr>
            <w:tcW w:w="65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68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6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r>
      <w:tr>
        <w:trPr>
          <w:trHeight w:val="234"/>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Small molecules:</w:t>
            </w:r>
          </w:p>
        </w:tc>
        <w:tc>
          <w:tcPr>
            <w:tcW w:w="1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7"/>
        </w:trPr>
        <w:tc>
          <w:tcPr>
            <w:tcW w:w="6520" w:type="dxa"/>
            <w:vAlign w:val="bottom"/>
          </w:tcPr>
          <w:p>
            <w:pPr>
              <w:ind w:left="220"/>
              <w:spacing w:after="0"/>
              <w:rPr>
                <w:sz w:val="20"/>
                <w:szCs w:val="20"/>
                <w:color w:val="auto"/>
              </w:rPr>
            </w:pPr>
            <w:r>
              <w:rPr>
                <w:rFonts w:ascii="Arial" w:cs="Arial" w:eastAsia="Arial" w:hAnsi="Arial"/>
                <w:sz w:val="18"/>
                <w:szCs w:val="18"/>
                <w:color w:val="auto"/>
              </w:rPr>
              <w:t>Zanzalintinib</w:t>
            </w:r>
          </w:p>
        </w:tc>
        <w:tc>
          <w:tcPr>
            <w:tcW w:w="1120" w:type="dxa"/>
            <w:vAlign w:val="bottom"/>
          </w:tcPr>
          <w:p>
            <w:pPr>
              <w:jc w:val="right"/>
              <w:ind w:right="915"/>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37,273</w:t>
            </w:r>
          </w:p>
        </w:tc>
        <w:tc>
          <w:tcPr>
            <w:tcW w:w="80" w:type="dxa"/>
            <w:vAlign w:val="bottom"/>
          </w:tcPr>
          <w:p>
            <w:pPr>
              <w:spacing w:after="0"/>
              <w:rPr>
                <w:sz w:val="21"/>
                <w:szCs w:val="21"/>
                <w:color w:val="auto"/>
              </w:rPr>
            </w:pPr>
          </w:p>
        </w:tc>
        <w:tc>
          <w:tcPr>
            <w:tcW w:w="1160" w:type="dxa"/>
            <w:vAlign w:val="bottom"/>
          </w:tcPr>
          <w:p>
            <w:pPr>
              <w:jc w:val="right"/>
              <w:ind w:right="953"/>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41,120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3"/>
        </w:trPr>
        <w:tc>
          <w:tcPr>
            <w:tcW w:w="65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Cabozantinib</w:t>
            </w:r>
          </w:p>
        </w:tc>
        <w:tc>
          <w:tcPr>
            <w:tcW w:w="1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4,324</w:t>
            </w: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9,983</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47"/>
        </w:trPr>
        <w:tc>
          <w:tcPr>
            <w:tcW w:w="6520" w:type="dxa"/>
            <w:vAlign w:val="bottom"/>
          </w:tcPr>
          <w:p>
            <w:pPr>
              <w:ind w:left="220"/>
              <w:spacing w:after="0"/>
              <w:rPr>
                <w:sz w:val="20"/>
                <w:szCs w:val="20"/>
                <w:color w:val="auto"/>
              </w:rPr>
            </w:pPr>
            <w:r>
              <w:rPr>
                <w:rFonts w:ascii="Arial" w:cs="Arial" w:eastAsia="Arial" w:hAnsi="Arial"/>
                <w:sz w:val="18"/>
                <w:szCs w:val="18"/>
                <w:color w:val="auto"/>
              </w:rPr>
              <w:t>Other small molecules</w:t>
            </w:r>
          </w:p>
        </w:tc>
        <w:tc>
          <w:tcPr>
            <w:tcW w:w="1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1,589</w:t>
            </w: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5,516</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-71%</w:t>
            </w:r>
          </w:p>
        </w:tc>
      </w:tr>
      <w:tr>
        <w:trPr>
          <w:trHeight w:val="23"/>
        </w:trPr>
        <w:tc>
          <w:tcPr>
            <w:tcW w:w="65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small molecules</w:t>
            </w:r>
          </w:p>
        </w:tc>
        <w:tc>
          <w:tcPr>
            <w:tcW w:w="1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43,186</w:t>
            </w: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56,619</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47"/>
        </w:trPr>
        <w:tc>
          <w:tcPr>
            <w:tcW w:w="6520" w:type="dxa"/>
            <w:vAlign w:val="bottom"/>
          </w:tcPr>
          <w:p>
            <w:pPr>
              <w:ind w:left="20"/>
              <w:spacing w:after="0"/>
              <w:rPr>
                <w:sz w:val="20"/>
                <w:szCs w:val="20"/>
                <w:color w:val="auto"/>
              </w:rPr>
            </w:pPr>
            <w:r>
              <w:rPr>
                <w:rFonts w:ascii="Arial" w:cs="Arial" w:eastAsia="Arial" w:hAnsi="Arial"/>
                <w:sz w:val="18"/>
                <w:szCs w:val="18"/>
                <w:color w:val="auto"/>
              </w:rPr>
              <w:t>Biotherapeutics</w:t>
            </w:r>
          </w:p>
        </w:tc>
        <w:tc>
          <w:tcPr>
            <w:tcW w:w="1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8,218</w:t>
            </w: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6,122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34%</w:t>
            </w:r>
          </w:p>
        </w:tc>
      </w:tr>
      <w:tr>
        <w:trPr>
          <w:trHeight w:val="23"/>
        </w:trPr>
        <w:tc>
          <w:tcPr>
            <w:tcW w:w="65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r>
      <w:tr>
        <w:trPr>
          <w:trHeight w:val="289"/>
        </w:trPr>
        <w:tc>
          <w:tcPr>
            <w:tcW w:w="65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clinical trial costs</w:t>
            </w:r>
          </w:p>
        </w:tc>
        <w:tc>
          <w:tcPr>
            <w:tcW w:w="1120" w:type="dxa"/>
            <w:vAlign w:val="bottom"/>
            <w:tcBorders>
              <w:bottom w:val="single" w:sz="8" w:color="auto"/>
            </w:tcBorders>
            <w:shd w:val="clear" w:color="auto" w:fill="CCEEFF"/>
          </w:tcPr>
          <w:p>
            <w:pPr>
              <w:jc w:val="right"/>
              <w:ind w:right="915"/>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51,404</w:t>
            </w:r>
          </w:p>
        </w:tc>
        <w:tc>
          <w:tcPr>
            <w:tcW w:w="8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953"/>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62,741</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40" w:firstLine="648"/>
        <w:spacing w:after="0" w:line="262" w:lineRule="auto"/>
        <w:rPr>
          <w:sz w:val="20"/>
          <w:szCs w:val="20"/>
          <w:color w:val="auto"/>
        </w:rPr>
      </w:pPr>
      <w:r>
        <w:rPr>
          <w:rFonts w:ascii="Arial" w:cs="Arial" w:eastAsia="Arial" w:hAnsi="Arial"/>
          <w:sz w:val="18"/>
          <w:szCs w:val="18"/>
          <w:color w:val="auto"/>
        </w:rPr>
        <w:t>The decrease in research and development expenses for the three months ended March 31, 2026, as compared to the corresponding prior year period, was primarily related to decreases in clinical trial costs and manufacturing costs to support our development candidates (presented as part of other development costs), partially offset by an increase in drug discovery-related license and other collaboration costs.</w:t>
      </w:r>
    </w:p>
    <w:p>
      <w:pPr>
        <w:spacing w:after="0" w:line="122" w:lineRule="exact"/>
        <w:rPr>
          <w:sz w:val="20"/>
          <w:szCs w:val="20"/>
          <w:color w:val="auto"/>
        </w:rPr>
      </w:pPr>
    </w:p>
    <w:p>
      <w:pPr>
        <w:ind w:right="540" w:firstLine="648"/>
        <w:spacing w:after="0" w:line="287" w:lineRule="auto"/>
        <w:rPr>
          <w:sz w:val="20"/>
          <w:szCs w:val="20"/>
          <w:color w:val="auto"/>
        </w:rPr>
      </w:pPr>
      <w:r>
        <w:rPr>
          <w:rFonts w:ascii="Arial" w:cs="Arial" w:eastAsia="Arial" w:hAnsi="Arial"/>
          <w:sz w:val="18"/>
          <w:szCs w:val="18"/>
          <w:color w:val="auto"/>
        </w:rPr>
        <w:t>Clinical trial costs decreased for the three months ended March 31, 2026, as compared to the corresponding prior year period, primarily due to lower costs associated with studies evaluating cabozantinib and zanzalintinib.</w:t>
      </w:r>
    </w:p>
    <w:p>
      <w:pPr>
        <w:spacing w:after="0" w:line="180" w:lineRule="exact"/>
        <w:rPr>
          <w:sz w:val="20"/>
          <w:szCs w:val="20"/>
          <w:color w:val="auto"/>
        </w:rPr>
      </w:pPr>
    </w:p>
    <w:p>
      <w:pPr>
        <w:ind w:right="120" w:firstLine="648"/>
        <w:spacing w:after="0" w:line="268" w:lineRule="auto"/>
        <w:rPr>
          <w:sz w:val="20"/>
          <w:szCs w:val="20"/>
          <w:color w:val="auto"/>
        </w:rPr>
      </w:pPr>
      <w:r>
        <w:rPr>
          <w:rFonts w:ascii="Arial" w:cs="Arial" w:eastAsia="Arial" w:hAnsi="Arial"/>
          <w:sz w:val="18"/>
          <w:szCs w:val="18"/>
          <w:color w:val="auto"/>
        </w:rPr>
        <w:t>Drug discovery-related license and other collaboration costs increased for the three months ended March 31, 2026, as compared to the corresponding prior year period, primarily due to higher development milestone achievement in our discovery-stage in-licensing collaboration programs.</w:t>
      </w:r>
    </w:p>
    <w:p>
      <w:pPr>
        <w:spacing w:after="0" w:line="198"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In addition to reviewing the three categories of research and development expenses described above, we principally consider qualitative factors in making decisions regarding our research and development programs. These factors include enrollment in clinical trials for our product candidates, preliminary data and final results from clinical trials, the potential market indications and overall clinical and commercial potential for our product candidates, and competitive dynamics. We also make our research and development decisions in the context of our overall business strategy.</w:t>
      </w:r>
    </w:p>
    <w:p>
      <w:pPr>
        <w:spacing w:after="0" w:line="125" w:lineRule="exact"/>
        <w:rPr>
          <w:sz w:val="20"/>
          <w:szCs w:val="20"/>
          <w:color w:val="auto"/>
        </w:rPr>
      </w:pPr>
    </w:p>
    <w:p>
      <w:pPr>
        <w:ind w:right="100" w:firstLine="648"/>
        <w:spacing w:after="0" w:line="268" w:lineRule="auto"/>
        <w:rPr>
          <w:sz w:val="20"/>
          <w:szCs w:val="20"/>
          <w:color w:val="auto"/>
        </w:rPr>
      </w:pPr>
      <w:r>
        <w:rPr>
          <w:rFonts w:ascii="Arial" w:cs="Arial" w:eastAsia="Arial" w:hAnsi="Arial"/>
          <w:sz w:val="18"/>
          <w:szCs w:val="18"/>
          <w:color w:val="auto"/>
        </w:rPr>
        <w:t>We project that clinical trial costs may increase for the remainder of 2026, as compared to the corresponding prior year period, primarily driven by higher costs associated with various studies evaluating zanzalintinib, XB010, XB628, and XB371, partially offset by lower costs associated with studies evaluating cabozantinib and XL309.</w:t>
      </w:r>
    </w:p>
    <w:p>
      <w:pPr>
        <w:spacing w:after="0" w:line="117"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To continue growing our pipeline, we are prioritizing investment in new molecules that are clinically differentiated with the potential to improve the standard of care for our cancer patients, including current and planned clinical trial programs evaluating zanzalintinib, XB010, XB628, and XB371. We are working to expand our oncology product pipeline through drug discovery efforts, which encompass our diverse biotherapeutics and small molecule programs exploring multiple modalities and mechanisms of action. This approach provides a high degree of flexibility with respect to target selection and allows us to prioritize those targets that we believe have the greatest chance of yielding impactful therapeutics. As part of our strategy, our drug discovery activities have included and continue to include internal research, as well as external research collaborations, in-licensing arrangements and other strategic transactions that collectively incorporate a wide range of technology platforms and assets and increase our probability of success. As of the date of this Quarterly Report on Form 10-Q, we expect to progress up to two new development candidates into preclinical development during 2026. We will continue to engage in pipeline expansion initiatives with the goal of acquiring and in-licensing promising investigational oncology assets and then further characterize and develop them utilizing our established preclinical and clinical development infrastructure.</w:t>
      </w:r>
    </w:p>
    <w:p>
      <w:pPr>
        <w:spacing w:after="0" w:line="128" w:lineRule="exact"/>
        <w:rPr>
          <w:sz w:val="20"/>
          <w:szCs w:val="20"/>
          <w:color w:val="auto"/>
        </w:rPr>
      </w:pPr>
    </w:p>
    <w:p>
      <w:pPr>
        <w:ind w:right="160" w:firstLine="648"/>
        <w:spacing w:after="0" w:line="268" w:lineRule="auto"/>
        <w:rPr>
          <w:sz w:val="20"/>
          <w:szCs w:val="20"/>
          <w:color w:val="auto"/>
        </w:rPr>
      </w:pPr>
      <w:r>
        <w:rPr>
          <w:rFonts w:ascii="Arial" w:cs="Arial" w:eastAsia="Arial" w:hAnsi="Arial"/>
          <w:sz w:val="18"/>
          <w:szCs w:val="18"/>
          <w:color w:val="auto"/>
        </w:rPr>
        <w:t>We project our research and development expenses may increase for the remainder of 2026, as compared to the prior year period, primarily driven by increases in clinical trial costs, including the current and planned trials evaluating zanzalintinib, XB010, XB628, and XB371, personnel expenses, and consulting and outside services.</w:t>
      </w:r>
    </w:p>
    <w:p>
      <w:pPr>
        <w:sectPr>
          <w:pgSz w:w="11900" w:h="16838" w:orient="portrait"/>
          <w:cols w:equalWidth="0" w:num="1">
            <w:col w:w="11220"/>
          </w:cols>
          <w:pgMar w:left="320" w:top="292" w:right="359" w:bottom="1440" w:gutter="0" w:footer="0" w:header="0"/>
        </w:sectPr>
      </w:pP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Selling, general and administrative expenses were as follows (dollars in thousands):</w:t>
      </w:r>
    </w:p>
    <w:p>
      <w:pPr>
        <w:spacing w:after="0" w:line="200" w:lineRule="exact"/>
        <w:rPr>
          <w:sz w:val="20"/>
          <w:szCs w:val="20"/>
          <w:color w:val="auto"/>
        </w:rPr>
      </w:pPr>
    </w:p>
    <w:p>
      <w:pPr>
        <w:spacing w:after="0" w:line="219" w:lineRule="exact"/>
        <w:rPr>
          <w:sz w:val="20"/>
          <w:szCs w:val="20"/>
          <w:color w:val="auto"/>
        </w:rPr>
      </w:pPr>
    </w:p>
    <w:tbl>
      <w:tblPr>
        <w:tblLayout w:type="fixed"/>
        <w:tblInd w:w="20" w:type="dxa"/>
        <w:tblCellMar>
          <w:top w:w="0" w:type="dxa"/>
          <w:left w:w="0" w:type="dxa"/>
          <w:bottom w:w="0" w:type="dxa"/>
          <w:right w:w="0" w:type="dxa"/>
        </w:tblCellMar>
      </w:tblPr>
      <w:tr>
        <w:trPr>
          <w:trHeight w:val="226"/>
        </w:trPr>
        <w:tc>
          <w:tcPr>
            <w:tcW w:w="65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gridSpan w:val="4"/>
          </w:tcPr>
          <w:p>
            <w:pPr>
              <w:jc w:val="right"/>
              <w:ind w:right="532"/>
              <w:spacing w:after="0"/>
              <w:rPr>
                <w:sz w:val="20"/>
                <w:szCs w:val="20"/>
                <w:color w:val="auto"/>
              </w:rPr>
            </w:pPr>
            <w:r>
              <w:rPr>
                <w:rFonts w:ascii="Arial" w:cs="Arial" w:eastAsia="Arial" w:hAnsi="Arial"/>
                <w:sz w:val="16"/>
                <w:szCs w:val="16"/>
                <w:b w:val="1"/>
                <w:bCs w:val="1"/>
                <w:color w:val="auto"/>
              </w:rPr>
              <w:t>Three Months Ended March 31,</w:t>
            </w:r>
          </w:p>
        </w:tc>
      </w:tr>
      <w:tr>
        <w:trPr>
          <w:trHeight w:val="234"/>
        </w:trPr>
        <w:tc>
          <w:tcPr>
            <w:tcW w:w="65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34"/>
              <w:spacing w:after="0"/>
              <w:rPr>
                <w:sz w:val="20"/>
                <w:szCs w:val="20"/>
                <w:color w:val="auto"/>
              </w:rPr>
            </w:pPr>
            <w:r>
              <w:rPr>
                <w:rFonts w:ascii="Arial" w:cs="Arial" w:eastAsia="Arial" w:hAnsi="Arial"/>
                <w:sz w:val="16"/>
                <w:szCs w:val="16"/>
                <w:b w:val="1"/>
                <w:bCs w:val="1"/>
                <w:color w:val="auto"/>
              </w:rPr>
              <w:t>2026</w:t>
            </w:r>
          </w:p>
        </w:tc>
        <w:tc>
          <w:tcPr>
            <w:tcW w:w="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12"/>
              <w:spacing w:after="0"/>
              <w:rPr>
                <w:sz w:val="20"/>
                <w:szCs w:val="20"/>
                <w:color w:val="auto"/>
              </w:rPr>
            </w:pPr>
            <w:r>
              <w:rPr>
                <w:rFonts w:ascii="Arial" w:cs="Arial" w:eastAsia="Arial" w:hAnsi="Arial"/>
                <w:sz w:val="16"/>
                <w:szCs w:val="16"/>
                <w:b w:val="1"/>
                <w:bCs w:val="1"/>
                <w:color w:val="auto"/>
              </w:rPr>
              <w:t>2025</w:t>
            </w:r>
          </w:p>
        </w:tc>
      </w:tr>
      <w:tr>
        <w:trPr>
          <w:trHeight w:val="278"/>
        </w:trPr>
        <w:tc>
          <w:tcPr>
            <w:tcW w:w="6500" w:type="dxa"/>
            <w:vAlign w:val="bottom"/>
          </w:tcPr>
          <w:p>
            <w:pPr>
              <w:spacing w:after="0"/>
              <w:rPr>
                <w:sz w:val="20"/>
                <w:szCs w:val="20"/>
                <w:color w:val="auto"/>
              </w:rPr>
            </w:pPr>
            <w:r>
              <w:rPr>
                <w:rFonts w:ascii="Arial" w:cs="Arial" w:eastAsia="Arial" w:hAnsi="Arial"/>
                <w:sz w:val="18"/>
                <w:szCs w:val="18"/>
                <w:color w:val="auto"/>
              </w:rPr>
              <w:t>Selling, general and administrative expenses</w:t>
            </w:r>
            <w:r>
              <w:rPr>
                <w:rFonts w:ascii="Arial" w:cs="Arial" w:eastAsia="Arial" w:hAnsi="Arial"/>
                <w:sz w:val="23"/>
                <w:szCs w:val="23"/>
                <w:color w:val="auto"/>
                <w:vertAlign w:val="superscript"/>
              </w:rPr>
              <w:t>(1)</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122,870</w:t>
            </w:r>
          </w:p>
        </w:tc>
        <w:tc>
          <w:tcPr>
            <w:tcW w:w="80" w:type="dxa"/>
            <w:vAlign w:val="bottom"/>
          </w:tcPr>
          <w:p>
            <w:pPr>
              <w:spacing w:after="0"/>
              <w:rPr>
                <w:sz w:val="24"/>
                <w:szCs w:val="24"/>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120,775</w:t>
            </w:r>
          </w:p>
        </w:tc>
      </w:tr>
      <w:tr>
        <w:trPr>
          <w:trHeight w:val="239"/>
        </w:trPr>
        <w:tc>
          <w:tcPr>
            <w:tcW w:w="65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3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16,732</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16,408</w:t>
            </w:r>
          </w:p>
        </w:tc>
      </w:tr>
      <w:tr>
        <w:trPr>
          <w:trHeight w:val="23"/>
        </w:trPr>
        <w:tc>
          <w:tcPr>
            <w:tcW w:w="65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4"/>
        </w:trPr>
        <w:tc>
          <w:tcPr>
            <w:tcW w:w="6500" w:type="dxa"/>
            <w:vAlign w:val="bottom"/>
          </w:tcPr>
          <w:p>
            <w:pPr>
              <w:ind w:left="340"/>
              <w:spacing w:after="0"/>
              <w:rPr>
                <w:sz w:val="20"/>
                <w:szCs w:val="20"/>
                <w:color w:val="auto"/>
              </w:rPr>
            </w:pPr>
            <w:r>
              <w:rPr>
                <w:rFonts w:ascii="Arial" w:cs="Arial" w:eastAsia="Arial" w:hAnsi="Arial"/>
                <w:sz w:val="18"/>
                <w:szCs w:val="18"/>
                <w:color w:val="auto"/>
              </w:rPr>
              <w:t>Total selling, general and administrative expenses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139,602</w:t>
            </w:r>
          </w:p>
        </w:tc>
        <w:tc>
          <w:tcPr>
            <w:tcW w:w="80" w:type="dxa"/>
            <w:vAlign w:val="bottom"/>
          </w:tcPr>
          <w:p>
            <w:pPr>
              <w:spacing w:after="0"/>
              <w:rPr>
                <w:sz w:val="22"/>
                <w:szCs w:val="22"/>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137,183</w:t>
            </w:r>
          </w:p>
        </w:tc>
      </w:tr>
      <w:tr>
        <w:trPr>
          <w:trHeight w:val="21"/>
        </w:trPr>
        <w:tc>
          <w:tcPr>
            <w:tcW w:w="65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132320" cy="1974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-565150</wp:posOffset>
            </wp:positionV>
            <wp:extent cx="7132320" cy="1797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w:t>
      </w:r>
    </w:p>
    <w:p>
      <w:pPr>
        <w:spacing w:after="0" w:line="13" w:lineRule="exact"/>
        <w:rPr>
          <w:sz w:val="20"/>
          <w:szCs w:val="20"/>
          <w:color w:val="auto"/>
        </w:rPr>
      </w:pPr>
    </w:p>
    <w:p>
      <w:pPr>
        <w:ind w:left="160" w:hanging="152"/>
        <w:spacing w:after="0"/>
        <w:tabs>
          <w:tab w:leader="none" w:pos="16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Excludes stock-based compensation allocated to selling, general and administrative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b w:val="1"/>
          <w:bCs w:val="1"/>
          <w:color w:val="auto"/>
        </w:rPr>
        <w:t>Percent Change</w:t>
      </w:r>
    </w:p>
    <w:p>
      <w:pPr>
        <w:jc w:val="right"/>
        <w:spacing w:after="0"/>
        <w:rPr>
          <w:sz w:val="20"/>
          <w:szCs w:val="20"/>
          <w:color w:val="auto"/>
        </w:rPr>
      </w:pPr>
      <w:r>
        <w:rPr>
          <w:rFonts w:ascii="Arial" w:cs="Arial" w:eastAsia="Arial" w:hAnsi="Arial"/>
          <w:sz w:val="18"/>
          <w:szCs w:val="18"/>
          <w:color w:val="auto"/>
        </w:rPr>
        <w:t>2%</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697" w:lineRule="exact"/>
        <w:rPr>
          <w:sz w:val="20"/>
          <w:szCs w:val="20"/>
          <w:color w:val="auto"/>
        </w:rPr>
      </w:pPr>
    </w:p>
    <w:p>
      <w:pPr>
        <w:sectPr>
          <w:pgSz w:w="11900" w:h="16838" w:orient="portrait"/>
          <w:cols w:equalWidth="0" w:num="2">
            <w:col w:w="10180" w:space="280"/>
            <w:col w:w="760"/>
          </w:cols>
          <w:pgMar w:left="320" w:top="292" w:right="359" w:bottom="1440" w:gutter="0" w:footer="0" w:header="0"/>
          <w:type w:val="continuous"/>
        </w:sectPr>
      </w:pPr>
    </w:p>
    <w:p>
      <w:pPr>
        <w:ind w:right="200" w:firstLine="648"/>
        <w:spacing w:after="0" w:line="287" w:lineRule="auto"/>
        <w:rPr>
          <w:sz w:val="20"/>
          <w:szCs w:val="20"/>
          <w:color w:val="auto"/>
        </w:rPr>
      </w:pPr>
      <w:r>
        <w:rPr>
          <w:rFonts w:ascii="Arial" w:cs="Arial" w:eastAsia="Arial" w:hAnsi="Arial"/>
          <w:sz w:val="18"/>
          <w:szCs w:val="18"/>
          <w:color w:val="auto"/>
        </w:rPr>
        <w:t>Selling, general and administrative expenses consist primarily of personnel expenses, stock-based compensation, marketing costs and certain other administrative costs.</w:t>
      </w:r>
    </w:p>
    <w:p>
      <w:pPr>
        <w:spacing w:after="0" w:line="99" w:lineRule="exact"/>
        <w:rPr>
          <w:sz w:val="20"/>
          <w:szCs w:val="20"/>
          <w:color w:val="auto"/>
        </w:rPr>
      </w:pPr>
    </w:p>
    <w:p>
      <w:pPr>
        <w:ind w:right="600" w:firstLine="648"/>
        <w:spacing w:after="0" w:line="287" w:lineRule="auto"/>
        <w:rPr>
          <w:sz w:val="20"/>
          <w:szCs w:val="20"/>
          <w:color w:val="auto"/>
        </w:rPr>
      </w:pPr>
      <w:r>
        <w:rPr>
          <w:rFonts w:ascii="Arial" w:cs="Arial" w:eastAsia="Arial" w:hAnsi="Arial"/>
          <w:sz w:val="18"/>
          <w:szCs w:val="18"/>
          <w:color w:val="auto"/>
        </w:rPr>
        <w:t>The increase in selling, general and administrative expenses for the three months ended March 31, 2026, as compared to the corresponding prior year period, was primarily due to increases in marketing activities in support of the</w:t>
      </w:r>
    </w:p>
    <w:p>
      <w:pPr>
        <w:sectPr>
          <w:pgSz w:w="11900" w:h="16838" w:orient="portrait"/>
          <w:cols w:equalWidth="0" w:num="1">
            <w:col w:w="11220"/>
          </w:cols>
          <w:pgMar w:left="320" w:top="292"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2" w:right="35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anticipated commercial launch of zanzalintinib, legal and advisory fees, and personnel expenses, partially offset by a decrease in corporate giving.</w:t>
      </w:r>
    </w:p>
    <w:p>
      <w:pPr>
        <w:spacing w:after="0" w:line="99" w:lineRule="exact"/>
        <w:rPr>
          <w:sz w:val="20"/>
          <w:szCs w:val="20"/>
          <w:color w:val="auto"/>
        </w:rPr>
      </w:pPr>
    </w:p>
    <w:p>
      <w:pPr>
        <w:ind w:right="280" w:firstLine="648"/>
        <w:spacing w:after="0" w:line="262" w:lineRule="auto"/>
        <w:rPr>
          <w:sz w:val="20"/>
          <w:szCs w:val="20"/>
          <w:color w:val="auto"/>
        </w:rPr>
      </w:pPr>
      <w:r>
        <w:rPr>
          <w:rFonts w:ascii="Arial" w:cs="Arial" w:eastAsia="Arial" w:hAnsi="Arial"/>
          <w:sz w:val="18"/>
          <w:szCs w:val="18"/>
          <w:color w:val="auto"/>
        </w:rPr>
        <w:t>We project our selling, general and administrative expenses may increase for the remainder of 2026, as compared to the corresponding prior year period, primarily driven by increases in personnel expenses for the salesforce expansion in support of the commercial sale of CABOMETYX for the treatment of patients with previously treated advanced NET, marketing activities in support of the anticipated commercial launch of zanzalintinib, and legal and advisory fees.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Non-Operating Income</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Non-operating income was as follows (dollars in thousands):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Pr>
          <w:p>
            <w:pPr>
              <w:spacing w:after="0"/>
              <w:rPr>
                <w:sz w:val="20"/>
                <w:szCs w:val="20"/>
                <w:color w:val="auto"/>
              </w:rPr>
            </w:pPr>
          </w:p>
        </w:tc>
        <w:tc>
          <w:tcPr>
            <w:tcW w:w="30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ind w:right="96"/>
              <w:spacing w:after="0"/>
              <w:rPr>
                <w:sz w:val="20"/>
                <w:szCs w:val="20"/>
                <w:color w:val="auto"/>
              </w:rPr>
            </w:pPr>
            <w:r>
              <w:rPr>
                <w:rFonts w:ascii="Arial" w:cs="Arial" w:eastAsia="Arial" w:hAnsi="Arial"/>
                <w:sz w:val="16"/>
                <w:szCs w:val="16"/>
                <w:b w:val="1"/>
                <w:bCs w:val="1"/>
                <w:color w:val="auto"/>
              </w:rPr>
              <w:t>Percent</w:t>
            </w:r>
          </w:p>
        </w:tc>
      </w:tr>
      <w:tr>
        <w:trPr>
          <w:trHeight w:val="233"/>
        </w:trPr>
        <w:tc>
          <w:tcPr>
            <w:tcW w:w="65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68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6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ind w:right="96"/>
              <w:spacing w:after="0"/>
              <w:rPr>
                <w:sz w:val="20"/>
                <w:szCs w:val="20"/>
                <w:color w:val="auto"/>
              </w:rPr>
            </w:pPr>
            <w:r>
              <w:rPr>
                <w:rFonts w:ascii="Arial" w:cs="Arial" w:eastAsia="Arial" w:hAnsi="Arial"/>
                <w:sz w:val="16"/>
                <w:szCs w:val="16"/>
                <w:b w:val="1"/>
                <w:bCs w:val="1"/>
                <w:color w:val="auto"/>
              </w:rPr>
              <w:t>Change</w:t>
            </w:r>
          </w:p>
        </w:tc>
      </w:tr>
      <w:tr>
        <w:trPr>
          <w:trHeight w:val="247"/>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120" w:type="dxa"/>
            <w:vAlign w:val="bottom"/>
            <w:tcBorders>
              <w:bottom w:val="single" w:sz="8" w:color="CCEEFF"/>
            </w:tcBorders>
            <w:shd w:val="clear" w:color="auto" w:fill="CCEEFF"/>
          </w:tcPr>
          <w:p>
            <w:pPr>
              <w:jc w:val="right"/>
              <w:ind w:right="915"/>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16,127</w:t>
            </w: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53"/>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19,076</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7"/>
        </w:trPr>
        <w:tc>
          <w:tcPr>
            <w:tcW w:w="6520" w:type="dxa"/>
            <w:vAlign w:val="bottom"/>
          </w:tcPr>
          <w:p>
            <w:pPr>
              <w:ind w:left="20"/>
              <w:spacing w:after="0"/>
              <w:rPr>
                <w:sz w:val="20"/>
                <w:szCs w:val="20"/>
                <w:color w:val="auto"/>
              </w:rPr>
            </w:pPr>
            <w:r>
              <w:rPr>
                <w:rFonts w:ascii="Arial" w:cs="Arial" w:eastAsia="Arial" w:hAnsi="Arial"/>
                <w:sz w:val="18"/>
                <w:szCs w:val="18"/>
                <w:color w:val="auto"/>
              </w:rPr>
              <w:t>Other income (expenses), net</w:t>
            </w:r>
          </w:p>
        </w:tc>
        <w:tc>
          <w:tcPr>
            <w:tcW w:w="1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219</w:t>
            </w: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3"/>
        </w:trPr>
        <w:tc>
          <w:tcPr>
            <w:tcW w:w="65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r>
      <w:tr>
        <w:trPr>
          <w:trHeight w:val="289"/>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Non-operating income</w:t>
            </w:r>
          </w:p>
        </w:tc>
        <w:tc>
          <w:tcPr>
            <w:tcW w:w="1120" w:type="dxa"/>
            <w:vAlign w:val="bottom"/>
            <w:tcBorders>
              <w:bottom w:val="single" w:sz="8" w:color="auto"/>
            </w:tcBorders>
            <w:shd w:val="clear" w:color="auto" w:fill="CCEEFF"/>
          </w:tcPr>
          <w:p>
            <w:pPr>
              <w:jc w:val="right"/>
              <w:ind w:right="915"/>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16,346</w:t>
            </w:r>
          </w:p>
        </w:tc>
        <w:tc>
          <w:tcPr>
            <w:tcW w:w="8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953"/>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18,831</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r>
    </w:tbl>
    <w:p>
      <w:pPr>
        <w:spacing w:after="0" w:line="238" w:lineRule="exact"/>
        <w:rPr>
          <w:sz w:val="20"/>
          <w:szCs w:val="20"/>
          <w:color w:val="auto"/>
        </w:rPr>
      </w:pPr>
    </w:p>
    <w:p>
      <w:pPr>
        <w:ind w:right="360" w:firstLine="648"/>
        <w:spacing w:after="0" w:line="268" w:lineRule="auto"/>
        <w:rPr>
          <w:sz w:val="20"/>
          <w:szCs w:val="20"/>
          <w:color w:val="auto"/>
        </w:rPr>
      </w:pPr>
      <w:r>
        <w:rPr>
          <w:rFonts w:ascii="Arial" w:cs="Arial" w:eastAsia="Arial" w:hAnsi="Arial"/>
          <w:sz w:val="18"/>
          <w:szCs w:val="18"/>
          <w:color w:val="auto"/>
        </w:rPr>
        <w:t>The decrease in non-operating income for the three months ended March 31, 2026, as compared to the corresponding prior year period, was primarily the result of a decrease in interest income due to lower average interest-bearing investment balances and lower average interest rates.</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provision for income taxes and the effective tax rates were as follows (dollars in thousands):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4"/>
          </w:tcPr>
          <w:p>
            <w:pPr>
              <w:ind w:left="300"/>
              <w:spacing w:after="0"/>
              <w:rPr>
                <w:sz w:val="20"/>
                <w:szCs w:val="20"/>
                <w:color w:val="auto"/>
              </w:rPr>
            </w:pPr>
            <w:r>
              <w:rPr>
                <w:rFonts w:ascii="Arial" w:cs="Arial" w:eastAsia="Arial" w:hAnsi="Arial"/>
                <w:sz w:val="16"/>
                <w:szCs w:val="16"/>
                <w:b w:val="1"/>
                <w:bCs w:val="1"/>
                <w:color w:val="auto"/>
              </w:rPr>
              <w:t>Three Months Ended March 31,</w:t>
            </w:r>
          </w:p>
        </w:tc>
        <w:tc>
          <w:tcPr>
            <w:tcW w:w="100" w:type="dxa"/>
            <w:vAlign w:val="bottom"/>
          </w:tcPr>
          <w:p>
            <w:pPr>
              <w:spacing w:after="0"/>
              <w:rPr>
                <w:sz w:val="20"/>
                <w:szCs w:val="20"/>
                <w:color w:val="auto"/>
              </w:rPr>
            </w:pPr>
          </w:p>
        </w:tc>
        <w:tc>
          <w:tcPr>
            <w:tcW w:w="960" w:type="dxa"/>
            <w:vAlign w:val="bottom"/>
          </w:tcPr>
          <w:p>
            <w:pPr>
              <w:ind w:left="180"/>
              <w:spacing w:after="0"/>
              <w:rPr>
                <w:sz w:val="20"/>
                <w:szCs w:val="20"/>
                <w:color w:val="auto"/>
              </w:rPr>
            </w:pPr>
            <w:r>
              <w:rPr>
                <w:rFonts w:ascii="Arial" w:cs="Arial" w:eastAsia="Arial" w:hAnsi="Arial"/>
                <w:sz w:val="16"/>
                <w:szCs w:val="16"/>
                <w:b w:val="1"/>
                <w:bCs w:val="1"/>
                <w:color w:val="auto"/>
              </w:rPr>
              <w:t>Percent</w:t>
            </w:r>
          </w:p>
        </w:tc>
      </w:tr>
      <w:tr>
        <w:trPr>
          <w:trHeight w:val="233"/>
        </w:trPr>
        <w:tc>
          <w:tcPr>
            <w:tcW w:w="63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73"/>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Change</w:t>
            </w:r>
          </w:p>
        </w:tc>
      </w:tr>
      <w:tr>
        <w:trPr>
          <w:trHeight w:val="247"/>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57,220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46,074</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47"/>
        </w:trPr>
        <w:tc>
          <w:tcPr>
            <w:tcW w:w="6300" w:type="dxa"/>
            <w:vAlign w:val="bottom"/>
          </w:tcPr>
          <w:p>
            <w:pPr>
              <w:ind w:left="220"/>
              <w:spacing w:after="0"/>
              <w:rPr>
                <w:sz w:val="20"/>
                <w:szCs w:val="20"/>
                <w:color w:val="auto"/>
              </w:rPr>
            </w:pPr>
            <w:r>
              <w:rPr>
                <w:rFonts w:ascii="Arial" w:cs="Arial" w:eastAsia="Arial" w:hAnsi="Arial"/>
                <w:sz w:val="18"/>
                <w:szCs w:val="18"/>
                <w:color w:val="auto"/>
              </w:rPr>
              <w:t>Effective tax rate</w:t>
            </w: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r>
    </w:tbl>
    <w:p>
      <w:pPr>
        <w:spacing w:after="0" w:line="247" w:lineRule="exact"/>
        <w:rPr>
          <w:sz w:val="20"/>
          <w:szCs w:val="20"/>
          <w:color w:val="auto"/>
        </w:rPr>
      </w:pPr>
    </w:p>
    <w:p>
      <w:pPr>
        <w:ind w:right="20" w:firstLine="648"/>
        <w:spacing w:after="0" w:line="262" w:lineRule="auto"/>
        <w:rPr>
          <w:sz w:val="20"/>
          <w:szCs w:val="20"/>
          <w:color w:val="auto"/>
        </w:rPr>
      </w:pPr>
      <w:r>
        <w:rPr>
          <w:rFonts w:ascii="Arial" w:cs="Arial" w:eastAsia="Arial" w:hAnsi="Arial"/>
          <w:sz w:val="18"/>
          <w:szCs w:val="18"/>
          <w:color w:val="auto"/>
        </w:rPr>
        <w:t>The effective tax rate for the three months ended March 31, 2026, differed from the U.S. federal statutory rate of 21%, primarily due to state taxes, partially offset by excess tax benefits related to certain stock grants and the Foreign-Derived Intangible Income deduction. The effective tax rate for the three months ended March 31, 2025, differed from the U.S. federal statutory tax rate of 21%, primarily due to state taxes, partially offset by excess tax benefits related to certain stock grants and the generation of federal tax credits.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1" w:lineRule="exact"/>
        <w:rPr>
          <w:sz w:val="20"/>
          <w:szCs w:val="20"/>
          <w:color w:val="auto"/>
        </w:rPr>
      </w:pPr>
    </w:p>
    <w:p>
      <w:pPr>
        <w:ind w:right="180" w:firstLine="648"/>
        <w:spacing w:after="0" w:line="262" w:lineRule="auto"/>
        <w:rPr>
          <w:sz w:val="20"/>
          <w:szCs w:val="20"/>
          <w:color w:val="auto"/>
        </w:rPr>
      </w:pPr>
      <w:r>
        <w:rPr>
          <w:rFonts w:ascii="Arial" w:cs="Arial" w:eastAsia="Arial" w:hAnsi="Arial"/>
          <w:sz w:val="18"/>
          <w:szCs w:val="18"/>
          <w:color w:val="auto"/>
        </w:rPr>
        <w:t>As of March 31, 2026, we had $1.4 billion in cash, cash equivalents and marketable securities, as compared to $1.7 billion as of December 31, 2025. We anticipate that the aggregate of our current cash, cash equivalents and marketable securities available for operations, net product revenues and collaboration revenues will enable us to maintain our operations for at least 12 months and thereafter for the foreseeable future.</w:t>
      </w:r>
    </w:p>
    <w:p>
      <w:pPr>
        <w:spacing w:after="0" w:line="122" w:lineRule="exact"/>
        <w:rPr>
          <w:sz w:val="20"/>
          <w:szCs w:val="20"/>
          <w:color w:val="auto"/>
        </w:rPr>
      </w:pPr>
    </w:p>
    <w:p>
      <w:pPr>
        <w:ind w:right="40" w:firstLine="648"/>
        <w:spacing w:after="0" w:line="262" w:lineRule="auto"/>
        <w:rPr>
          <w:sz w:val="20"/>
          <w:szCs w:val="20"/>
          <w:color w:val="auto"/>
        </w:rPr>
      </w:pPr>
      <w:r>
        <w:rPr>
          <w:rFonts w:ascii="Arial" w:cs="Arial" w:eastAsia="Arial" w:hAnsi="Arial"/>
          <w:sz w:val="18"/>
          <w:szCs w:val="18"/>
          <w:color w:val="auto"/>
        </w:rPr>
        <w:t>Our primary cash requirements for operating activities, which we project will increase for the remainder of 2026, as compared to the corresponding period in 2025, are employee-related expenditures; payments related to our collaboration and development programs; income tax payments; royalty payments on our net product sales; cash payments for inventory; rent payments for our leased facilities; and contract manufacturing payments.</w:t>
      </w:r>
    </w:p>
    <w:p>
      <w:pPr>
        <w:spacing w:after="0" w:line="122"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Our primary sources of operating cash are: cash collections from customers related to net product revenues, which we project may increase for the remainder of 2026, as compared to the corresponding period in 2025; cash collections related to milestones achieved and royalties earned from our commercial collaboration arrangements with Ipsen, Takeda and others; and cash collections for cost reimbursements under certain of our development programs with Ipsen and Takeda which we project may decrease for the remainder of 2026, as compared to the corresponding period in 2025. The timing of cash generated from commercial collaborations and cash payments required for in-licensing collaborations</w:t>
      </w:r>
    </w:p>
    <w:p>
      <w:pPr>
        <w:sectPr>
          <w:pgSz w:w="11900" w:h="16838" w:orient="portrait"/>
          <w:cols w:equalWidth="0" w:num="1">
            <w:col w:w="11240"/>
          </w:cols>
          <w:pgMar w:left="320" w:top="2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800"/>
        <w:spacing w:after="0" w:line="287" w:lineRule="auto"/>
        <w:rPr>
          <w:sz w:val="20"/>
          <w:szCs w:val="20"/>
          <w:color w:val="auto"/>
        </w:rPr>
      </w:pPr>
      <w:r>
        <w:rPr>
          <w:rFonts w:ascii="Arial" w:cs="Arial" w:eastAsia="Arial" w:hAnsi="Arial"/>
          <w:sz w:val="18"/>
          <w:szCs w:val="18"/>
          <w:color w:val="auto"/>
        </w:rPr>
        <w:t>relative to upfront license fee payments, cost reimbursements, exercise of option payments and other contingent payments such as development milestone payments may vary from period to period.</w:t>
      </w:r>
    </w:p>
    <w:p>
      <w:pPr>
        <w:spacing w:after="0" w:line="99" w:lineRule="exact"/>
        <w:rPr>
          <w:sz w:val="20"/>
          <w:szCs w:val="20"/>
          <w:color w:val="auto"/>
        </w:rPr>
      </w:pPr>
    </w:p>
    <w:p>
      <w:pPr>
        <w:ind w:right="40" w:firstLine="648"/>
        <w:spacing w:after="0" w:line="262" w:lineRule="auto"/>
        <w:rPr>
          <w:sz w:val="20"/>
          <w:szCs w:val="20"/>
          <w:color w:val="auto"/>
        </w:rPr>
      </w:pPr>
      <w:r>
        <w:rPr>
          <w:rFonts w:ascii="Arial" w:cs="Arial" w:eastAsia="Arial" w:hAnsi="Arial"/>
          <w:sz w:val="18"/>
          <w:szCs w:val="18"/>
          <w:color w:val="auto"/>
        </w:rPr>
        <w:t>We project that we may continue to spend significant amounts of cash to fund the development of product candidates in our pipeline, including zanzalintinib, XB010, XB628 and XB371, and the development and commercialization of cabozantinib. In addition, we may continue to expand our oncology product pipeline through additional research collaborations, in-licensing arrangements and other strategic transactions that align with our oncology drug development, regulatory and commercial expertise.</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October 2025, our Board of Directors authorized a SRP to acquire up to $750.0 million of our common stock before December 31,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2026. Under this SRP, as of March 31, 2026, we repurchased 13.7 million shares of common stock for an aggregate purchase price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$590.6 million. As of March 31, 2026, approximately $159.4 million remained available for future stock repurchases before December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2026. Exelixis expects to complete the remainder of the October 2025 SRP in May 2026. In May 2026, our Board of Directors authorized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repurchase of up to an additional $750.0 million of our outstanding common stock by December 31, 2027. Stock repurchases under these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SRPs may be made from time to time through a variety of methods, which may include open market purchases, in block trades, Rule 10b5-1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trading plans, accelerated share repurchase transactions, exchange transactions, or any combination of such methods. The timing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amount of any stock repurchases under the SRPs will be based on a variety of factors, including ongoing assessments of the capital needs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the business, alternative investment opportunities, the market price of our common stock and general market conditions. The SRPs do not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obligate us to acquire any amount of our common stock, and the SRPs may be modified, suspended or discontinued at any time without prior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notice.</w:t>
      </w:r>
    </w:p>
    <w:p>
      <w:pPr>
        <w:spacing w:after="0" w:line="153"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Financing these activities could materially impact our liquidity and capital resources and may require us to incur debt or raise additional funds through the issuance of equity. Furthermore, even though we believe we have sufficient funds for our current and future operating plans, we may choose to incur debt or raise additional funds through the issuance of equity based on market conditions or strategic considerations.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Sources and Uses of Cash (dollars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ind w:right="95"/>
              <w:spacing w:after="0"/>
              <w:rPr>
                <w:sz w:val="20"/>
                <w:szCs w:val="20"/>
                <w:color w:val="auto"/>
              </w:rPr>
            </w:pPr>
            <w:r>
              <w:rPr>
                <w:rFonts w:ascii="Arial" w:cs="Arial" w:eastAsia="Arial" w:hAnsi="Arial"/>
                <w:sz w:val="16"/>
                <w:szCs w:val="16"/>
                <w:b w:val="1"/>
                <w:bCs w:val="1"/>
                <w:color w:val="auto"/>
              </w:rPr>
              <w:t>Percent</w:t>
            </w:r>
          </w:p>
        </w:tc>
      </w:tr>
      <w:tr>
        <w:trPr>
          <w:trHeight w:val="240"/>
        </w:trPr>
        <w:tc>
          <w:tcPr>
            <w:tcW w:w="6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gridSpan w:val="2"/>
          </w:tcPr>
          <w:p>
            <w:pPr>
              <w:ind w:left="100"/>
              <w:spacing w:after="0"/>
              <w:rPr>
                <w:sz w:val="20"/>
                <w:szCs w:val="20"/>
                <w:color w:val="auto"/>
              </w:rPr>
            </w:pPr>
            <w:r>
              <w:rPr>
                <w:rFonts w:ascii="Arial" w:cs="Arial" w:eastAsia="Arial" w:hAnsi="Arial"/>
                <w:sz w:val="16"/>
                <w:szCs w:val="16"/>
                <w:b w:val="1"/>
                <w:bCs w:val="1"/>
                <w:color w:val="auto"/>
              </w:rPr>
              <w:t>March 31, 2026</w:t>
            </w:r>
          </w:p>
        </w:tc>
        <w:tc>
          <w:tcPr>
            <w:tcW w:w="140" w:type="dxa"/>
            <w:vAlign w:val="bottom"/>
          </w:tcPr>
          <w:p>
            <w:pPr>
              <w:spacing w:after="0"/>
              <w:rPr>
                <w:sz w:val="20"/>
                <w:szCs w:val="20"/>
                <w:color w:val="auto"/>
              </w:rPr>
            </w:pPr>
          </w:p>
        </w:tc>
        <w:tc>
          <w:tcPr>
            <w:tcW w:w="174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 2025</w:t>
            </w:r>
          </w:p>
        </w:tc>
        <w:tc>
          <w:tcPr>
            <w:tcW w:w="960" w:type="dxa"/>
            <w:vAlign w:val="bottom"/>
          </w:tcPr>
          <w:p>
            <w:pPr>
              <w:jc w:val="right"/>
              <w:ind w:right="95"/>
              <w:spacing w:after="0"/>
              <w:rPr>
                <w:sz w:val="20"/>
                <w:szCs w:val="20"/>
                <w:color w:val="auto"/>
              </w:rPr>
            </w:pPr>
            <w:r>
              <w:rPr>
                <w:rFonts w:ascii="Arial" w:cs="Arial" w:eastAsia="Arial" w:hAnsi="Arial"/>
                <w:sz w:val="16"/>
                <w:szCs w:val="16"/>
                <w:b w:val="1"/>
                <w:bCs w:val="1"/>
                <w:color w:val="auto"/>
              </w:rPr>
              <w:t>Change</w:t>
            </w:r>
          </w:p>
        </w:tc>
      </w:tr>
      <w:tr>
        <w:trPr>
          <w:trHeight w:val="247"/>
        </w:trPr>
        <w:tc>
          <w:tcPr>
            <w:tcW w:w="6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Working capital</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837,662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1,037,645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7"/>
        </w:trPr>
        <w:tc>
          <w:tcPr>
            <w:tcW w:w="6520" w:type="dxa"/>
            <w:vAlign w:val="bottom"/>
          </w:tcPr>
          <w:p>
            <w:pPr>
              <w:ind w:left="20"/>
              <w:spacing w:after="0"/>
              <w:rPr>
                <w:sz w:val="20"/>
                <w:szCs w:val="20"/>
                <w:color w:val="auto"/>
              </w:rPr>
            </w:pPr>
            <w:r>
              <w:rPr>
                <w:rFonts w:ascii="Arial" w:cs="Arial" w:eastAsia="Arial" w:hAnsi="Arial"/>
                <w:sz w:val="18"/>
                <w:szCs w:val="18"/>
                <w:color w:val="auto"/>
              </w:rPr>
              <w:t>Cash, cash equivalents and marketable securities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1,426,351</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1,662,694</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r>
    </w:tbl>
    <w:p>
      <w:pPr>
        <w:spacing w:after="0" w:line="261" w:lineRule="exact"/>
        <w:rPr>
          <w:sz w:val="20"/>
          <w:szCs w:val="20"/>
          <w:color w:val="auto"/>
        </w:rPr>
      </w:pPr>
    </w:p>
    <w:p>
      <w:pPr>
        <w:ind w:right="280" w:firstLine="648"/>
        <w:spacing w:after="0" w:line="262" w:lineRule="auto"/>
        <w:rPr>
          <w:sz w:val="20"/>
          <w:szCs w:val="20"/>
          <w:color w:val="auto"/>
        </w:rPr>
      </w:pPr>
      <w:r>
        <w:rPr>
          <w:rFonts w:ascii="Arial" w:cs="Arial" w:eastAsia="Arial" w:hAnsi="Arial"/>
          <w:sz w:val="18"/>
          <w:szCs w:val="18"/>
          <w:i w:val="1"/>
          <w:iCs w:val="1"/>
          <w:color w:val="auto"/>
        </w:rPr>
        <w:t xml:space="preserve">Working Capital: </w:t>
      </w:r>
      <w:r>
        <w:rPr>
          <w:rFonts w:ascii="Arial" w:cs="Arial" w:eastAsia="Arial" w:hAnsi="Arial"/>
          <w:sz w:val="18"/>
          <w:szCs w:val="18"/>
          <w:color w:val="auto"/>
        </w:rPr>
        <w:t>The decrease in working capital as of March 31, 2026, as compared to December 31, 2025, was primarily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the payments for repurchases of our common stock, partially offset by the favorable impact to our net current assets resulting from an increase in net product revenues. In the future, our working capital may be impacted by one of these factors or other factors, the amounts and timing of which are variable.</w:t>
      </w:r>
    </w:p>
    <w:p>
      <w:pPr>
        <w:spacing w:after="0" w:line="122"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i w:val="1"/>
          <w:iCs w:val="1"/>
          <w:color w:val="auto"/>
        </w:rPr>
        <w:t xml:space="preserve">Cash, Cash Equivalents and Marketable Securities: </w:t>
      </w:r>
      <w:r>
        <w:rPr>
          <w:rFonts w:ascii="Arial" w:cs="Arial" w:eastAsia="Arial" w:hAnsi="Arial"/>
          <w:sz w:val="18"/>
          <w:szCs w:val="18"/>
          <w:color w:val="auto"/>
        </w:rPr>
        <w:t>Cash and cash equivalents primarily consist of deposits at major banks, money</w:t>
      </w:r>
      <w:r>
        <w:rPr>
          <w:rFonts w:ascii="Arial" w:cs="Arial" w:eastAsia="Arial" w:hAnsi="Arial"/>
          <w:sz w:val="18"/>
          <w:szCs w:val="18"/>
          <w:i w:val="1"/>
          <w:iCs w:val="1"/>
          <w:color w:val="auto"/>
        </w:rPr>
        <w:t xml:space="preserve"> </w:t>
      </w:r>
      <w:r>
        <w:rPr>
          <w:rFonts w:ascii="Arial" w:cs="Arial" w:eastAsia="Arial" w:hAnsi="Arial"/>
          <w:sz w:val="18"/>
          <w:szCs w:val="18"/>
          <w:color w:val="auto"/>
        </w:rPr>
        <w:t>market funds, commercial paper and other securities with original maturities 90 days or less. Marketable securities primarily consist of debt securities available-for-sale and certificates of deposit. For additional information regarding our cash, cash equivalents and marketable securities, see “Note 5. Cash and Marketable Securities” of the “Notes to Condensed Consolidated Financial Statements” included in Part I, Item 1 of this Quarterly Report on Form 10-Q. The decrease in cash, cash equivalents and marketable securities as of March 31, 2026, as compared to December 31, 2025, was primarily due to cash payments to repurchase our common stock, payments to support our development and discovery programs and cash payments for employee-related expenditures, partially offset by cash inflows generated by our operations from sales of our products and our commercial collaboration arrangements.</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flow activities were as follows (dollars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4"/>
          </w:tcPr>
          <w:p>
            <w:pPr>
              <w:jc w:val="right"/>
              <w:ind w:right="532"/>
              <w:spacing w:after="0"/>
              <w:rPr>
                <w:sz w:val="20"/>
                <w:szCs w:val="20"/>
                <w:color w:val="auto"/>
              </w:rPr>
            </w:pPr>
            <w:r>
              <w:rPr>
                <w:rFonts w:ascii="Arial" w:cs="Arial" w:eastAsia="Arial" w:hAnsi="Arial"/>
                <w:sz w:val="16"/>
                <w:szCs w:val="16"/>
                <w:b w:val="1"/>
                <w:bCs w:val="1"/>
                <w:color w:val="auto"/>
              </w:rPr>
              <w:t>Three Months Ended March 31,</w:t>
            </w:r>
          </w:p>
        </w:tc>
        <w:tc>
          <w:tcPr>
            <w:tcW w:w="100" w:type="dxa"/>
            <w:vAlign w:val="bottom"/>
          </w:tcPr>
          <w:p>
            <w:pPr>
              <w:spacing w:after="0"/>
              <w:rPr>
                <w:sz w:val="20"/>
                <w:szCs w:val="20"/>
                <w:color w:val="auto"/>
              </w:rPr>
            </w:pPr>
          </w:p>
        </w:tc>
        <w:tc>
          <w:tcPr>
            <w:tcW w:w="960" w:type="dxa"/>
            <w:vAlign w:val="bottom"/>
          </w:tcPr>
          <w:p>
            <w:pPr>
              <w:jc w:val="right"/>
              <w:ind w:right="96"/>
              <w:spacing w:after="0"/>
              <w:rPr>
                <w:sz w:val="20"/>
                <w:szCs w:val="20"/>
                <w:color w:val="auto"/>
              </w:rPr>
            </w:pPr>
            <w:r>
              <w:rPr>
                <w:rFonts w:ascii="Arial" w:cs="Arial" w:eastAsia="Arial" w:hAnsi="Arial"/>
                <w:sz w:val="16"/>
                <w:szCs w:val="16"/>
                <w:b w:val="1"/>
                <w:bCs w:val="1"/>
                <w:color w:val="auto"/>
              </w:rPr>
              <w:t>Percent</w:t>
            </w:r>
          </w:p>
        </w:tc>
      </w:tr>
      <w:tr>
        <w:trPr>
          <w:trHeight w:val="233"/>
        </w:trPr>
        <w:tc>
          <w:tcPr>
            <w:tcW w:w="65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34"/>
              <w:spacing w:after="0"/>
              <w:rPr>
                <w:sz w:val="20"/>
                <w:szCs w:val="20"/>
                <w:color w:val="auto"/>
              </w:rPr>
            </w:pPr>
            <w:r>
              <w:rPr>
                <w:rFonts w:ascii="Arial" w:cs="Arial" w:eastAsia="Arial" w:hAnsi="Arial"/>
                <w:sz w:val="16"/>
                <w:szCs w:val="16"/>
                <w:b w:val="1"/>
                <w:bCs w:val="1"/>
                <w:color w:val="auto"/>
              </w:rPr>
              <w:t>2026</w:t>
            </w:r>
          </w:p>
        </w:tc>
        <w:tc>
          <w:tcPr>
            <w:tcW w:w="8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12"/>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ind w:right="96"/>
              <w:spacing w:after="0"/>
              <w:rPr>
                <w:sz w:val="20"/>
                <w:szCs w:val="20"/>
                <w:color w:val="auto"/>
              </w:rPr>
            </w:pPr>
            <w:r>
              <w:rPr>
                <w:rFonts w:ascii="Arial" w:cs="Arial" w:eastAsia="Arial" w:hAnsi="Arial"/>
                <w:sz w:val="16"/>
                <w:szCs w:val="16"/>
                <w:b w:val="1"/>
                <w:bCs w:val="1"/>
                <w:color w:val="auto"/>
              </w:rPr>
              <w:t>Change</w:t>
            </w:r>
          </w:p>
        </w:tc>
      </w:tr>
      <w:tr>
        <w:trPr>
          <w:trHeight w:val="247"/>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251,845</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211,437</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7"/>
        </w:trPr>
        <w:tc>
          <w:tcPr>
            <w:tcW w:w="652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(51,070)</w:t>
            </w:r>
          </w:p>
        </w:tc>
        <w:tc>
          <w:tcPr>
            <w:tcW w:w="8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49,764</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3"/>
        </w:trPr>
        <w:tc>
          <w:tcPr>
            <w:tcW w:w="6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7"/>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(457,111)</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(294,823)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3"/>
        </w:trPr>
        <w:tc>
          <w:tcPr>
            <w:tcW w:w="65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2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Operating Activities</w:t>
      </w:r>
    </w:p>
    <w:p>
      <w:pPr>
        <w:spacing w:after="0" w:line="169" w:lineRule="exact"/>
        <w:rPr>
          <w:sz w:val="20"/>
          <w:szCs w:val="20"/>
          <w:color w:val="auto"/>
        </w:rPr>
      </w:pPr>
    </w:p>
    <w:p>
      <w:pPr>
        <w:jc w:val="both"/>
        <w:ind w:right="200" w:firstLine="648"/>
        <w:spacing w:after="0" w:line="282" w:lineRule="auto"/>
        <w:rPr>
          <w:sz w:val="20"/>
          <w:szCs w:val="20"/>
          <w:color w:val="auto"/>
        </w:rPr>
      </w:pPr>
      <w:r>
        <w:rPr>
          <w:rFonts w:ascii="Arial" w:cs="Arial" w:eastAsia="Arial" w:hAnsi="Arial"/>
          <w:sz w:val="17"/>
          <w:szCs w:val="17"/>
          <w:color w:val="auto"/>
        </w:rPr>
        <w:t>Cash provided by operating activities is derived by adjusting our net income for non-cash operating items such as deferred taxes, stock-based compensation, depreciation and amortization, non-cash lease expense, impairment of long-lived assets, acquired in-process research and development technology, and changes in operating assets and liabilities, which reflect timing differences between the receipt and payment of cash associated with transactions and when they are recognized in our Condensed Consolidated Statements of Income.</w:t>
      </w:r>
    </w:p>
    <w:p>
      <w:pPr>
        <w:spacing w:after="0" w:line="107" w:lineRule="exact"/>
        <w:rPr>
          <w:sz w:val="20"/>
          <w:szCs w:val="20"/>
          <w:color w:val="auto"/>
        </w:rPr>
      </w:pPr>
    </w:p>
    <w:p>
      <w:pPr>
        <w:ind w:right="140" w:firstLine="648"/>
        <w:spacing w:after="0" w:line="268" w:lineRule="auto"/>
        <w:rPr>
          <w:sz w:val="20"/>
          <w:szCs w:val="20"/>
          <w:color w:val="auto"/>
        </w:rPr>
      </w:pPr>
      <w:r>
        <w:rPr>
          <w:rFonts w:ascii="Arial" w:cs="Arial" w:eastAsia="Arial" w:hAnsi="Arial"/>
          <w:sz w:val="18"/>
          <w:szCs w:val="18"/>
          <w:color w:val="auto"/>
        </w:rPr>
        <w:t>Net cash provided by operating activities increased for the three months ended March 31, 2026, as compared to the corresponding prior year period, primarily due to an increase in cash received on sales of our products and a decrease in cash paid for certain operating expenses.</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Investing Activities</w:t>
      </w:r>
    </w:p>
    <w:p>
      <w:pPr>
        <w:spacing w:after="0" w:line="169" w:lineRule="exact"/>
        <w:rPr>
          <w:sz w:val="20"/>
          <w:szCs w:val="20"/>
          <w:color w:val="auto"/>
        </w:rPr>
      </w:pPr>
    </w:p>
    <w:p>
      <w:pPr>
        <w:jc w:val="both"/>
        <w:ind w:right="580" w:firstLine="648"/>
        <w:spacing w:after="0" w:line="268" w:lineRule="auto"/>
        <w:rPr>
          <w:sz w:val="20"/>
          <w:szCs w:val="20"/>
          <w:color w:val="auto"/>
        </w:rPr>
      </w:pPr>
      <w:r>
        <w:rPr>
          <w:rFonts w:ascii="Arial" w:cs="Arial" w:eastAsia="Arial" w:hAnsi="Arial"/>
          <w:sz w:val="18"/>
          <w:szCs w:val="18"/>
          <w:color w:val="auto"/>
        </w:rPr>
        <w:t>The changes in cash flows from investing activities primarily relates to the timing of marketable securities investment activity, acquisition of in-process research and development technology and capital expenditures. Our capital expenditures primarily consist of investments to expand our operations and acquire assets that further support our research and development activities.</w:t>
      </w:r>
    </w:p>
    <w:p>
      <w:pPr>
        <w:spacing w:after="0" w:line="11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Net cash was used in investing activities for the three months ended March 31, 2026, as compared to net cash provided by investing activities for the corresponding prior year period. The increase in cash used in investing activities was primarily due to an increase in purchases of marketable securities and a decrease in cash proceeds from maturities and sales of marketable securities, partially offset by a decrease in cash paid for acquired in-process research and development technology related to certain in-licensing collaboration arrangements and purchases of property and equipment.</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Financing Activities</w:t>
      </w:r>
    </w:p>
    <w:p>
      <w:pPr>
        <w:spacing w:after="0" w:line="169" w:lineRule="exact"/>
        <w:rPr>
          <w:sz w:val="20"/>
          <w:szCs w:val="20"/>
          <w:color w:val="auto"/>
        </w:rPr>
      </w:pPr>
    </w:p>
    <w:p>
      <w:pPr>
        <w:ind w:right="280" w:firstLine="648"/>
        <w:spacing w:after="0" w:line="287" w:lineRule="auto"/>
        <w:rPr>
          <w:sz w:val="20"/>
          <w:szCs w:val="20"/>
          <w:color w:val="auto"/>
        </w:rPr>
      </w:pPr>
      <w:r>
        <w:rPr>
          <w:rFonts w:ascii="Arial" w:cs="Arial" w:eastAsia="Arial" w:hAnsi="Arial"/>
          <w:sz w:val="18"/>
          <w:szCs w:val="18"/>
          <w:color w:val="auto"/>
        </w:rPr>
        <w:t>The changes in cash flows from financing activities primarily relate to payments for repurchases of common stock, proceeds from employee stock programs and taxes paid related to net share settlement of equity awards.</w:t>
      </w:r>
    </w:p>
    <w:p>
      <w:pPr>
        <w:spacing w:after="0" w:line="99" w:lineRule="exact"/>
        <w:rPr>
          <w:sz w:val="20"/>
          <w:szCs w:val="20"/>
          <w:color w:val="auto"/>
        </w:rPr>
      </w:pPr>
    </w:p>
    <w:p>
      <w:pPr>
        <w:ind w:right="120" w:firstLine="648"/>
        <w:spacing w:after="0" w:line="287" w:lineRule="auto"/>
        <w:rPr>
          <w:sz w:val="20"/>
          <w:szCs w:val="20"/>
          <w:color w:val="auto"/>
        </w:rPr>
      </w:pPr>
      <w:r>
        <w:rPr>
          <w:rFonts w:ascii="Arial" w:cs="Arial" w:eastAsia="Arial" w:hAnsi="Arial"/>
          <w:sz w:val="18"/>
          <w:szCs w:val="18"/>
          <w:color w:val="auto"/>
        </w:rPr>
        <w:t>Net cash used in financing activities increased for the three months ended March 31, 2026, as compared to the corresponding prior year period, primarily due to an increase in payments for repurchases of common stock.</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71" w:lineRule="exact"/>
        <w:rPr>
          <w:sz w:val="20"/>
          <w:szCs w:val="20"/>
          <w:color w:val="auto"/>
        </w:rPr>
      </w:pPr>
    </w:p>
    <w:p>
      <w:pPr>
        <w:ind w:right="20" w:firstLine="648"/>
        <w:spacing w:after="0" w:line="262" w:lineRule="auto"/>
        <w:rPr>
          <w:sz w:val="20"/>
          <w:szCs w:val="20"/>
          <w:color w:val="auto"/>
        </w:rPr>
      </w:pPr>
      <w:r>
        <w:rPr>
          <w:rFonts w:ascii="Arial" w:cs="Arial" w:eastAsia="Arial" w:hAnsi="Arial"/>
          <w:sz w:val="18"/>
          <w:szCs w:val="18"/>
          <w:color w:val="auto"/>
        </w:rPr>
        <w:t>There were no material changes outside of the ordinary course of business in our contractual obligations as of March 31, 2026 from those disclosed in our Fiscal 2025 Form 10-K. For more information about our leases and our other contractual obligations, see “Note 12. Commitments and Contingencies” of the “Notes to Consolidated Financial Statements” included in Part II, Item 8 of our Fiscal 2025 Form 10-K.</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1"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The preparation of our Condensed Consolidated Financial Statements conforms to accounting principles generally accepted in the U.S. which requires management to make judgments, estimates and assumptions that affect the reported amounts of assets, liabilities, equity, revenues and expenses and related disclosures. An accounting policy is considered to be critical if it requires an accounting estimate to be made based on assumptions about matters that are highly uncertain at the time the estimate is made, and if different estimates that reasonably could have been used, or changes in the accounting estimates that are reasonably likely to occur periodically, could materially impact our Condensed Consolidated Financial Statements. On an ongoing basis, management evaluates its estimates, including, but not limited to: those related to revenue recognition, including determining the nature and timing of satisfaction of performance obligations, and determining the standalone selling price of performance obligations, and variable consideration such as rebates, chargebacks, sales returns and sales allowances as well as milestones included in collaboration arrangements; the accrual for certain liabilities, including accrued clinical trial liabilities; and valuations of equity awards used to determine stock-based compensation, including certain awards with vesting subject to market or performance conditions; and the amounts of deferred tax assets and liabilities, including the related valuation allowance. We base our estimates on historical experience and on various other market-specific and other relevant assumptions that we believe to be reasonable under the circumstances, the results of which form the basis for making judgments about the carrying values of assets and liabilities that are not readily apparent from other sources. Our senior management has discussed the development, selection and disclosure of these estimates with the Audit Committee of our Board of Directors. Actual results could differ materially from those estimates.</w:t>
      </w:r>
    </w:p>
    <w:p>
      <w:pPr>
        <w:sectPr>
          <w:pgSz w:w="11900" w:h="16838" w:orient="portrait"/>
          <w:cols w:equalWidth="0" w:num="1">
            <w:col w:w="11200"/>
          </w:cols>
          <w:pgMar w:left="320" w:top="292"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92" w:right="37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560" w:firstLine="648"/>
        <w:spacing w:after="0" w:line="268" w:lineRule="auto"/>
        <w:rPr>
          <w:sz w:val="20"/>
          <w:szCs w:val="20"/>
          <w:color w:val="auto"/>
        </w:rPr>
      </w:pPr>
      <w:r>
        <w:rPr>
          <w:rFonts w:ascii="Arial" w:cs="Arial" w:eastAsia="Arial" w:hAnsi="Arial"/>
          <w:sz w:val="18"/>
          <w:szCs w:val="18"/>
          <w:color w:val="auto"/>
        </w:rPr>
        <w:t>We believe our critical accounting policies relating to revenue recognition, clinical trial and collaboration accruals, stock-based compensation and income taxes reflect the more significant estimates and assumptions used in the preparation of our Condensed Consolidated Financial Statements.</w:t>
      </w:r>
    </w:p>
    <w:p>
      <w:pPr>
        <w:spacing w:after="0" w:line="117" w:lineRule="exact"/>
        <w:rPr>
          <w:sz w:val="20"/>
          <w:szCs w:val="20"/>
          <w:color w:val="auto"/>
        </w:rPr>
      </w:pPr>
    </w:p>
    <w:p>
      <w:pPr>
        <w:ind w:right="200" w:firstLine="648"/>
        <w:spacing w:after="0" w:line="268" w:lineRule="auto"/>
        <w:rPr>
          <w:sz w:val="20"/>
          <w:szCs w:val="20"/>
          <w:color w:val="auto"/>
        </w:rPr>
      </w:pPr>
      <w:r>
        <w:rPr>
          <w:rFonts w:ascii="Arial" w:cs="Arial" w:eastAsia="Arial" w:hAnsi="Arial"/>
          <w:sz w:val="18"/>
          <w:szCs w:val="18"/>
          <w:color w:val="auto"/>
        </w:rPr>
        <w:t>There have been no significant changes in our critical accounting policies and estimates during the three months ended March 31, 2026, as compared to the critical accounting policies and estimates disclosed in “Management’s Discussion and Analysis of Financial Condition and Results of Operations” included in Part II, Item 7 of our Fiscal 2025 Form 10-K.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1" w:lineRule="exact"/>
        <w:rPr>
          <w:sz w:val="20"/>
          <w:szCs w:val="20"/>
          <w:color w:val="auto"/>
        </w:rPr>
      </w:pPr>
    </w:p>
    <w:p>
      <w:pPr>
        <w:ind w:right="240" w:firstLine="648"/>
        <w:spacing w:after="0" w:line="268" w:lineRule="auto"/>
        <w:rPr>
          <w:sz w:val="20"/>
          <w:szCs w:val="20"/>
          <w:color w:val="auto"/>
        </w:rPr>
      </w:pPr>
      <w:r>
        <w:rPr>
          <w:rFonts w:ascii="Arial" w:cs="Arial" w:eastAsia="Arial" w:hAnsi="Arial"/>
          <w:sz w:val="18"/>
          <w:szCs w:val="18"/>
          <w:color w:val="auto"/>
        </w:rPr>
        <w:t>For a description of the expected impact of recent accounting pronouncements, see “Note 1. Organization and Summary of Significant Accounting Policies” of the “Notes to Condensed Consolidated Financial Statements” included in Part I, Item 1 of this Quarterly Report on Form 10-Q.</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1" w:lineRule="exact"/>
        <w:rPr>
          <w:sz w:val="20"/>
          <w:szCs w:val="20"/>
          <w:color w:val="auto"/>
        </w:rPr>
      </w:pPr>
    </w:p>
    <w:p>
      <w:pPr>
        <w:ind w:right="280" w:firstLine="648"/>
        <w:spacing w:after="0" w:line="287" w:lineRule="auto"/>
        <w:rPr>
          <w:sz w:val="20"/>
          <w:szCs w:val="20"/>
          <w:color w:val="auto"/>
        </w:rPr>
      </w:pPr>
      <w:r>
        <w:rPr>
          <w:rFonts w:ascii="Arial" w:cs="Arial" w:eastAsia="Arial" w:hAnsi="Arial"/>
          <w:sz w:val="18"/>
          <w:szCs w:val="18"/>
          <w:color w:val="auto"/>
        </w:rPr>
        <w:t>Our market risks, as of March 31, 2026, have not changed significantly from those described in Part II, Item 7A of our Fiscal 2025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69" w:lineRule="exact"/>
        <w:rPr>
          <w:sz w:val="20"/>
          <w:szCs w:val="20"/>
          <w:color w:val="auto"/>
        </w:rPr>
      </w:pPr>
    </w:p>
    <w:p>
      <w:pPr>
        <w:ind w:right="40" w:firstLine="648"/>
        <w:spacing w:after="0" w:line="262" w:lineRule="auto"/>
        <w:rPr>
          <w:sz w:val="20"/>
          <w:szCs w:val="20"/>
          <w:color w:val="auto"/>
        </w:rPr>
      </w:pPr>
      <w:r>
        <w:rPr>
          <w:rFonts w:ascii="Arial" w:cs="Arial" w:eastAsia="Arial" w:hAnsi="Arial"/>
          <w:sz w:val="18"/>
          <w:szCs w:val="18"/>
          <w:color w:val="auto"/>
        </w:rPr>
        <w:t>Based on the evaluation of our disclosure controls and procedures (as defined in Rules 13a-15(e) or 15d-15(e) of the Securities Exchange Act of 1934, as amended (the Exchange Act)) required by Rules 13a-15(b) or 15d-15(b) of the Exchange Act, our Chief Executive Officer and Chief Financial Officer have concluded that as of the end of the period covered by this report, our disclosure controls and procedures were effective at the reasonable assurance level.</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Limitations on the Effectiveness of Controls</w:t>
      </w:r>
    </w:p>
    <w:p>
      <w:pPr>
        <w:spacing w:after="0" w:line="169"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A control system, no matter how well-conceived and operated, can provide only reasonable, not absolute, assurance that the objectives of the control system are met. Because of inherent limitations in all control systems, no evaluation of controls can provide absolute assurance that all control issues, if any, within an organization have been detected. Accordingly, our disclosure controls and procedures are designed to provide reasonable, not absolute, assurance that the objectives of our disclosure control system are met and, as set forth above, our principal executive officer and principal financial officer have concluded, based on their evaluation as of the end of the period covered by this report, that our disclosure controls and procedures were effective to provide reasonable assurance that the objectives of our disclosure control system were met.</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69" w:lineRule="exact"/>
        <w:rPr>
          <w:sz w:val="20"/>
          <w:szCs w:val="20"/>
          <w:color w:val="auto"/>
        </w:rPr>
      </w:pPr>
    </w:p>
    <w:p>
      <w:pPr>
        <w:ind w:right="240" w:firstLine="648"/>
        <w:spacing w:after="0" w:line="287" w:lineRule="auto"/>
        <w:rPr>
          <w:sz w:val="20"/>
          <w:szCs w:val="20"/>
          <w:color w:val="auto"/>
        </w:rPr>
      </w:pPr>
      <w:r>
        <w:rPr>
          <w:rFonts w:ascii="Arial" w:cs="Arial" w:eastAsia="Arial" w:hAnsi="Arial"/>
          <w:sz w:val="18"/>
          <w:szCs w:val="18"/>
          <w:color w:val="auto"/>
        </w:rPr>
        <w:t>There were no changes in our internal control over financial reporting that occurred during our most recent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92" w:right="379" w:bottom="1440" w:gutter="0" w:footer="0" w:header="0"/>
        </w:sectPr>
      </w:pPr>
    </w:p>
    <w:bookmarkStart w:id="36" w:name="page37"/>
    <w:bookmarkEnd w:id="3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r>
        <w:rPr>
          <w:rFonts w:ascii="Arial" w:cs="Arial" w:eastAsia="Arial" w:hAnsi="Arial"/>
          <w:sz w:val="18"/>
          <w:szCs w:val="18"/>
          <w:color w:val="auto"/>
        </w:rPr>
        <w:t>—</w:t>
      </w:r>
      <w:r>
        <w:rPr>
          <w:rFonts w:ascii="Arial" w:cs="Arial" w:eastAsia="Arial" w:hAnsi="Arial"/>
          <w:sz w:val="18"/>
          <w:szCs w:val="18"/>
          <w:b w:val="1"/>
          <w:bCs w:val="1"/>
          <w:color w:val="auto"/>
        </w:rPr>
        <w:t>OTHER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required to be set forth under this Item 1 is incorporated by reference to “Note 11. Commitments and Contingencies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Legal Proceedings” of the Notes to Condensed Consolidated Financial Statements” in Part I, Item 1 of this Quarterly Report on Form 10-Q.</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3"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i w:val="1"/>
          <w:iCs w:val="1"/>
          <w:color w:val="auto"/>
        </w:rPr>
        <w:t>In addition to the information discussed elsewhere in this Quarterly Report on Form 10-Q, you should carefully review and consider the risk factors disclosed in Part I, Item 1A of our Fiscal 2025 Form 10-K. These risks could materially and adversely affect our business, financial condition and results of operations. The risks and uncertainties described therein are not the only ones we face. Additional risks and uncertainties not currently known to us or that we deem immaterial also may impair our business operations. As of the date of this Quarterly Report on Form 10-Q, there have been no material changes to the risk factors described in our Fiscal 2025 Form 10-K.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October 2025, our Board of Directors authorized a stock repurchase program (SRP) to acquire up to $750.0 million of our outstanding common stock before December 31, 2026. Under this SRP, as of March 31, 2026, we repurchased 13.7 million shares of common stock for an aggregate purchase price of $590.6 million. As of March 31, 2026, approximately $159.4 million remained available under the SRP for future stock repurchases before December 31, 2026. In May 2026, our Board of Directors authorized the repurchase of up to an additional $750.0 million of our outstanding common stock by December 31, 2027.</w:t>
      </w:r>
    </w:p>
    <w:p>
      <w:pPr>
        <w:spacing w:after="0" w:line="206" w:lineRule="exact"/>
        <w:rPr>
          <w:sz w:val="20"/>
          <w:szCs w:val="20"/>
          <w:color w:val="auto"/>
        </w:rPr>
      </w:pPr>
    </w:p>
    <w:p>
      <w:pPr>
        <w:ind w:right="60" w:firstLine="648"/>
        <w:spacing w:after="0" w:line="287" w:lineRule="auto"/>
        <w:rPr>
          <w:sz w:val="20"/>
          <w:szCs w:val="20"/>
          <w:color w:val="auto"/>
        </w:rPr>
      </w:pPr>
      <w:r>
        <w:rPr>
          <w:rFonts w:ascii="Arial" w:cs="Arial" w:eastAsia="Arial" w:hAnsi="Arial"/>
          <w:sz w:val="18"/>
          <w:szCs w:val="18"/>
          <w:color w:val="auto"/>
        </w:rPr>
        <w:t>The following table summarizes the stock repurchase activity for the three months ended March 31, 2026 and the approximate dollar value of shares that may yet be purchased pursuant to our SRP (in thousands, except per share data):</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80" w:type="dxa"/>
            <w:vAlign w:val="bottom"/>
          </w:tcPr>
          <w:p>
            <w:pPr>
              <w:jc w:val="center"/>
              <w:spacing w:after="0"/>
              <w:rPr>
                <w:sz w:val="20"/>
                <w:szCs w:val="20"/>
                <w:color w:val="auto"/>
              </w:rPr>
            </w:pPr>
            <w:r>
              <w:rPr>
                <w:rFonts w:ascii="Arial" w:cs="Arial" w:eastAsia="Arial" w:hAnsi="Arial"/>
                <w:sz w:val="16"/>
                <w:szCs w:val="16"/>
                <w:b w:val="1"/>
                <w:bCs w:val="1"/>
                <w:color w:val="auto"/>
              </w:rPr>
              <w:t>Total Number of</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Pr>
          <w:p>
            <w:pPr>
              <w:jc w:val="center"/>
              <w:ind w:right="54"/>
              <w:spacing w:after="0"/>
              <w:rPr>
                <w:sz w:val="20"/>
                <w:szCs w:val="20"/>
                <w:color w:val="auto"/>
              </w:rPr>
            </w:pPr>
            <w:r>
              <w:rPr>
                <w:rFonts w:ascii="Arial" w:cs="Arial" w:eastAsia="Arial" w:hAnsi="Arial"/>
                <w:sz w:val="16"/>
                <w:szCs w:val="16"/>
                <w:b w:val="1"/>
                <w:bCs w:val="1"/>
                <w:color w:val="auto"/>
              </w:rPr>
              <w:t>Approximate Dollar</w:t>
            </w:r>
          </w:p>
        </w:tc>
      </w:tr>
      <w:tr>
        <w:trPr>
          <w:trHeight w:val="203"/>
        </w:trPr>
        <w:tc>
          <w:tcPr>
            <w:tcW w:w="38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Arial" w:cs="Arial" w:eastAsia="Arial" w:hAnsi="Arial"/>
                <w:sz w:val="16"/>
                <w:szCs w:val="16"/>
                <w:b w:val="1"/>
                <w:bCs w:val="1"/>
                <w:color w:val="auto"/>
              </w:rPr>
              <w:t>Shares Purchased as</w:t>
            </w:r>
          </w:p>
        </w:tc>
        <w:tc>
          <w:tcPr>
            <w:tcW w:w="100" w:type="dxa"/>
            <w:vAlign w:val="bottom"/>
          </w:tcPr>
          <w:p>
            <w:pPr>
              <w:spacing w:after="0"/>
              <w:rPr>
                <w:sz w:val="17"/>
                <w:szCs w:val="17"/>
                <w:color w:val="auto"/>
              </w:rPr>
            </w:pPr>
          </w:p>
        </w:tc>
        <w:tc>
          <w:tcPr>
            <w:tcW w:w="1800" w:type="dxa"/>
            <w:vAlign w:val="bottom"/>
            <w:gridSpan w:val="2"/>
          </w:tcPr>
          <w:p>
            <w:pPr>
              <w:jc w:val="center"/>
              <w:spacing w:after="0"/>
              <w:rPr>
                <w:sz w:val="20"/>
                <w:szCs w:val="20"/>
                <w:color w:val="auto"/>
              </w:rPr>
            </w:pPr>
            <w:r>
              <w:rPr>
                <w:rFonts w:ascii="Arial" w:cs="Arial" w:eastAsia="Arial" w:hAnsi="Arial"/>
                <w:sz w:val="16"/>
                <w:szCs w:val="16"/>
                <w:b w:val="1"/>
                <w:bCs w:val="1"/>
                <w:color w:val="auto"/>
              </w:rPr>
              <w:t>Value of Shares That</w:t>
            </w:r>
          </w:p>
        </w:tc>
      </w:tr>
      <w:tr>
        <w:trPr>
          <w:trHeight w:val="189"/>
        </w:trPr>
        <w:tc>
          <w:tcPr>
            <w:tcW w:w="3820" w:type="dxa"/>
            <w:vAlign w:val="bottom"/>
          </w:tcPr>
          <w:p>
            <w:pPr>
              <w:spacing w:after="0"/>
              <w:rPr>
                <w:sz w:val="16"/>
                <w:szCs w:val="16"/>
                <w:color w:val="auto"/>
              </w:rPr>
            </w:pPr>
          </w:p>
        </w:tc>
        <w:tc>
          <w:tcPr>
            <w:tcW w:w="1760" w:type="dxa"/>
            <w:vAlign w:val="bottom"/>
          </w:tcPr>
          <w:p>
            <w:pPr>
              <w:jc w:val="right"/>
              <w:ind w:right="173"/>
              <w:spacing w:after="0"/>
              <w:rPr>
                <w:sz w:val="20"/>
                <w:szCs w:val="20"/>
                <w:color w:val="auto"/>
              </w:rPr>
            </w:pPr>
            <w:r>
              <w:rPr>
                <w:rFonts w:ascii="Arial" w:cs="Arial" w:eastAsia="Arial" w:hAnsi="Arial"/>
                <w:sz w:val="16"/>
                <w:szCs w:val="16"/>
                <w:b w:val="1"/>
                <w:bCs w:val="1"/>
                <w:color w:val="auto"/>
              </w:rPr>
              <w:t>Total Number of</w:t>
            </w:r>
          </w:p>
        </w:tc>
        <w:tc>
          <w:tcPr>
            <w:tcW w:w="100" w:type="dxa"/>
            <w:vAlign w:val="bottom"/>
          </w:tcPr>
          <w:p>
            <w:pPr>
              <w:spacing w:after="0"/>
              <w:rPr>
                <w:sz w:val="16"/>
                <w:szCs w:val="16"/>
                <w:color w:val="auto"/>
              </w:rPr>
            </w:pPr>
          </w:p>
        </w:tc>
        <w:tc>
          <w:tcPr>
            <w:tcW w:w="1880" w:type="dxa"/>
            <w:vAlign w:val="bottom"/>
            <w:gridSpan w:val="3"/>
          </w:tcPr>
          <w:p>
            <w:pPr>
              <w:ind w:left="20"/>
              <w:spacing w:after="0"/>
              <w:rPr>
                <w:sz w:val="20"/>
                <w:szCs w:val="20"/>
                <w:color w:val="auto"/>
              </w:rPr>
            </w:pPr>
            <w:r>
              <w:rPr>
                <w:rFonts w:ascii="Arial" w:cs="Arial" w:eastAsia="Arial" w:hAnsi="Arial"/>
                <w:sz w:val="16"/>
                <w:szCs w:val="16"/>
                <w:b w:val="1"/>
                <w:bCs w:val="1"/>
                <w:color w:val="auto"/>
              </w:rPr>
              <w:t>Average Price Paid per</w:t>
            </w:r>
          </w:p>
        </w:tc>
        <w:tc>
          <w:tcPr>
            <w:tcW w:w="1780" w:type="dxa"/>
            <w:vAlign w:val="bottom"/>
          </w:tcPr>
          <w:p>
            <w:pPr>
              <w:jc w:val="center"/>
              <w:spacing w:after="0"/>
              <w:rPr>
                <w:sz w:val="20"/>
                <w:szCs w:val="20"/>
                <w:color w:val="auto"/>
              </w:rPr>
            </w:pPr>
            <w:r>
              <w:rPr>
                <w:rFonts w:ascii="Arial" w:cs="Arial" w:eastAsia="Arial" w:hAnsi="Arial"/>
                <w:sz w:val="16"/>
                <w:szCs w:val="16"/>
                <w:b w:val="1"/>
                <w:bCs w:val="1"/>
                <w:color w:val="auto"/>
              </w:rPr>
              <w:t>Part of Publicly</w:t>
            </w:r>
          </w:p>
        </w:tc>
        <w:tc>
          <w:tcPr>
            <w:tcW w:w="100" w:type="dxa"/>
            <w:vAlign w:val="bottom"/>
          </w:tcPr>
          <w:p>
            <w:pPr>
              <w:spacing w:after="0"/>
              <w:rPr>
                <w:sz w:val="16"/>
                <w:szCs w:val="16"/>
                <w:color w:val="auto"/>
              </w:rPr>
            </w:pPr>
          </w:p>
        </w:tc>
        <w:tc>
          <w:tcPr>
            <w:tcW w:w="1800" w:type="dxa"/>
            <w:vAlign w:val="bottom"/>
            <w:gridSpan w:val="2"/>
          </w:tcPr>
          <w:p>
            <w:pPr>
              <w:ind w:left="40"/>
              <w:spacing w:after="0"/>
              <w:rPr>
                <w:sz w:val="20"/>
                <w:szCs w:val="20"/>
                <w:color w:val="auto"/>
              </w:rPr>
            </w:pPr>
            <w:r>
              <w:rPr>
                <w:rFonts w:ascii="Arial" w:cs="Arial" w:eastAsia="Arial" w:hAnsi="Arial"/>
                <w:sz w:val="16"/>
                <w:szCs w:val="16"/>
                <w:b w:val="1"/>
                <w:bCs w:val="1"/>
                <w:color w:val="auto"/>
              </w:rPr>
              <w:t>May Yet Be Purchased</w:t>
            </w:r>
          </w:p>
        </w:tc>
      </w:tr>
      <w:tr>
        <w:trPr>
          <w:trHeight w:val="223"/>
        </w:trPr>
        <w:tc>
          <w:tcPr>
            <w:tcW w:w="3820" w:type="dxa"/>
            <w:vAlign w:val="bottom"/>
          </w:tcPr>
          <w:p>
            <w:pPr>
              <w:spacing w:after="0"/>
              <w:rPr>
                <w:sz w:val="19"/>
                <w:szCs w:val="19"/>
                <w:color w:val="auto"/>
              </w:rPr>
            </w:pPr>
          </w:p>
        </w:tc>
        <w:tc>
          <w:tcPr>
            <w:tcW w:w="1760" w:type="dxa"/>
            <w:vAlign w:val="bottom"/>
          </w:tcPr>
          <w:p>
            <w:pPr>
              <w:jc w:val="right"/>
              <w:ind w:right="93"/>
              <w:spacing w:after="0"/>
              <w:rPr>
                <w:sz w:val="20"/>
                <w:szCs w:val="20"/>
                <w:color w:val="auto"/>
              </w:rPr>
            </w:pPr>
            <w:r>
              <w:rPr>
                <w:rFonts w:ascii="Arial" w:cs="Arial" w:eastAsia="Arial" w:hAnsi="Arial"/>
                <w:sz w:val="16"/>
                <w:szCs w:val="16"/>
                <w:b w:val="1"/>
                <w:bCs w:val="1"/>
                <w:color w:val="auto"/>
              </w:rPr>
              <w:t>Shares Purchased</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80" w:type="dxa"/>
            <w:vAlign w:val="bottom"/>
            <w:gridSpan w:val="2"/>
          </w:tcPr>
          <w:p>
            <w:pPr>
              <w:ind w:left="280"/>
              <w:spacing w:after="0"/>
              <w:rPr>
                <w:sz w:val="20"/>
                <w:szCs w:val="20"/>
                <w:color w:val="auto"/>
              </w:rPr>
            </w:pPr>
            <w:r>
              <w:rPr>
                <w:rFonts w:ascii="Arial" w:cs="Arial" w:eastAsia="Arial" w:hAnsi="Arial"/>
                <w:sz w:val="16"/>
                <w:szCs w:val="16"/>
                <w:b w:val="1"/>
                <w:bCs w:val="1"/>
                <w:color w:val="auto"/>
              </w:rPr>
              <w:t>Share</w:t>
            </w:r>
          </w:p>
        </w:tc>
        <w:tc>
          <w:tcPr>
            <w:tcW w:w="1780" w:type="dxa"/>
            <w:vAlign w:val="bottom"/>
          </w:tcPr>
          <w:p>
            <w:pPr>
              <w:jc w:val="center"/>
              <w:spacing w:after="0"/>
              <w:rPr>
                <w:sz w:val="20"/>
                <w:szCs w:val="20"/>
                <w:color w:val="auto"/>
              </w:rPr>
            </w:pPr>
            <w:r>
              <w:rPr>
                <w:rFonts w:ascii="Arial" w:cs="Arial" w:eastAsia="Arial" w:hAnsi="Arial"/>
                <w:sz w:val="16"/>
                <w:szCs w:val="16"/>
                <w:b w:val="1"/>
                <w:bCs w:val="1"/>
                <w:color w:val="auto"/>
              </w:rPr>
              <w:t>Announced Program</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center"/>
              <w:ind w:right="54"/>
              <w:spacing w:after="0"/>
              <w:rPr>
                <w:sz w:val="20"/>
                <w:szCs w:val="20"/>
                <w:color w:val="auto"/>
              </w:rPr>
            </w:pPr>
            <w:r>
              <w:rPr>
                <w:rFonts w:ascii="Arial" w:cs="Arial" w:eastAsia="Arial" w:hAnsi="Arial"/>
                <w:sz w:val="16"/>
                <w:szCs w:val="16"/>
                <w:b w:val="1"/>
                <w:bCs w:val="1"/>
                <w:color w:val="auto"/>
              </w:rPr>
              <w:t>Under the Program</w:t>
            </w:r>
          </w:p>
        </w:tc>
      </w:tr>
      <w:tr>
        <w:trPr>
          <w:trHeight w:val="21"/>
        </w:trPr>
        <w:tc>
          <w:tcPr>
            <w:tcW w:w="382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43"/>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January 3, 2026 - January 30, 2026</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3,005</w:t>
            </w: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43.95</w:t>
            </w:r>
          </w:p>
        </w:tc>
        <w:tc>
          <w:tcPr>
            <w:tcW w:w="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3,005</w:t>
            </w:r>
          </w:p>
        </w:tc>
        <w:tc>
          <w:tcPr>
            <w:tcW w:w="2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458,165</w:t>
            </w:r>
          </w:p>
        </w:tc>
      </w:tr>
      <w:tr>
        <w:trPr>
          <w:trHeight w:val="247"/>
        </w:trPr>
        <w:tc>
          <w:tcPr>
            <w:tcW w:w="3820" w:type="dxa"/>
            <w:vAlign w:val="bottom"/>
          </w:tcPr>
          <w:p>
            <w:pPr>
              <w:ind w:left="20"/>
              <w:spacing w:after="0"/>
              <w:rPr>
                <w:sz w:val="20"/>
                <w:szCs w:val="20"/>
                <w:color w:val="auto"/>
              </w:rPr>
            </w:pPr>
            <w:r>
              <w:rPr>
                <w:rFonts w:ascii="Arial" w:cs="Arial" w:eastAsia="Arial" w:hAnsi="Arial"/>
                <w:sz w:val="18"/>
                <w:szCs w:val="18"/>
                <w:color w:val="auto"/>
              </w:rPr>
              <w:t>January 31, 2026 - February 27, 2026</w:t>
            </w:r>
          </w:p>
        </w:tc>
        <w:tc>
          <w:tcPr>
            <w:tcW w:w="1760" w:type="dxa"/>
            <w:vAlign w:val="bottom"/>
          </w:tcPr>
          <w:p>
            <w:pPr>
              <w:jc w:val="right"/>
              <w:spacing w:after="0"/>
              <w:rPr>
                <w:sz w:val="20"/>
                <w:szCs w:val="20"/>
                <w:color w:val="auto"/>
              </w:rPr>
            </w:pPr>
            <w:r>
              <w:rPr>
                <w:rFonts w:ascii="Arial" w:cs="Arial" w:eastAsia="Arial" w:hAnsi="Arial"/>
                <w:sz w:val="18"/>
                <w:szCs w:val="18"/>
                <w:color w:val="auto"/>
              </w:rPr>
              <w:t>3,022</w:t>
            </w: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43.70</w:t>
            </w:r>
          </w:p>
        </w:tc>
        <w:tc>
          <w:tcPr>
            <w:tcW w:w="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3,022</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326,119</w:t>
            </w:r>
          </w:p>
        </w:tc>
      </w:tr>
      <w:tr>
        <w:trPr>
          <w:trHeight w:val="23"/>
        </w:trPr>
        <w:tc>
          <w:tcPr>
            <w:tcW w:w="38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February 28, 2026 - April 3, 2026</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3,994</w:t>
            </w: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41.74</w:t>
            </w:r>
          </w:p>
        </w:tc>
        <w:tc>
          <w:tcPr>
            <w:tcW w:w="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3,994</w:t>
            </w:r>
          </w:p>
        </w:tc>
        <w:tc>
          <w:tcPr>
            <w:tcW w:w="2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159,398</w:t>
            </w:r>
          </w:p>
        </w:tc>
      </w:tr>
      <w:tr>
        <w:trPr>
          <w:trHeight w:val="240"/>
        </w:trPr>
        <w:tc>
          <w:tcPr>
            <w:tcW w:w="3820" w:type="dxa"/>
            <w:vAlign w:val="bottom"/>
          </w:tcPr>
          <w:p>
            <w:pPr>
              <w:ind w:left="220"/>
              <w:spacing w:after="0"/>
              <w:rPr>
                <w:sz w:val="20"/>
                <w:szCs w:val="20"/>
                <w:color w:val="auto"/>
              </w:rPr>
            </w:pPr>
            <w:r>
              <w:rPr>
                <w:rFonts w:ascii="Arial" w:cs="Arial" w:eastAsia="Arial" w:hAnsi="Arial"/>
                <w:sz w:val="18"/>
                <w:szCs w:val="18"/>
                <w:color w:val="auto"/>
              </w:rPr>
              <w:t>Total</w:t>
            </w: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10,021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3"/>
        </w:trPr>
        <w:tc>
          <w:tcPr>
            <w:tcW w:w="382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0"/>
        </w:trPr>
        <w:tc>
          <w:tcPr>
            <w:tcW w:w="38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238"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Stock repurchases under these SRPs may be made from time to time through a variety of methods, which may include open market purchases, in block trades, Rule 10b5-1 trading plans, accelerated share repurchase transactions, exchange transactions, or any combination of such methods. The timing and amount of any stock repurchases under the SRPs will be based on a variety of factors, including ongoing assessments of the capital needs of the business, alternative investment opportunities, the market price of our common stock and general market conditions. The SRPs do not obligate us to acquire any amount of our common stock, and the SRPs may be modified, suspended or discontinued at any time without prior notice.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37" w:name="page38"/>
    <w:bookmarkEnd w:id="3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1" w:lineRule="exact"/>
        <w:rPr>
          <w:sz w:val="20"/>
          <w:szCs w:val="20"/>
          <w:color w:val="auto"/>
        </w:rPr>
      </w:pPr>
    </w:p>
    <w:p>
      <w:pPr>
        <w:ind w:right="120" w:firstLine="648"/>
        <w:spacing w:after="0" w:line="318" w:lineRule="auto"/>
        <w:rPr>
          <w:sz w:val="20"/>
          <w:szCs w:val="20"/>
          <w:color w:val="auto"/>
        </w:rPr>
      </w:pPr>
      <w:r>
        <w:rPr>
          <w:rFonts w:ascii="Arial" w:cs="Arial" w:eastAsia="Arial" w:hAnsi="Arial"/>
          <w:sz w:val="17"/>
          <w:szCs w:val="17"/>
          <w:color w:val="auto"/>
        </w:rPr>
        <w:t>During the three months ended March 31, 2026, no directors or Section 16 officers of the Company adopted, modified or terminated any “Rule 10b5-1 trading arrangement” or “non-Rule 10b5-1 trading arrangement,” as each term is defined in Item 408 of Regulation S-K.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5"/>
          </w:tcPr>
          <w:p>
            <w:pPr>
              <w:ind w:left="340"/>
              <w:spacing w:after="0"/>
              <w:rPr>
                <w:sz w:val="20"/>
                <w:szCs w:val="20"/>
                <w:color w:val="auto"/>
              </w:rPr>
            </w:pPr>
            <w:r>
              <w:rPr>
                <w:rFonts w:ascii="Arial" w:cs="Arial" w:eastAsia="Arial" w:hAnsi="Arial"/>
                <w:sz w:val="16"/>
                <w:szCs w:val="16"/>
                <w:b w:val="1"/>
                <w:bCs w:val="1"/>
                <w:color w:val="auto"/>
              </w:rPr>
              <w:t>Incorporation by Reference</w:t>
            </w:r>
          </w:p>
        </w:tc>
        <w:tc>
          <w:tcPr>
            <w:tcW w:w="10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199"/>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rPr>
              <w:t>Exhibit/</w:t>
            </w: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89"/>
        </w:trPr>
        <w:tc>
          <w:tcPr>
            <w:tcW w:w="10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Exhibit</w:t>
            </w:r>
          </w:p>
        </w:tc>
        <w:tc>
          <w:tcPr>
            <w:tcW w:w="4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rPr>
              <w:t>Appendix</w:t>
            </w: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rPr>
              <w:t>Filed</w:t>
            </w:r>
          </w:p>
        </w:tc>
      </w:tr>
      <w:tr>
        <w:trPr>
          <w:trHeight w:val="240"/>
        </w:trPr>
        <w:tc>
          <w:tcPr>
            <w:tcW w:w="940" w:type="dxa"/>
            <w:vAlign w:val="bottom"/>
          </w:tcPr>
          <w:p>
            <w:pPr>
              <w:jc w:val="center"/>
              <w:spacing w:after="0"/>
              <w:rPr>
                <w:sz w:val="20"/>
                <w:szCs w:val="20"/>
                <w:color w:val="auto"/>
              </w:rPr>
            </w:pPr>
            <w:r>
              <w:rPr>
                <w:rFonts w:ascii="Arial" w:cs="Arial" w:eastAsia="Arial" w:hAnsi="Arial"/>
                <w:sz w:val="16"/>
                <w:szCs w:val="16"/>
                <w:b w:val="1"/>
                <w:bCs w:val="1"/>
                <w:color w:val="auto"/>
              </w:rPr>
              <w:t>Number</w:t>
            </w:r>
          </w:p>
        </w:tc>
        <w:tc>
          <w:tcPr>
            <w:tcW w:w="100" w:type="dxa"/>
            <w:vAlign w:val="bottom"/>
          </w:tcPr>
          <w:p>
            <w:pPr>
              <w:spacing w:after="0"/>
              <w:rPr>
                <w:sz w:val="20"/>
                <w:szCs w:val="20"/>
                <w:color w:val="auto"/>
              </w:rPr>
            </w:pPr>
          </w:p>
        </w:tc>
        <w:tc>
          <w:tcPr>
            <w:tcW w:w="4700" w:type="dxa"/>
            <w:vAlign w:val="bottom"/>
          </w:tcPr>
          <w:p>
            <w:pPr>
              <w:ind w:left="1620"/>
              <w:spacing w:after="0"/>
              <w:rPr>
                <w:sz w:val="20"/>
                <w:szCs w:val="20"/>
                <w:color w:val="auto"/>
              </w:rPr>
            </w:pPr>
            <w:r>
              <w:rPr>
                <w:rFonts w:ascii="Arial" w:cs="Arial" w:eastAsia="Arial" w:hAnsi="Arial"/>
                <w:sz w:val="16"/>
                <w:szCs w:val="16"/>
                <w:b w:val="1"/>
                <w:bCs w:val="1"/>
                <w:color w:val="auto"/>
              </w:rPr>
              <w:t>Exhibit Description</w:t>
            </w:r>
          </w:p>
        </w:tc>
        <w:tc>
          <w:tcPr>
            <w:tcW w:w="100" w:type="dxa"/>
            <w:vAlign w:val="bottom"/>
          </w:tcPr>
          <w:p>
            <w:pPr>
              <w:spacing w:after="0"/>
              <w:rPr>
                <w:sz w:val="20"/>
                <w:szCs w:val="20"/>
                <w:color w:val="auto"/>
              </w:rPr>
            </w:pPr>
          </w:p>
        </w:tc>
        <w:tc>
          <w:tcPr>
            <w:tcW w:w="660" w:type="dxa"/>
            <w:vAlign w:val="bottom"/>
          </w:tcPr>
          <w:p>
            <w:pPr>
              <w:ind w:left="120"/>
              <w:spacing w:after="0"/>
              <w:rPr>
                <w:sz w:val="20"/>
                <w:szCs w:val="20"/>
                <w:color w:val="auto"/>
              </w:rPr>
            </w:pPr>
            <w:r>
              <w:rPr>
                <w:rFonts w:ascii="Arial" w:cs="Arial" w:eastAsia="Arial" w:hAnsi="Arial"/>
                <w:sz w:val="16"/>
                <w:szCs w:val="16"/>
                <w:b w:val="1"/>
                <w:bCs w:val="1"/>
                <w:color w:val="auto"/>
              </w:rPr>
              <w:t>Form</w:t>
            </w:r>
          </w:p>
        </w:tc>
        <w:tc>
          <w:tcPr>
            <w:tcW w:w="100" w:type="dxa"/>
            <w:vAlign w:val="bottom"/>
          </w:tcPr>
          <w:p>
            <w:pPr>
              <w:spacing w:after="0"/>
              <w:rPr>
                <w:sz w:val="20"/>
                <w:szCs w:val="20"/>
                <w:color w:val="auto"/>
              </w:rPr>
            </w:pPr>
          </w:p>
        </w:tc>
        <w:tc>
          <w:tcPr>
            <w:tcW w:w="2480" w:type="dxa"/>
            <w:vAlign w:val="bottom"/>
            <w:gridSpan w:val="5"/>
          </w:tcPr>
          <w:p>
            <w:pPr>
              <w:ind w:left="80"/>
              <w:spacing w:after="0"/>
              <w:rPr>
                <w:sz w:val="20"/>
                <w:szCs w:val="20"/>
                <w:color w:val="auto"/>
              </w:rPr>
            </w:pPr>
            <w:r>
              <w:rPr>
                <w:rFonts w:ascii="Arial" w:cs="Arial" w:eastAsia="Arial" w:hAnsi="Arial"/>
                <w:sz w:val="16"/>
                <w:szCs w:val="16"/>
                <w:b w:val="1"/>
                <w:bCs w:val="1"/>
                <w:color w:val="auto"/>
              </w:rPr>
              <w:t>File Number   Reference</w:t>
            </w:r>
          </w:p>
        </w:tc>
        <w:tc>
          <w:tcPr>
            <w:tcW w:w="1060" w:type="dxa"/>
            <w:vAlign w:val="bottom"/>
          </w:tcPr>
          <w:p>
            <w:pPr>
              <w:ind w:left="20"/>
              <w:spacing w:after="0"/>
              <w:rPr>
                <w:sz w:val="20"/>
                <w:szCs w:val="20"/>
                <w:color w:val="auto"/>
              </w:rPr>
            </w:pPr>
            <w:r>
              <w:rPr>
                <w:rFonts w:ascii="Arial" w:cs="Arial" w:eastAsia="Arial" w:hAnsi="Arial"/>
                <w:sz w:val="16"/>
                <w:szCs w:val="16"/>
                <w:b w:val="1"/>
                <w:bCs w:val="1"/>
                <w:color w:val="auto"/>
              </w:rPr>
              <w:t>Filing Date</w:t>
            </w:r>
          </w:p>
        </w:tc>
        <w:tc>
          <w:tcPr>
            <w:tcW w:w="8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rPr>
              <w:t>Herewith</w:t>
            </w:r>
          </w:p>
        </w:tc>
      </w:tr>
      <w:tr>
        <w:trPr>
          <w:trHeight w:val="20"/>
        </w:trPr>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bl>
    <w:p>
      <w:pPr>
        <w:spacing w:after="0" w:line="170" w:lineRule="exact"/>
        <w:rPr>
          <w:sz w:val="20"/>
          <w:szCs w:val="20"/>
          <w:color w:val="auto"/>
        </w:rPr>
      </w:pPr>
    </w:p>
    <w:p>
      <w:pPr>
        <w:sectPr>
          <w:pgSz w:w="11900" w:h="16838" w:orient="portrait"/>
          <w:cols w:equalWidth="0" w:num="1">
            <w:col w:w="11240"/>
          </w:cols>
          <w:pgMar w:left="320" w:top="400" w:right="339" w:bottom="1440" w:gutter="0" w:footer="0" w:header="0"/>
        </w:sectPr>
      </w:pPr>
    </w:p>
    <w:p>
      <w:pPr>
        <w:ind w:left="340"/>
        <w:spacing w:after="0"/>
        <w:rPr>
          <w:sz w:val="20"/>
          <w:szCs w:val="20"/>
          <w:color w:val="auto"/>
        </w:rPr>
      </w:pPr>
      <w:r>
        <w:rPr>
          <w:rFonts w:ascii="Arial" w:cs="Arial" w:eastAsia="Arial" w:hAnsi="Arial"/>
          <w:sz w:val="18"/>
          <w:szCs w:val="18"/>
          <w:color w:val="auto"/>
        </w:rPr>
        <w:t>3.1</w:t>
      </w:r>
    </w:p>
    <w:p>
      <w:pPr>
        <w:spacing w:after="0" w:line="3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3.2</w:t>
      </w:r>
    </w:p>
    <w:p>
      <w:pPr>
        <w:spacing w:after="0" w:line="3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3.3</w:t>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31.1</w:t>
      </w:r>
    </w:p>
    <w:p>
      <w:pPr>
        <w:spacing w:after="0" w:line="200" w:lineRule="exact"/>
        <w:rPr>
          <w:sz w:val="20"/>
          <w:szCs w:val="20"/>
          <w:color w:val="auto"/>
        </w:rPr>
      </w:pPr>
    </w:p>
    <w:p>
      <w:pPr>
        <w:spacing w:after="0" w:line="24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31.2</w:t>
      </w:r>
    </w:p>
    <w:p>
      <w:pPr>
        <w:spacing w:after="0" w:line="200" w:lineRule="exact"/>
        <w:rPr>
          <w:sz w:val="20"/>
          <w:szCs w:val="20"/>
          <w:color w:val="auto"/>
        </w:rPr>
      </w:pPr>
    </w:p>
    <w:p>
      <w:pPr>
        <w:spacing w:after="0" w:line="24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32.1‡</w:t>
      </w:r>
    </w:p>
    <w:p>
      <w:pPr>
        <w:spacing w:after="0" w:line="200" w:lineRule="exact"/>
        <w:rPr>
          <w:sz w:val="20"/>
          <w:szCs w:val="20"/>
          <w:color w:val="auto"/>
        </w:rPr>
      </w:pPr>
    </w:p>
    <w:p>
      <w:pPr>
        <w:spacing w:after="0" w:line="34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101.INS</w:t>
      </w:r>
    </w:p>
    <w:p>
      <w:pPr>
        <w:spacing w:after="0" w:line="200" w:lineRule="exact"/>
        <w:rPr>
          <w:sz w:val="20"/>
          <w:szCs w:val="20"/>
          <w:color w:val="auto"/>
        </w:rPr>
      </w:pPr>
    </w:p>
    <w:p>
      <w:pPr>
        <w:spacing w:after="0" w:line="24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101.SCH</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101.CAL</w:t>
      </w:r>
    </w:p>
    <w:p>
      <w:pPr>
        <w:spacing w:after="0" w:line="200" w:lineRule="exact"/>
        <w:rPr>
          <w:sz w:val="20"/>
          <w:szCs w:val="20"/>
          <w:color w:val="auto"/>
        </w:rPr>
      </w:pPr>
    </w:p>
    <w:p>
      <w:pPr>
        <w:spacing w:after="0" w:line="24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101.DEF</w:t>
      </w:r>
    </w:p>
    <w:p>
      <w:pPr>
        <w:spacing w:after="0" w:line="200" w:lineRule="exact"/>
        <w:rPr>
          <w:sz w:val="20"/>
          <w:szCs w:val="20"/>
          <w:color w:val="auto"/>
        </w:rPr>
      </w:pPr>
    </w:p>
    <w:p>
      <w:pPr>
        <w:spacing w:after="0" w:line="24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101.LAB</w:t>
      </w:r>
    </w:p>
    <w:p>
      <w:pPr>
        <w:spacing w:after="0" w:line="200" w:lineRule="exact"/>
        <w:rPr>
          <w:sz w:val="20"/>
          <w:szCs w:val="20"/>
          <w:color w:val="auto"/>
        </w:rPr>
      </w:pPr>
    </w:p>
    <w:p>
      <w:pPr>
        <w:spacing w:after="0" w:line="24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101.PRE</w:t>
      </w:r>
    </w:p>
    <w:p>
      <w:pPr>
        <w:spacing w:after="0" w:line="20" w:lineRule="exact"/>
        <w:rPr>
          <w:sz w:val="20"/>
          <w:szCs w:val="20"/>
          <w:color w:val="auto"/>
        </w:rPr>
      </w:pPr>
      <w:r>
        <w:rPr>
          <w:sz w:val="20"/>
          <w:szCs w:val="20"/>
          <w:color w:val="auto"/>
        </w:rPr>
        <w:br w:type="column"/>
      </w:r>
    </w:p>
    <w:p>
      <w:pPr>
        <w:spacing w:after="0"/>
        <w:rPr>
          <w:rFonts w:ascii="Arial" w:cs="Arial" w:eastAsia="Arial" w:hAnsi="Arial"/>
          <w:sz w:val="18"/>
          <w:szCs w:val="18"/>
          <w:u w:val="single" w:color="auto"/>
          <w:color w:val="0000FF"/>
        </w:rPr>
      </w:pPr>
      <w:hyperlink r:id="rId59">
        <w:r>
          <w:rPr>
            <w:rFonts w:ascii="Arial" w:cs="Arial" w:eastAsia="Arial" w:hAnsi="Arial"/>
            <w:sz w:val="18"/>
            <w:szCs w:val="18"/>
            <w:u w:val="single" w:color="auto"/>
            <w:color w:val="0000FF"/>
          </w:rPr>
          <w:t>Restated Certificate of Incorporation of Exelixis, Inc.</w:t>
        </w:r>
      </w:hyperlink>
    </w:p>
    <w:p>
      <w:pPr>
        <w:spacing w:after="0" w:line="225" w:lineRule="exact"/>
        <w:rPr>
          <w:sz w:val="20"/>
          <w:szCs w:val="20"/>
          <w:color w:val="auto"/>
        </w:rPr>
      </w:pPr>
    </w:p>
    <w:p>
      <w:pPr>
        <w:ind w:right="600"/>
        <w:spacing w:after="0" w:line="287" w:lineRule="auto"/>
        <w:rPr>
          <w:rFonts w:ascii="Arial" w:cs="Arial" w:eastAsia="Arial" w:hAnsi="Arial"/>
          <w:sz w:val="18"/>
          <w:szCs w:val="18"/>
          <w:u w:val="single" w:color="auto"/>
          <w:color w:val="0000FF"/>
        </w:rPr>
      </w:pPr>
      <w:hyperlink r:id="rId60">
        <w:r>
          <w:rPr>
            <w:rFonts w:ascii="Arial" w:cs="Arial" w:eastAsia="Arial" w:hAnsi="Arial"/>
            <w:sz w:val="18"/>
            <w:szCs w:val="18"/>
            <w:u w:val="single" w:color="auto"/>
            <w:color w:val="0000FF"/>
          </w:rPr>
          <w:t>Certificate of Change of Registered Agent and/or</w:t>
        </w:r>
      </w:hyperlink>
      <w:r>
        <w:rPr>
          <w:rFonts w:ascii="Arial" w:cs="Arial" w:eastAsia="Arial" w:hAnsi="Arial"/>
          <w:sz w:val="18"/>
          <w:szCs w:val="18"/>
          <w:u w:val="single" w:color="auto"/>
          <w:color w:val="0000FF"/>
        </w:rPr>
        <w:t xml:space="preserve"> </w:t>
      </w:r>
      <w:hyperlink r:id="rId60">
        <w:r>
          <w:rPr>
            <w:rFonts w:ascii="Arial" w:cs="Arial" w:eastAsia="Arial" w:hAnsi="Arial"/>
            <w:sz w:val="18"/>
            <w:szCs w:val="18"/>
            <w:u w:val="single" w:color="auto"/>
            <w:color w:val="0000FF"/>
          </w:rPr>
          <w:t>Registered Office of Exelixis, Inc.</w:t>
        </w:r>
      </w:hyperlink>
    </w:p>
    <w:p>
      <w:pPr>
        <w:spacing w:after="0" w:line="153" w:lineRule="exact"/>
        <w:rPr>
          <w:sz w:val="20"/>
          <w:szCs w:val="20"/>
          <w:color w:val="auto"/>
        </w:rPr>
      </w:pPr>
    </w:p>
    <w:p>
      <w:pPr>
        <w:spacing w:after="0"/>
        <w:rPr>
          <w:rFonts w:ascii="Arial" w:cs="Arial" w:eastAsia="Arial" w:hAnsi="Arial"/>
          <w:sz w:val="18"/>
          <w:szCs w:val="18"/>
          <w:u w:val="single" w:color="auto"/>
          <w:color w:val="0000FF"/>
        </w:rPr>
      </w:pPr>
      <w:hyperlink r:id="rId61">
        <w:r>
          <w:rPr>
            <w:rFonts w:ascii="Arial" w:cs="Arial" w:eastAsia="Arial" w:hAnsi="Arial"/>
            <w:sz w:val="18"/>
            <w:szCs w:val="18"/>
            <w:u w:val="single" w:color="auto"/>
            <w:color w:val="0000FF"/>
          </w:rPr>
          <w:t>Amended and Restated Bylaws of Exelixis, Inc.</w:t>
        </w:r>
      </w:hyperlink>
    </w:p>
    <w:p>
      <w:pPr>
        <w:spacing w:after="0" w:line="225"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u w:val="single" w:color="auto"/>
          <w:color w:val="0000FF"/>
        </w:rPr>
        <w:t>Certification of Principal Executive Officer Pursuant to Exchange Act Rules 13a-14(a) and Rule 15d-14(a)</w:t>
      </w:r>
    </w:p>
    <w:p>
      <w:pPr>
        <w:spacing w:after="0" w:line="153" w:lineRule="exact"/>
        <w:rPr>
          <w:sz w:val="20"/>
          <w:szCs w:val="20"/>
          <w:color w:val="auto"/>
        </w:rPr>
      </w:pPr>
    </w:p>
    <w:p>
      <w:pPr>
        <w:ind w:right="280"/>
        <w:spacing w:after="0" w:line="318" w:lineRule="auto"/>
        <w:rPr>
          <w:sz w:val="20"/>
          <w:szCs w:val="20"/>
          <w:color w:val="auto"/>
        </w:rPr>
      </w:pPr>
      <w:r>
        <w:rPr>
          <w:rFonts w:ascii="Arial" w:cs="Arial" w:eastAsia="Arial" w:hAnsi="Arial"/>
          <w:sz w:val="17"/>
          <w:szCs w:val="17"/>
          <w:u w:val="single" w:color="auto"/>
          <w:color w:val="0000FF"/>
        </w:rPr>
        <w:t>Certification of Principal Financial Officer Pursuant to Exchange Act Rules 13a-14(a) and Rule 15d-14(a)</w:t>
      </w:r>
    </w:p>
    <w:p>
      <w:pPr>
        <w:spacing w:after="0" w:line="130" w:lineRule="exact"/>
        <w:rPr>
          <w:sz w:val="20"/>
          <w:szCs w:val="20"/>
          <w:color w:val="auto"/>
        </w:rPr>
      </w:pPr>
    </w:p>
    <w:p>
      <w:pPr>
        <w:ind w:right="20"/>
        <w:spacing w:after="0" w:line="318" w:lineRule="auto"/>
        <w:rPr>
          <w:sz w:val="20"/>
          <w:szCs w:val="20"/>
          <w:color w:val="auto"/>
        </w:rPr>
      </w:pPr>
      <w:r>
        <w:rPr>
          <w:rFonts w:ascii="Arial" w:cs="Arial" w:eastAsia="Arial" w:hAnsi="Arial"/>
          <w:sz w:val="17"/>
          <w:szCs w:val="17"/>
          <w:u w:val="single" w:color="auto"/>
          <w:color w:val="0000FF"/>
        </w:rPr>
        <w:t>Certifications of Principal Executive Officer and Principal Financial Officer Pursuant to 18 U.S.C. Section 1350</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XBRL Instance Document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Schema Document</w:t>
      </w:r>
    </w:p>
    <w:p>
      <w:pPr>
        <w:spacing w:after="0" w:line="225"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Inline XBRL Taxonomy Extension Calculation Linkbase Document</w:t>
      </w:r>
    </w:p>
    <w:p>
      <w:pPr>
        <w:spacing w:after="0" w:line="153"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Inline XBRL Taxonomy Extension Definition Linkbase Document</w:t>
      </w:r>
    </w:p>
    <w:p>
      <w:pPr>
        <w:spacing w:after="0" w:line="153"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Inline XBRL Taxonomy Extension Labels Linkbase Document</w:t>
      </w:r>
    </w:p>
    <w:p>
      <w:pPr>
        <w:spacing w:after="0" w:line="153" w:lineRule="exact"/>
        <w:rPr>
          <w:sz w:val="20"/>
          <w:szCs w:val="20"/>
          <w:color w:val="auto"/>
        </w:rPr>
      </w:pPr>
    </w:p>
    <w:p>
      <w:pPr>
        <w:spacing w:after="0" w:line="281" w:lineRule="auto"/>
        <w:rPr>
          <w:sz w:val="20"/>
          <w:szCs w:val="20"/>
          <w:color w:val="auto"/>
        </w:rPr>
      </w:pPr>
      <w:r>
        <w:rPr>
          <w:rFonts w:ascii="Arial" w:cs="Arial" w:eastAsia="Arial" w:hAnsi="Arial"/>
          <w:sz w:val="18"/>
          <w:szCs w:val="18"/>
          <w:color w:val="auto"/>
        </w:rPr>
        <w:t>Inline XBRL Taxonomy Extension Presentation Linkbase Document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20" w:type="dxa"/>
        <w:tblCellMar>
          <w:top w:w="0" w:type="dxa"/>
          <w:left w:w="0" w:type="dxa"/>
          <w:bottom w:w="0" w:type="dxa"/>
          <w:right w:w="0" w:type="dxa"/>
        </w:tblCellMar>
      </w:tblPr>
      <w:tr>
        <w:trPr>
          <w:trHeight w:val="239"/>
        </w:trPr>
        <w:tc>
          <w:tcPr>
            <w:tcW w:w="560" w:type="dxa"/>
            <w:vAlign w:val="bottom"/>
          </w:tcPr>
          <w:p>
            <w:pPr>
              <w:jc w:val="center"/>
              <w:ind w:right="70"/>
              <w:spacing w:after="0"/>
              <w:rPr>
                <w:sz w:val="20"/>
                <w:szCs w:val="20"/>
                <w:color w:val="auto"/>
              </w:rPr>
            </w:pPr>
            <w:r>
              <w:rPr>
                <w:rFonts w:ascii="Arial" w:cs="Arial" w:eastAsia="Arial" w:hAnsi="Arial"/>
                <w:sz w:val="18"/>
                <w:szCs w:val="18"/>
                <w:color w:val="auto"/>
                <w:w w:val="99"/>
              </w:rPr>
              <w:t>10-Q</w:t>
            </w:r>
          </w:p>
        </w:tc>
        <w:tc>
          <w:tcPr>
            <w:tcW w:w="1340" w:type="dxa"/>
            <w:vAlign w:val="bottom"/>
          </w:tcPr>
          <w:p>
            <w:pPr>
              <w:jc w:val="right"/>
              <w:ind w:right="210"/>
              <w:spacing w:after="0"/>
              <w:rPr>
                <w:sz w:val="20"/>
                <w:szCs w:val="20"/>
                <w:color w:val="auto"/>
              </w:rPr>
            </w:pPr>
            <w:r>
              <w:rPr>
                <w:rFonts w:ascii="Arial" w:cs="Arial" w:eastAsia="Arial" w:hAnsi="Arial"/>
                <w:sz w:val="18"/>
                <w:szCs w:val="18"/>
                <w:color w:val="auto"/>
              </w:rPr>
              <w:t>000-30235</w:t>
            </w:r>
          </w:p>
        </w:tc>
        <w:tc>
          <w:tcPr>
            <w:tcW w:w="860" w:type="dxa"/>
            <w:vAlign w:val="bottom"/>
          </w:tcPr>
          <w:p>
            <w:pPr>
              <w:jc w:val="right"/>
              <w:ind w:right="230"/>
              <w:spacing w:after="0"/>
              <w:rPr>
                <w:sz w:val="20"/>
                <w:szCs w:val="20"/>
                <w:color w:val="auto"/>
              </w:rPr>
            </w:pPr>
            <w:r>
              <w:rPr>
                <w:rFonts w:ascii="Arial" w:cs="Arial" w:eastAsia="Arial" w:hAnsi="Arial"/>
                <w:sz w:val="18"/>
                <w:szCs w:val="18"/>
                <w:color w:val="auto"/>
              </w:rPr>
              <w:t>3.1</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8/5/2021</w:t>
            </w:r>
          </w:p>
        </w:tc>
      </w:tr>
      <w:tr>
        <w:trPr>
          <w:trHeight w:val="540"/>
        </w:trPr>
        <w:tc>
          <w:tcPr>
            <w:tcW w:w="560" w:type="dxa"/>
            <w:vAlign w:val="bottom"/>
          </w:tcPr>
          <w:p>
            <w:pPr>
              <w:jc w:val="center"/>
              <w:ind w:right="70"/>
              <w:spacing w:after="0"/>
              <w:rPr>
                <w:sz w:val="20"/>
                <w:szCs w:val="20"/>
                <w:color w:val="auto"/>
              </w:rPr>
            </w:pPr>
            <w:r>
              <w:rPr>
                <w:rFonts w:ascii="Arial" w:cs="Arial" w:eastAsia="Arial" w:hAnsi="Arial"/>
                <w:sz w:val="18"/>
                <w:szCs w:val="18"/>
                <w:color w:val="auto"/>
                <w:w w:val="99"/>
              </w:rPr>
              <w:t>10-Q</w:t>
            </w:r>
          </w:p>
        </w:tc>
        <w:tc>
          <w:tcPr>
            <w:tcW w:w="1340" w:type="dxa"/>
            <w:vAlign w:val="bottom"/>
          </w:tcPr>
          <w:p>
            <w:pPr>
              <w:jc w:val="right"/>
              <w:ind w:right="210"/>
              <w:spacing w:after="0"/>
              <w:rPr>
                <w:sz w:val="20"/>
                <w:szCs w:val="20"/>
                <w:color w:val="auto"/>
              </w:rPr>
            </w:pPr>
            <w:r>
              <w:rPr>
                <w:rFonts w:ascii="Arial" w:cs="Arial" w:eastAsia="Arial" w:hAnsi="Arial"/>
                <w:sz w:val="18"/>
                <w:szCs w:val="18"/>
                <w:color w:val="auto"/>
              </w:rPr>
              <w:t>000-30235</w:t>
            </w:r>
          </w:p>
        </w:tc>
        <w:tc>
          <w:tcPr>
            <w:tcW w:w="860" w:type="dxa"/>
            <w:vAlign w:val="bottom"/>
          </w:tcPr>
          <w:p>
            <w:pPr>
              <w:jc w:val="right"/>
              <w:ind w:right="230"/>
              <w:spacing w:after="0"/>
              <w:rPr>
                <w:sz w:val="20"/>
                <w:szCs w:val="20"/>
                <w:color w:val="auto"/>
              </w:rPr>
            </w:pPr>
            <w:r>
              <w:rPr>
                <w:rFonts w:ascii="Arial" w:cs="Arial" w:eastAsia="Arial" w:hAnsi="Arial"/>
                <w:sz w:val="18"/>
                <w:szCs w:val="18"/>
                <w:color w:val="auto"/>
              </w:rPr>
              <w:t>3.2</w:t>
            </w:r>
          </w:p>
        </w:tc>
        <w:tc>
          <w:tcPr>
            <w:tcW w:w="1220" w:type="dxa"/>
            <w:vAlign w:val="bottom"/>
          </w:tcPr>
          <w:p>
            <w:pPr>
              <w:jc w:val="right"/>
              <w:spacing w:after="0"/>
              <w:rPr>
                <w:sz w:val="20"/>
                <w:szCs w:val="20"/>
                <w:color w:val="auto"/>
              </w:rPr>
            </w:pPr>
            <w:r>
              <w:rPr>
                <w:rFonts w:ascii="Arial" w:cs="Arial" w:eastAsia="Arial" w:hAnsi="Arial"/>
                <w:sz w:val="18"/>
                <w:szCs w:val="18"/>
                <w:color w:val="auto"/>
              </w:rPr>
              <w:t>4/30/2024</w:t>
            </w:r>
          </w:p>
        </w:tc>
      </w:tr>
      <w:tr>
        <w:trPr>
          <w:trHeight w:val="540"/>
        </w:trPr>
        <w:tc>
          <w:tcPr>
            <w:tcW w:w="560" w:type="dxa"/>
            <w:vAlign w:val="bottom"/>
          </w:tcPr>
          <w:p>
            <w:pPr>
              <w:jc w:val="center"/>
              <w:ind w:right="70"/>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right"/>
              <w:ind w:right="210"/>
              <w:spacing w:after="0"/>
              <w:rPr>
                <w:sz w:val="20"/>
                <w:szCs w:val="20"/>
                <w:color w:val="auto"/>
              </w:rPr>
            </w:pPr>
            <w:r>
              <w:rPr>
                <w:rFonts w:ascii="Arial" w:cs="Arial" w:eastAsia="Arial" w:hAnsi="Arial"/>
                <w:sz w:val="18"/>
                <w:szCs w:val="18"/>
                <w:color w:val="auto"/>
              </w:rPr>
              <w:t>000-30235</w:t>
            </w:r>
          </w:p>
        </w:tc>
        <w:tc>
          <w:tcPr>
            <w:tcW w:w="860" w:type="dxa"/>
            <w:vAlign w:val="bottom"/>
          </w:tcPr>
          <w:p>
            <w:pPr>
              <w:jc w:val="right"/>
              <w:ind w:right="230"/>
              <w:spacing w:after="0"/>
              <w:rPr>
                <w:sz w:val="20"/>
                <w:szCs w:val="20"/>
                <w:color w:val="auto"/>
              </w:rPr>
            </w:pPr>
            <w:r>
              <w:rPr>
                <w:rFonts w:ascii="Arial" w:cs="Arial" w:eastAsia="Arial" w:hAnsi="Arial"/>
                <w:sz w:val="18"/>
                <w:szCs w:val="18"/>
                <w:color w:val="auto"/>
              </w:rPr>
              <w:t>3.1</w:t>
            </w:r>
          </w:p>
        </w:tc>
        <w:tc>
          <w:tcPr>
            <w:tcW w:w="1220" w:type="dxa"/>
            <w:vAlign w:val="bottom"/>
          </w:tcPr>
          <w:p>
            <w:pPr>
              <w:jc w:val="right"/>
              <w:spacing w:after="0"/>
              <w:rPr>
                <w:sz w:val="20"/>
                <w:szCs w:val="20"/>
                <w:color w:val="auto"/>
              </w:rPr>
            </w:pPr>
            <w:r>
              <w:rPr>
                <w:rFonts w:ascii="Arial" w:cs="Arial" w:eastAsia="Arial" w:hAnsi="Arial"/>
                <w:sz w:val="18"/>
                <w:szCs w:val="18"/>
                <w:color w:val="auto"/>
              </w:rPr>
              <w:t>12/20/2023</w:t>
            </w:r>
          </w:p>
        </w:tc>
      </w:tr>
    </w:tbl>
    <w:p>
      <w:pPr>
        <w:spacing w:after="0" w:line="301"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41"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41"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X</w:t>
      </w:r>
    </w:p>
    <w:p>
      <w:pPr>
        <w:spacing w:after="0" w:line="333" w:lineRule="exact"/>
        <w:rPr>
          <w:sz w:val="20"/>
          <w:szCs w:val="20"/>
          <w:color w:val="auto"/>
        </w:rPr>
      </w:pPr>
    </w:p>
    <w:p>
      <w:pPr>
        <w:jc w:val="both"/>
        <w:ind w:right="280"/>
        <w:spacing w:after="0" w:line="268" w:lineRule="auto"/>
        <w:rPr>
          <w:sz w:val="20"/>
          <w:szCs w:val="20"/>
          <w:color w:val="auto"/>
        </w:rPr>
      </w:pPr>
      <w:r>
        <w:rPr>
          <w:rFonts w:ascii="Arial" w:cs="Arial" w:eastAsia="Arial" w:hAnsi="Arial"/>
          <w:sz w:val="18"/>
          <w:szCs w:val="18"/>
          <w:color w:val="auto"/>
        </w:rPr>
        <w:t>The XBRL instance document does not appear in the Interactive Data File because its XBRL tags are embedded within the Inline XBRL document.</w:t>
      </w:r>
    </w:p>
    <w:p>
      <w:pPr>
        <w:spacing w:after="0" w:line="171"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X</w:t>
      </w:r>
    </w:p>
    <w:p>
      <w:pPr>
        <w:spacing w:after="0" w:line="33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41"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41"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41"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X</w:t>
      </w:r>
    </w:p>
    <w:p>
      <w:pPr>
        <w:spacing w:after="0" w:line="170" w:lineRule="exact"/>
        <w:rPr>
          <w:sz w:val="20"/>
          <w:szCs w:val="20"/>
          <w:color w:val="auto"/>
        </w:rPr>
      </w:pPr>
    </w:p>
    <w:p>
      <w:pPr>
        <w:sectPr>
          <w:pgSz w:w="11900" w:h="16838" w:orient="portrait"/>
          <w:cols w:equalWidth="0" w:num="3">
            <w:col w:w="840" w:space="220"/>
            <w:col w:w="4480" w:space="320"/>
            <w:col w:w="5380"/>
          </w:cols>
          <w:pgMar w:left="320" w:top="400" w:right="339" w:bottom="1440" w:gutter="0" w:footer="0" w:header="0"/>
          <w:type w:val="continuous"/>
        </w:sectPr>
      </w:pPr>
    </w:p>
    <w:p>
      <w:pPr>
        <w:spacing w:after="0" w:line="16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40"/>
        <w:spacing w:after="0" w:line="262" w:lineRule="auto"/>
        <w:rPr>
          <w:sz w:val="20"/>
          <w:szCs w:val="20"/>
          <w:color w:val="auto"/>
        </w:rPr>
      </w:pPr>
      <w:r>
        <w:rPr>
          <w:rFonts w:ascii="Arial" w:cs="Arial" w:eastAsia="Arial" w:hAnsi="Arial"/>
          <w:sz w:val="18"/>
          <w:szCs w:val="18"/>
          <w:color w:val="auto"/>
        </w:rPr>
        <w:t>This certification accompanies this Quarterly Report on Form 10-Q, is not deemed filed with the SEC and is not to be incorporated by reference into any filing of Exelixis,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sectPr>
          <w:pgSz w:w="11900" w:h="16838" w:orient="portrait"/>
          <w:cols w:equalWidth="0" w:num="2">
            <w:col w:w="520" w:space="540"/>
            <w:col w:w="10180"/>
          </w:cols>
          <w:pgMar w:left="320" w:top="40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0" w:right="3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ind w:right="260" w:firstLine="648"/>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5" w:lineRule="exact"/>
        <w:rPr>
          <w:sz w:val="20"/>
          <w:szCs w:val="20"/>
          <w:color w:val="auto"/>
        </w:rPr>
      </w:pPr>
    </w:p>
    <w:tbl>
      <w:tblPr>
        <w:tblLayout w:type="fixed"/>
        <w:tblInd w:w="3220" w:type="dxa"/>
        <w:tblCellMar>
          <w:top w:w="0" w:type="dxa"/>
          <w:left w:w="0" w:type="dxa"/>
          <w:bottom w:w="0" w:type="dxa"/>
          <w:right w:w="0" w:type="dxa"/>
        </w:tblCellMar>
      </w:tblPr>
      <w:tr>
        <w:trPr>
          <w:trHeight w:val="239"/>
        </w:trPr>
        <w:tc>
          <w:tcPr>
            <w:tcW w:w="2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460" w:type="dxa"/>
            <w:vAlign w:val="bottom"/>
          </w:tcPr>
          <w:p>
            <w:pPr>
              <w:ind w:left="20"/>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XELIXIS,</w:t>
            </w:r>
            <w:r>
              <w:rPr>
                <w:rFonts w:ascii="Arial" w:cs="Arial" w:eastAsia="Arial" w:hAnsi="Arial"/>
                <w:sz w:val="18"/>
                <w:szCs w:val="18"/>
                <w:color w:val="auto"/>
              </w:rPr>
              <w:t xml:space="preserve"> I</w:t>
            </w:r>
            <w:r>
              <w:rPr>
                <w:rFonts w:ascii="Arial" w:cs="Arial" w:eastAsia="Arial" w:hAnsi="Arial"/>
                <w:sz w:val="14"/>
                <w:szCs w:val="14"/>
                <w:color w:val="auto"/>
              </w:rPr>
              <w:t>NC.</w:t>
            </w:r>
          </w:p>
        </w:tc>
      </w:tr>
      <w:tr>
        <w:trPr>
          <w:trHeight w:val="540"/>
        </w:trPr>
        <w:tc>
          <w:tcPr>
            <w:tcW w:w="2240" w:type="dxa"/>
            <w:vAlign w:val="bottom"/>
          </w:tcPr>
          <w:p>
            <w:pPr>
              <w:jc w:val="center"/>
              <w:spacing w:after="0"/>
              <w:rPr>
                <w:sz w:val="20"/>
                <w:szCs w:val="20"/>
                <w:color w:val="auto"/>
              </w:rPr>
            </w:pPr>
            <w:r>
              <w:rPr>
                <w:rFonts w:ascii="Arial" w:cs="Arial" w:eastAsia="Arial" w:hAnsi="Arial"/>
                <w:sz w:val="18"/>
                <w:szCs w:val="18"/>
                <w:color w:val="auto"/>
              </w:rPr>
              <w:t>May 5, 2026</w:t>
            </w:r>
          </w:p>
        </w:tc>
        <w:tc>
          <w:tcPr>
            <w:tcW w:w="1320" w:type="dxa"/>
            <w:vAlign w:val="bottom"/>
          </w:tcPr>
          <w:p>
            <w:pPr>
              <w:ind w:left="680"/>
              <w:spacing w:after="0"/>
              <w:rPr>
                <w:sz w:val="20"/>
                <w:szCs w:val="20"/>
                <w:color w:val="auto"/>
              </w:rPr>
            </w:pPr>
            <w:r>
              <w:rPr>
                <w:rFonts w:ascii="Arial" w:cs="Arial" w:eastAsia="Arial" w:hAnsi="Arial"/>
                <w:sz w:val="18"/>
                <w:szCs w:val="18"/>
                <w:color w:val="auto"/>
              </w:rPr>
              <w:t>By:</w:t>
            </w:r>
          </w:p>
        </w:tc>
        <w:tc>
          <w:tcPr>
            <w:tcW w:w="4460" w:type="dxa"/>
            <w:vAlign w:val="bottom"/>
          </w:tcPr>
          <w:p>
            <w:pPr>
              <w:ind w:left="1240"/>
              <w:spacing w:after="0"/>
              <w:rPr>
                <w:sz w:val="20"/>
                <w:szCs w:val="20"/>
                <w:color w:val="auto"/>
              </w:rPr>
            </w:pPr>
            <w:r>
              <w:rPr>
                <w:rFonts w:ascii="Arial" w:cs="Arial" w:eastAsia="Arial" w:hAnsi="Arial"/>
                <w:sz w:val="18"/>
                <w:szCs w:val="18"/>
                <w:color w:val="auto"/>
              </w:rPr>
              <w:t>/s/ Christopher J. Senner</w:t>
            </w:r>
          </w:p>
        </w:tc>
      </w:tr>
      <w:tr>
        <w:trPr>
          <w:trHeight w:val="23"/>
        </w:trPr>
        <w:tc>
          <w:tcPr>
            <w:tcW w:w="2240" w:type="dxa"/>
            <w:vAlign w:val="bottom"/>
            <w:tcBorders>
              <w:bottom w:val="single" w:sz="8" w:color="auto"/>
            </w:tcBorders>
          </w:tcPr>
          <w:p>
            <w:pPr>
              <w:spacing w:after="0"/>
              <w:rPr>
                <w:sz w:val="2"/>
                <w:szCs w:val="2"/>
                <w:color w:val="auto"/>
              </w:rPr>
            </w:pPr>
          </w:p>
        </w:tc>
        <w:tc>
          <w:tcPr>
            <w:tcW w:w="1320" w:type="dxa"/>
            <w:vAlign w:val="bottom"/>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r>
      <w:tr>
        <w:trPr>
          <w:trHeight w:val="248"/>
        </w:trPr>
        <w:tc>
          <w:tcPr>
            <w:tcW w:w="2240" w:type="dxa"/>
            <w:vAlign w:val="bottom"/>
          </w:tcPr>
          <w:p>
            <w:pPr>
              <w:jc w:val="center"/>
              <w:spacing w:after="0"/>
              <w:rPr>
                <w:sz w:val="20"/>
                <w:szCs w:val="20"/>
                <w:color w:val="auto"/>
              </w:rPr>
            </w:pPr>
            <w:r>
              <w:rPr>
                <w:rFonts w:ascii="Arial" w:cs="Arial" w:eastAsia="Arial" w:hAnsi="Arial"/>
                <w:sz w:val="18"/>
                <w:szCs w:val="18"/>
                <w:color w:val="auto"/>
                <w:w w:val="99"/>
              </w:rPr>
              <w:t>Date</w:t>
            </w:r>
          </w:p>
        </w:tc>
        <w:tc>
          <w:tcPr>
            <w:tcW w:w="1320" w:type="dxa"/>
            <w:vAlign w:val="bottom"/>
          </w:tcPr>
          <w:p>
            <w:pPr>
              <w:spacing w:after="0"/>
              <w:rPr>
                <w:sz w:val="21"/>
                <w:szCs w:val="21"/>
                <w:color w:val="auto"/>
              </w:rPr>
            </w:pPr>
          </w:p>
        </w:tc>
        <w:tc>
          <w:tcPr>
            <w:tcW w:w="4460" w:type="dxa"/>
            <w:vAlign w:val="bottom"/>
          </w:tcPr>
          <w:p>
            <w:pPr>
              <w:ind w:left="1300"/>
              <w:spacing w:after="0"/>
              <w:rPr>
                <w:sz w:val="20"/>
                <w:szCs w:val="20"/>
                <w:color w:val="auto"/>
              </w:rPr>
            </w:pPr>
            <w:r>
              <w:rPr>
                <w:rFonts w:ascii="Arial" w:cs="Arial" w:eastAsia="Arial" w:hAnsi="Arial"/>
                <w:sz w:val="18"/>
                <w:szCs w:val="18"/>
                <w:b w:val="1"/>
                <w:bCs w:val="1"/>
                <w:color w:val="auto"/>
              </w:rPr>
              <w:t>Christopher J. Senner</w:t>
            </w:r>
          </w:p>
        </w:tc>
      </w:tr>
      <w:tr>
        <w:trPr>
          <w:trHeight w:val="262"/>
        </w:trPr>
        <w:tc>
          <w:tcPr>
            <w:tcW w:w="22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446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49"/>
        </w:trPr>
        <w:tc>
          <w:tcPr>
            <w:tcW w:w="2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460" w:type="dxa"/>
            <w:vAlign w:val="bottom"/>
          </w:tcPr>
          <w:p>
            <w:pPr>
              <w:ind w:left="20"/>
              <w:spacing w:after="0"/>
              <w:rPr>
                <w:sz w:val="20"/>
                <w:szCs w:val="20"/>
                <w:color w:val="auto"/>
              </w:rPr>
            </w:pPr>
            <w:r>
              <w:rPr>
                <w:rFonts w:ascii="Arial" w:cs="Arial" w:eastAsia="Arial" w:hAnsi="Arial"/>
                <w:sz w:val="18"/>
                <w:szCs w:val="18"/>
                <w:i w:val="1"/>
                <w:iCs w:val="1"/>
                <w:color w:val="auto"/>
              </w:rPr>
              <w:t>(Duly Authorized Officer and Principal Financial and</w:t>
            </w:r>
          </w:p>
        </w:tc>
      </w:tr>
      <w:tr>
        <w:trPr>
          <w:trHeight w:val="237"/>
        </w:trPr>
        <w:tc>
          <w:tcPr>
            <w:tcW w:w="2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460" w:type="dxa"/>
            <w:vAlign w:val="bottom"/>
          </w:tcPr>
          <w:p>
            <w:pPr>
              <w:ind w:left="20"/>
              <w:spacing w:after="0"/>
              <w:rPr>
                <w:sz w:val="20"/>
                <w:szCs w:val="20"/>
                <w:color w:val="auto"/>
              </w:rPr>
            </w:pPr>
            <w:r>
              <w:rPr>
                <w:rFonts w:ascii="Arial" w:cs="Arial" w:eastAsia="Arial" w:hAnsi="Arial"/>
                <w:sz w:val="18"/>
                <w:szCs w:val="18"/>
                <w:i w:val="1"/>
                <w:iCs w:val="1"/>
                <w:color w:val="auto"/>
              </w:rPr>
              <w:t>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400"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I, Michael M. Morrissey, Ph.D., certify that:</w:t>
      </w:r>
    </w:p>
    <w:p>
      <w:pPr>
        <w:spacing w:after="0" w:line="171" w:lineRule="exact"/>
        <w:rPr>
          <w:sz w:val="20"/>
          <w:szCs w:val="20"/>
          <w:color w:val="auto"/>
        </w:rPr>
      </w:pPr>
    </w:p>
    <w:p>
      <w:pPr>
        <w:ind w:left="520" w:hanging="350"/>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Form 10-Q of Exelixis, Inc.;</w:t>
      </w:r>
    </w:p>
    <w:p>
      <w:pPr>
        <w:spacing w:after="0" w:line="171" w:lineRule="exact"/>
        <w:rPr>
          <w:rFonts w:ascii="Arial" w:cs="Arial" w:eastAsia="Arial" w:hAnsi="Arial"/>
          <w:sz w:val="18"/>
          <w:szCs w:val="18"/>
          <w:color w:val="auto"/>
        </w:rPr>
      </w:pPr>
    </w:p>
    <w:p>
      <w:pPr>
        <w:ind w:left="580" w:right="80" w:hanging="410"/>
        <w:spacing w:after="0" w:line="268" w:lineRule="auto"/>
        <w:tabs>
          <w:tab w:leader="none" w:pos="525"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580" w:right="260" w:hanging="410"/>
        <w:spacing w:after="0" w:line="268" w:lineRule="auto"/>
        <w:tabs>
          <w:tab w:leader="none" w:pos="525"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580" w:right="60" w:hanging="410"/>
        <w:spacing w:after="0" w:line="268" w:lineRule="auto"/>
        <w:tabs>
          <w:tab w:leader="none" w:pos="52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9" w:lineRule="exact"/>
        <w:rPr>
          <w:rFonts w:ascii="Arial" w:cs="Arial" w:eastAsia="Arial" w:hAnsi="Arial"/>
          <w:sz w:val="18"/>
          <w:szCs w:val="18"/>
          <w:color w:val="auto"/>
        </w:rPr>
      </w:pPr>
    </w:p>
    <w:p>
      <w:pPr>
        <w:ind w:left="1140" w:right="140" w:hanging="565"/>
        <w:spacing w:after="0" w:line="268" w:lineRule="auto"/>
        <w:tabs>
          <w:tab w:leader="none" w:pos="1157"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8"/>
          <w:szCs w:val="18"/>
          <w:color w:val="auto"/>
        </w:rPr>
      </w:pPr>
    </w:p>
    <w:p>
      <w:pPr>
        <w:ind w:left="1140" w:right="160" w:hanging="565"/>
        <w:spacing w:after="0" w:line="268" w:lineRule="auto"/>
        <w:tabs>
          <w:tab w:leader="none" w:pos="1144"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Arial" w:cs="Arial" w:eastAsia="Arial" w:hAnsi="Arial"/>
          <w:sz w:val="18"/>
          <w:szCs w:val="18"/>
          <w:color w:val="auto"/>
        </w:rPr>
      </w:pPr>
    </w:p>
    <w:p>
      <w:pPr>
        <w:ind w:left="1140" w:right="80" w:hanging="565"/>
        <w:spacing w:after="0" w:line="268" w:lineRule="auto"/>
        <w:tabs>
          <w:tab w:leader="none" w:pos="1161"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9" w:lineRule="exact"/>
        <w:rPr>
          <w:rFonts w:ascii="Arial" w:cs="Arial" w:eastAsia="Arial" w:hAnsi="Arial"/>
          <w:sz w:val="18"/>
          <w:szCs w:val="18"/>
          <w:color w:val="auto"/>
        </w:rPr>
      </w:pPr>
    </w:p>
    <w:p>
      <w:pPr>
        <w:ind w:left="1140" w:right="220" w:hanging="565"/>
        <w:spacing w:after="0" w:line="268" w:lineRule="auto"/>
        <w:tabs>
          <w:tab w:leader="none" w:pos="1144"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580" w:right="260" w:hanging="410"/>
        <w:spacing w:after="0" w:line="268" w:lineRule="auto"/>
        <w:tabs>
          <w:tab w:leader="none" w:pos="52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5" w:lineRule="exact"/>
        <w:rPr>
          <w:rFonts w:ascii="Arial" w:cs="Arial" w:eastAsia="Arial" w:hAnsi="Arial"/>
          <w:sz w:val="18"/>
          <w:szCs w:val="18"/>
          <w:color w:val="auto"/>
        </w:rPr>
      </w:pPr>
    </w:p>
    <w:p>
      <w:pPr>
        <w:ind w:left="1140" w:right="60" w:hanging="565"/>
        <w:spacing w:after="0" w:line="268" w:lineRule="auto"/>
        <w:tabs>
          <w:tab w:leader="none" w:pos="1157"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9" w:lineRule="exact"/>
        <w:rPr>
          <w:rFonts w:ascii="Arial" w:cs="Arial" w:eastAsia="Arial" w:hAnsi="Arial"/>
          <w:sz w:val="18"/>
          <w:szCs w:val="18"/>
          <w:color w:val="auto"/>
        </w:rPr>
      </w:pPr>
    </w:p>
    <w:p>
      <w:pPr>
        <w:ind w:left="1140" w:right="940" w:hanging="565"/>
        <w:spacing w:after="0" w:line="287" w:lineRule="auto"/>
        <w:tabs>
          <w:tab w:leader="none" w:pos="1144"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61"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/s/ Michael M. Morrissey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17780</wp:posOffset>
            </wp:positionV>
            <wp:extent cx="310324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16"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Michael M. Morrissey, Ph.D.</w:t>
      </w:r>
    </w:p>
    <w:p>
      <w:pPr>
        <w:spacing w:after="0" w:line="9"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President and Chief Executive Officer</w:t>
      </w:r>
    </w:p>
    <w:p>
      <w:pPr>
        <w:ind w:left="6380"/>
        <w:spacing w:after="0"/>
        <w:rPr>
          <w:sz w:val="20"/>
          <w:szCs w:val="20"/>
          <w:color w:val="auto"/>
        </w:rPr>
      </w:pPr>
      <w:r>
        <w:rPr>
          <w:rFonts w:ascii="Arial" w:cs="Arial" w:eastAsia="Arial" w:hAnsi="Arial"/>
          <w:sz w:val="18"/>
          <w:szCs w:val="18"/>
          <w:color w:val="auto"/>
        </w:rPr>
        <w:t>(Principal Executive Officer)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Date: May 5, 2026</w:t>
      </w:r>
    </w:p>
    <w:p>
      <w:pPr>
        <w:sectPr>
          <w:pgSz w:w="11900" w:h="16838" w:orient="portrait"/>
          <w:cols w:equalWidth="0" w:num="1">
            <w:col w:w="11240"/>
          </w:cols>
          <w:pgMar w:left="320" w:top="1093"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I, Christopher J. Senner, certify that:</w:t>
      </w:r>
    </w:p>
    <w:p>
      <w:pPr>
        <w:spacing w:after="0" w:line="171" w:lineRule="exact"/>
        <w:rPr>
          <w:sz w:val="20"/>
          <w:szCs w:val="20"/>
          <w:color w:val="auto"/>
        </w:rPr>
      </w:pPr>
    </w:p>
    <w:p>
      <w:pPr>
        <w:ind w:left="520" w:hanging="350"/>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Form 10-Q of Exelixis, Inc.;</w:t>
      </w:r>
    </w:p>
    <w:p>
      <w:pPr>
        <w:spacing w:after="0" w:line="171" w:lineRule="exact"/>
        <w:rPr>
          <w:rFonts w:ascii="Arial" w:cs="Arial" w:eastAsia="Arial" w:hAnsi="Arial"/>
          <w:sz w:val="18"/>
          <w:szCs w:val="18"/>
          <w:color w:val="auto"/>
        </w:rPr>
      </w:pPr>
    </w:p>
    <w:p>
      <w:pPr>
        <w:ind w:left="580" w:right="80" w:hanging="410"/>
        <w:spacing w:after="0" w:line="268" w:lineRule="auto"/>
        <w:tabs>
          <w:tab w:leader="none" w:pos="525"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580" w:right="260" w:hanging="410"/>
        <w:spacing w:after="0" w:line="268" w:lineRule="auto"/>
        <w:tabs>
          <w:tab w:leader="none" w:pos="525"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580" w:right="60" w:hanging="410"/>
        <w:spacing w:after="0" w:line="268" w:lineRule="auto"/>
        <w:tabs>
          <w:tab w:leader="none" w:pos="52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9" w:lineRule="exact"/>
        <w:rPr>
          <w:rFonts w:ascii="Arial" w:cs="Arial" w:eastAsia="Arial" w:hAnsi="Arial"/>
          <w:sz w:val="18"/>
          <w:szCs w:val="18"/>
          <w:color w:val="auto"/>
        </w:rPr>
      </w:pPr>
    </w:p>
    <w:p>
      <w:pPr>
        <w:ind w:left="1140" w:right="140" w:hanging="565"/>
        <w:spacing w:after="0" w:line="268" w:lineRule="auto"/>
        <w:tabs>
          <w:tab w:leader="none" w:pos="1157"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8"/>
          <w:szCs w:val="18"/>
          <w:color w:val="auto"/>
        </w:rPr>
      </w:pPr>
    </w:p>
    <w:p>
      <w:pPr>
        <w:ind w:left="1140" w:right="160" w:hanging="565"/>
        <w:spacing w:after="0" w:line="268" w:lineRule="auto"/>
        <w:tabs>
          <w:tab w:leader="none" w:pos="1144"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Arial" w:cs="Arial" w:eastAsia="Arial" w:hAnsi="Arial"/>
          <w:sz w:val="18"/>
          <w:szCs w:val="18"/>
          <w:color w:val="auto"/>
        </w:rPr>
      </w:pPr>
    </w:p>
    <w:p>
      <w:pPr>
        <w:ind w:left="1140" w:right="80" w:hanging="565"/>
        <w:spacing w:after="0" w:line="268" w:lineRule="auto"/>
        <w:tabs>
          <w:tab w:leader="none" w:pos="1161"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9" w:lineRule="exact"/>
        <w:rPr>
          <w:rFonts w:ascii="Arial" w:cs="Arial" w:eastAsia="Arial" w:hAnsi="Arial"/>
          <w:sz w:val="18"/>
          <w:szCs w:val="18"/>
          <w:color w:val="auto"/>
        </w:rPr>
      </w:pPr>
    </w:p>
    <w:p>
      <w:pPr>
        <w:ind w:left="1140" w:right="220" w:hanging="565"/>
        <w:spacing w:after="0" w:line="268" w:lineRule="auto"/>
        <w:tabs>
          <w:tab w:leader="none" w:pos="1144"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580" w:right="260" w:hanging="410"/>
        <w:spacing w:after="0" w:line="268" w:lineRule="auto"/>
        <w:tabs>
          <w:tab w:leader="none" w:pos="52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5" w:lineRule="exact"/>
        <w:rPr>
          <w:rFonts w:ascii="Arial" w:cs="Arial" w:eastAsia="Arial" w:hAnsi="Arial"/>
          <w:sz w:val="18"/>
          <w:szCs w:val="18"/>
          <w:color w:val="auto"/>
        </w:rPr>
      </w:pPr>
    </w:p>
    <w:p>
      <w:pPr>
        <w:ind w:left="1140" w:right="60" w:hanging="565"/>
        <w:spacing w:after="0" w:line="268" w:lineRule="auto"/>
        <w:tabs>
          <w:tab w:leader="none" w:pos="1157"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9" w:lineRule="exact"/>
        <w:rPr>
          <w:rFonts w:ascii="Arial" w:cs="Arial" w:eastAsia="Arial" w:hAnsi="Arial"/>
          <w:sz w:val="18"/>
          <w:szCs w:val="18"/>
          <w:color w:val="auto"/>
        </w:rPr>
      </w:pPr>
    </w:p>
    <w:p>
      <w:pPr>
        <w:ind w:left="1140" w:right="940" w:hanging="565"/>
        <w:spacing w:after="0" w:line="287" w:lineRule="auto"/>
        <w:tabs>
          <w:tab w:leader="none" w:pos="1144"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61"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/s/ Christopher J. Senner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17780</wp:posOffset>
            </wp:positionV>
            <wp:extent cx="310324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16" w:lineRule="exact"/>
        <w:rPr>
          <w:sz w:val="20"/>
          <w:szCs w:val="20"/>
          <w:color w:val="auto"/>
        </w:rPr>
      </w:pPr>
    </w:p>
    <w:p>
      <w:pPr>
        <w:ind w:left="7860"/>
        <w:spacing w:after="0"/>
        <w:rPr>
          <w:sz w:val="20"/>
          <w:szCs w:val="20"/>
          <w:color w:val="auto"/>
        </w:rPr>
      </w:pPr>
      <w:r>
        <w:rPr>
          <w:rFonts w:ascii="Arial" w:cs="Arial" w:eastAsia="Arial" w:hAnsi="Arial"/>
          <w:sz w:val="18"/>
          <w:szCs w:val="18"/>
          <w:b w:val="1"/>
          <w:bCs w:val="1"/>
          <w:color w:val="auto"/>
        </w:rPr>
        <w:t>Christopher J. Senner</w:t>
      </w:r>
    </w:p>
    <w:p>
      <w:pPr>
        <w:spacing w:after="0" w:line="9"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Executive Vice President and Chief Financial Officer</w:t>
      </w:r>
    </w:p>
    <w:p>
      <w:pPr>
        <w:ind w:left="6380"/>
        <w:spacing w:after="0"/>
        <w:rPr>
          <w:sz w:val="20"/>
          <w:szCs w:val="20"/>
          <w:color w:val="auto"/>
        </w:rPr>
      </w:pPr>
      <w:r>
        <w:rPr>
          <w:rFonts w:ascii="Arial" w:cs="Arial" w:eastAsia="Arial" w:hAnsi="Arial"/>
          <w:sz w:val="18"/>
          <w:szCs w:val="18"/>
          <w:color w:val="auto"/>
        </w:rPr>
        <w:t>(Principal Financial Officer)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Date: May 5, 2026</w:t>
      </w:r>
    </w:p>
    <w:p>
      <w:pPr>
        <w:sectPr>
          <w:pgSz w:w="11900" w:h="16838" w:orient="portrait"/>
          <w:cols w:equalWidth="0" w:num="1">
            <w:col w:w="11240"/>
          </w:cols>
          <w:pgMar w:left="320" w:top="1093"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PRINCIPAL EXECUTIVE OFFICER AND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3" w:lineRule="exact"/>
        <w:rPr>
          <w:sz w:val="20"/>
          <w:szCs w:val="20"/>
          <w:color w:val="auto"/>
        </w:rPr>
      </w:pPr>
    </w:p>
    <w:p>
      <w:pPr>
        <w:jc w:val="both"/>
        <w:ind w:right="160" w:firstLine="648"/>
        <w:spacing w:after="0" w:line="268"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Michael M. Morrissey, Ph.D., the President and Chief Executive Officer of Exelixis, Inc. (the “Company”), and Christopher J. Senner, the Executive Vice President and Chief Financial Officer of the Company, each hereby certifies that, to the best of his knowledge:</w:t>
      </w:r>
    </w:p>
    <w:p>
      <w:pPr>
        <w:spacing w:after="0" w:line="49" w:lineRule="exact"/>
        <w:rPr>
          <w:sz w:val="20"/>
          <w:szCs w:val="20"/>
          <w:color w:val="auto"/>
        </w:rPr>
      </w:pPr>
    </w:p>
    <w:p>
      <w:pPr>
        <w:ind w:left="980" w:right="80" w:hanging="243"/>
        <w:spacing w:after="0" w:line="268" w:lineRule="auto"/>
        <w:tabs>
          <w:tab w:leader="none" w:pos="981"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period ended April 3, 2026, to which this Certification is attached as Exhibit 32.1 (the “Report”), fully complies with the requirements of Section 13(a) or Section 15(d) of the Securities Exchange Act of 1934, as amended; and</w:t>
      </w:r>
    </w:p>
    <w:p>
      <w:pPr>
        <w:spacing w:after="0" w:line="35" w:lineRule="exact"/>
        <w:rPr>
          <w:rFonts w:ascii="Arial" w:cs="Arial" w:eastAsia="Arial" w:hAnsi="Arial"/>
          <w:sz w:val="18"/>
          <w:szCs w:val="18"/>
          <w:color w:val="auto"/>
        </w:rPr>
      </w:pPr>
    </w:p>
    <w:p>
      <w:pPr>
        <w:ind w:left="980" w:right="180" w:hanging="243"/>
        <w:spacing w:after="0" w:line="287" w:lineRule="auto"/>
        <w:tabs>
          <w:tab w:leader="none" w:pos="981"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have set their hands hereto as of the 5th day of May 2026.</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260" w:type="dxa"/>
            <w:vAlign w:val="bottom"/>
            <w:gridSpan w:val="2"/>
          </w:tcPr>
          <w:p>
            <w:pPr>
              <w:jc w:val="center"/>
              <w:ind w:right="1280"/>
              <w:spacing w:after="0"/>
              <w:rPr>
                <w:sz w:val="20"/>
                <w:szCs w:val="20"/>
                <w:color w:val="auto"/>
              </w:rPr>
            </w:pPr>
            <w:r>
              <w:rPr>
                <w:rFonts w:ascii="Arial" w:cs="Arial" w:eastAsia="Arial" w:hAnsi="Arial"/>
                <w:sz w:val="18"/>
                <w:szCs w:val="18"/>
                <w:color w:val="auto"/>
                <w:w w:val="99"/>
              </w:rPr>
              <w:t>/s/ Michael M. Morrissey</w:t>
            </w:r>
          </w:p>
        </w:tc>
        <w:tc>
          <w:tcPr>
            <w:tcW w:w="4980" w:type="dxa"/>
            <w:vAlign w:val="bottom"/>
          </w:tcPr>
          <w:p>
            <w:pPr>
              <w:jc w:val="center"/>
              <w:spacing w:after="0"/>
              <w:rPr>
                <w:sz w:val="20"/>
                <w:szCs w:val="20"/>
                <w:color w:val="auto"/>
              </w:rPr>
            </w:pPr>
            <w:r>
              <w:rPr>
                <w:rFonts w:ascii="Arial" w:cs="Arial" w:eastAsia="Arial" w:hAnsi="Arial"/>
                <w:sz w:val="18"/>
                <w:szCs w:val="18"/>
                <w:color w:val="auto"/>
                <w:w w:val="99"/>
              </w:rPr>
              <w:t>/s/ Christopher J. Senner</w:t>
            </w:r>
          </w:p>
        </w:tc>
      </w:tr>
      <w:tr>
        <w:trPr>
          <w:trHeight w:val="218"/>
        </w:trPr>
        <w:tc>
          <w:tcPr>
            <w:tcW w:w="49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Michael M. Morrissey, Ph.D.</w:t>
            </w:r>
          </w:p>
        </w:tc>
        <w:tc>
          <w:tcPr>
            <w:tcW w:w="1280" w:type="dxa"/>
            <w:vAlign w:val="bottom"/>
          </w:tcPr>
          <w:p>
            <w:pPr>
              <w:spacing w:after="0"/>
              <w:rPr>
                <w:sz w:val="18"/>
                <w:szCs w:val="18"/>
                <w:color w:val="auto"/>
              </w:rPr>
            </w:pPr>
          </w:p>
        </w:tc>
        <w:tc>
          <w:tcPr>
            <w:tcW w:w="49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Christopher J. Senner</w:t>
            </w:r>
          </w:p>
        </w:tc>
      </w:tr>
      <w:tr>
        <w:trPr>
          <w:trHeight w:val="189"/>
        </w:trPr>
        <w:tc>
          <w:tcPr>
            <w:tcW w:w="626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President and Chief Executive Officer</w:t>
            </w:r>
          </w:p>
        </w:tc>
        <w:tc>
          <w:tcPr>
            <w:tcW w:w="4980" w:type="dxa"/>
            <w:vAlign w:val="bottom"/>
          </w:tcPr>
          <w:p>
            <w:pPr>
              <w:ind w:left="20"/>
              <w:spacing w:after="0" w:line="189" w:lineRule="exact"/>
              <w:rPr>
                <w:sz w:val="20"/>
                <w:szCs w:val="20"/>
                <w:color w:val="auto"/>
              </w:rPr>
            </w:pPr>
            <w:r>
              <w:rPr>
                <w:rFonts w:ascii="Arial" w:cs="Arial" w:eastAsia="Arial" w:hAnsi="Arial"/>
                <w:sz w:val="18"/>
                <w:szCs w:val="18"/>
                <w:color w:val="auto"/>
              </w:rPr>
              <w:t>Executive Vice President and Chief Financial Officer</w:t>
            </w:r>
          </w:p>
        </w:tc>
      </w:tr>
      <w:tr>
        <w:trPr>
          <w:trHeight w:val="239"/>
        </w:trPr>
        <w:tc>
          <w:tcPr>
            <w:tcW w:w="6260" w:type="dxa"/>
            <w:vAlign w:val="bottom"/>
            <w:gridSpan w:val="2"/>
          </w:tcPr>
          <w:p>
            <w:pPr>
              <w:ind w:left="20"/>
              <w:spacing w:after="0"/>
              <w:rPr>
                <w:sz w:val="20"/>
                <w:szCs w:val="20"/>
                <w:color w:val="auto"/>
              </w:rPr>
            </w:pPr>
            <w:r>
              <w:rPr>
                <w:rFonts w:ascii="Arial" w:cs="Arial" w:eastAsia="Arial" w:hAnsi="Arial"/>
                <w:sz w:val="18"/>
                <w:szCs w:val="18"/>
                <w:color w:val="auto"/>
              </w:rPr>
              <w:t>(Principal Executive Officer)</w:t>
            </w:r>
          </w:p>
        </w:tc>
        <w:tc>
          <w:tcPr>
            <w:tcW w:w="498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10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endash "/>
      <w:numFmt w:val="bullet"/>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59" Type="http://schemas.openxmlformats.org/officeDocument/2006/relationships/hyperlink" Target="https://www.sec.gov/Archives/edgar/data/939767/000093976721000076/exel20210526ex31restatedce.htm" TargetMode="External"/><Relationship Id="rId60" Type="http://schemas.openxmlformats.org/officeDocument/2006/relationships/hyperlink" Target="https://www.sec.gov/Archives/edgar/data/939767/000093976724000058/exel20240331exhibit32.htm" TargetMode="External"/><Relationship Id="rId61" Type="http://schemas.openxmlformats.org/officeDocument/2006/relationships/hyperlink" Target="https://www.sec.gov/Archives/edgar/data/939767/000093976723000127/exhibit31amendedandrestat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2026-05-05T15:26:06Z</dcterms:created>
  <dcterms:modified xsi:type="dcterms:W3CDTF">2026-05-05T15:26:06Z</dcterms:modified>
</cp:coreProperties>
</file>