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20"/>
        <w:spacing w:after="0"/>
        <w:rPr>
          <w:sz w:val="20"/>
          <w:szCs w:val="20"/>
          <w:color w:val="auto"/>
        </w:rPr>
      </w:pPr>
      <w:r>
        <w:rPr>
          <w:rFonts w:ascii="Courier New" w:cs="Courier New" w:eastAsia="Courier New" w:hAnsi="Courier New"/>
          <w:sz w:val="18"/>
          <w:szCs w:val="18"/>
          <w:color w:val="auto"/>
        </w:rPr>
        <w:t>AS FILED WITH THE SECURITIES AND EXCHANGE COMMISSION ON DECEMBER 28, 2001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SCHEDULE TO</w:t>
      </w:r>
    </w:p>
    <w:p>
      <w:pPr>
        <w:spacing w:after="0" w:line="207"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TENDER OFFER STATEMENT UNDER SECTION 14(d)(1) OR 13(e)(1) OF THE SECURITIES EXCHANGE ACT OF 1934 (AMENDMENT NO. 4)</w:t>
      </w:r>
    </w:p>
    <w:p>
      <w:pPr>
        <w:spacing w:after="0" w:line="397"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GENOMICA CORPORATION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Subject Company (Issuer))</w:t>
      </w:r>
    </w:p>
    <w:p>
      <w:pPr>
        <w:spacing w:after="0" w:line="202"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EXELIXIS, INC.</w:t>
      </w:r>
    </w:p>
    <w:p>
      <w:pPr>
        <w:ind w:left="4120"/>
        <w:spacing w:after="0" w:line="238" w:lineRule="auto"/>
        <w:rPr>
          <w:sz w:val="20"/>
          <w:szCs w:val="20"/>
          <w:color w:val="auto"/>
        </w:rPr>
      </w:pPr>
      <w:r>
        <w:rPr>
          <w:rFonts w:ascii="Courier New" w:cs="Courier New" w:eastAsia="Courier New" w:hAnsi="Courier New"/>
          <w:sz w:val="18"/>
          <w:szCs w:val="18"/>
          <w:color w:val="auto"/>
        </w:rPr>
        <w:t>and</w:t>
      </w:r>
    </w:p>
    <w:p>
      <w:pPr>
        <w:jc w:val="center"/>
        <w:ind w:right="1659"/>
        <w:spacing w:after="0"/>
        <w:rPr>
          <w:sz w:val="20"/>
          <w:szCs w:val="20"/>
          <w:color w:val="auto"/>
        </w:rPr>
      </w:pPr>
      <w:r>
        <w:rPr>
          <w:rFonts w:ascii="Courier New" w:cs="Courier New" w:eastAsia="Courier New" w:hAnsi="Courier New"/>
          <w:sz w:val="18"/>
          <w:szCs w:val="18"/>
          <w:color w:val="auto"/>
        </w:rPr>
        <w:t>BLUEGREEN ACQUISITION SUB, INC.</w:t>
      </w:r>
    </w:p>
    <w:p>
      <w:pPr>
        <w:jc w:val="center"/>
        <w:ind w:right="1779"/>
        <w:spacing w:after="0" w:line="237" w:lineRule="auto"/>
        <w:rPr>
          <w:sz w:val="20"/>
          <w:szCs w:val="20"/>
          <w:color w:val="auto"/>
        </w:rPr>
      </w:pPr>
      <w:r>
        <w:rPr>
          <w:rFonts w:ascii="Courier New" w:cs="Courier New" w:eastAsia="Courier New" w:hAnsi="Courier New"/>
          <w:sz w:val="18"/>
          <w:szCs w:val="18"/>
          <w:color w:val="auto"/>
        </w:rPr>
        <w:t>(Offerors)</w:t>
      </w:r>
    </w:p>
    <w:p>
      <w:pPr>
        <w:spacing w:after="0" w:line="202"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(Name of Filing Persons (identifying status as</w:t>
      </w:r>
    </w:p>
    <w:p>
      <w:pPr>
        <w:ind w:left="2540"/>
        <w:spacing w:after="0" w:line="238" w:lineRule="auto"/>
        <w:rPr>
          <w:sz w:val="20"/>
          <w:szCs w:val="20"/>
          <w:color w:val="auto"/>
        </w:rPr>
      </w:pPr>
      <w:r>
        <w:rPr>
          <w:rFonts w:ascii="Courier New" w:cs="Courier New" w:eastAsia="Courier New" w:hAnsi="Courier New"/>
          <w:sz w:val="18"/>
          <w:szCs w:val="18"/>
          <w:color w:val="auto"/>
        </w:rPr>
        <w:t>offeror, issuer or other person))</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 PAR VALUE $0.001 PER SHARE</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37243Q10</w:t>
      </w:r>
    </w:p>
    <w:p>
      <w:pPr>
        <w:jc w:val="center"/>
        <w:ind w:right="1659"/>
        <w:spacing w:after="0" w:line="238" w:lineRule="auto"/>
        <w:rPr>
          <w:sz w:val="20"/>
          <w:szCs w:val="20"/>
          <w:color w:val="auto"/>
        </w:rPr>
      </w:pPr>
      <w:r>
        <w:rPr>
          <w:rFonts w:ascii="Courier New" w:cs="Courier New" w:eastAsia="Courier New" w:hAnsi="Courier New"/>
          <w:sz w:val="18"/>
          <w:szCs w:val="18"/>
          <w:color w:val="auto"/>
        </w:rPr>
        <w:t>(CUSIP Number of Class of Securities)</w:t>
      </w:r>
    </w:p>
    <w:p>
      <w:pPr>
        <w:spacing w:after="0" w:line="202"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GEORGE A. SCANGOS, PH.D.</w:t>
      </w:r>
    </w:p>
    <w:p>
      <w:pPr>
        <w:ind w:left="2320"/>
        <w:spacing w:after="0" w:line="238" w:lineRule="auto"/>
        <w:rPr>
          <w:sz w:val="20"/>
          <w:szCs w:val="20"/>
          <w:color w:val="auto"/>
        </w:rPr>
      </w:pPr>
      <w:r>
        <w:rPr>
          <w:rFonts w:ascii="Courier New" w:cs="Courier New" w:eastAsia="Courier New" w:hAnsi="Courier New"/>
          <w:sz w:val="18"/>
          <w:szCs w:val="18"/>
          <w:color w:val="auto"/>
        </w:rPr>
        <w:t>PRESIDENT AND CHIEF EXECUTIVE OFFICER</w:t>
      </w:r>
    </w:p>
    <w:p>
      <w:pPr>
        <w:ind w:left="3480"/>
        <w:spacing w:after="0"/>
        <w:rPr>
          <w:sz w:val="20"/>
          <w:szCs w:val="20"/>
          <w:color w:val="auto"/>
        </w:rPr>
      </w:pPr>
      <w:r>
        <w:rPr>
          <w:rFonts w:ascii="Courier New" w:cs="Courier New" w:eastAsia="Courier New" w:hAnsi="Courier New"/>
          <w:sz w:val="18"/>
          <w:szCs w:val="18"/>
          <w:color w:val="auto"/>
        </w:rPr>
        <w:t>EXELIXIS, INC.</w:t>
      </w:r>
    </w:p>
    <w:p>
      <w:pPr>
        <w:ind w:left="3480"/>
        <w:spacing w:after="0" w:line="237" w:lineRule="auto"/>
        <w:rPr>
          <w:sz w:val="20"/>
          <w:szCs w:val="20"/>
          <w:color w:val="auto"/>
        </w:rPr>
      </w:pPr>
      <w:r>
        <w:rPr>
          <w:rFonts w:ascii="Courier New" w:cs="Courier New" w:eastAsia="Courier New" w:hAnsi="Courier New"/>
          <w:sz w:val="18"/>
          <w:szCs w:val="18"/>
          <w:color w:val="auto"/>
        </w:rPr>
        <w:t>170 HARBOR WAY</w:t>
      </w:r>
    </w:p>
    <w:p>
      <w:pPr>
        <w:ind w:left="3580"/>
        <w:spacing w:after="0" w:line="238" w:lineRule="auto"/>
        <w:rPr>
          <w:sz w:val="20"/>
          <w:szCs w:val="20"/>
          <w:color w:val="auto"/>
        </w:rPr>
      </w:pPr>
      <w:r>
        <w:rPr>
          <w:rFonts w:ascii="Courier New" w:cs="Courier New" w:eastAsia="Courier New" w:hAnsi="Courier New"/>
          <w:sz w:val="18"/>
          <w:szCs w:val="18"/>
          <w:color w:val="auto"/>
        </w:rPr>
        <w:t>P.O. BOX 511</w:t>
      </w:r>
    </w:p>
    <w:p>
      <w:pPr>
        <w:jc w:val="center"/>
        <w:ind w:right="1659"/>
        <w:spacing w:after="0"/>
        <w:rPr>
          <w:sz w:val="20"/>
          <w:szCs w:val="20"/>
          <w:color w:val="auto"/>
        </w:rPr>
      </w:pPr>
      <w:r>
        <w:rPr>
          <w:rFonts w:ascii="Courier New" w:cs="Courier New" w:eastAsia="Courier New" w:hAnsi="Courier New"/>
          <w:sz w:val="18"/>
          <w:szCs w:val="18"/>
          <w:color w:val="auto"/>
        </w:rPr>
        <w:t>SOUTH SAN FRANCISCO, CALIFORNIA 94083</w:t>
      </w:r>
    </w:p>
    <w:p>
      <w:pPr>
        <w:jc w:val="center"/>
        <w:ind w:right="1779"/>
        <w:spacing w:after="0" w:line="237" w:lineRule="auto"/>
        <w:rPr>
          <w:sz w:val="20"/>
          <w:szCs w:val="20"/>
          <w:color w:val="auto"/>
        </w:rPr>
      </w:pPr>
      <w:r>
        <w:rPr>
          <w:rFonts w:ascii="Courier New" w:cs="Courier New" w:eastAsia="Courier New" w:hAnsi="Courier New"/>
          <w:sz w:val="18"/>
          <w:szCs w:val="18"/>
          <w:color w:val="auto"/>
        </w:rPr>
        <w:t>(650) 837-7000</w:t>
      </w:r>
    </w:p>
    <w:p>
      <w:pPr>
        <w:spacing w:after="0" w:line="5" w:lineRule="exact"/>
        <w:rPr>
          <w:sz w:val="24"/>
          <w:szCs w:val="24"/>
          <w:color w:val="auto"/>
        </w:rPr>
      </w:pPr>
    </w:p>
    <w:p>
      <w:pPr>
        <w:jc w:val="center"/>
        <w:ind w:right="1779"/>
        <w:spacing w:after="0" w:line="236" w:lineRule="auto"/>
        <w:rPr>
          <w:sz w:val="20"/>
          <w:szCs w:val="20"/>
          <w:color w:val="auto"/>
        </w:rPr>
      </w:pPr>
      <w:r>
        <w:rPr>
          <w:rFonts w:ascii="Courier New" w:cs="Courier New" w:eastAsia="Courier New" w:hAnsi="Courier New"/>
          <w:sz w:val="18"/>
          <w:szCs w:val="18"/>
          <w:color w:val="auto"/>
        </w:rPr>
        <w:t>(Name, address and telephone number of persons authorized to receive notices and communications on behalf of filing persons)</w:t>
      </w:r>
    </w:p>
    <w:p>
      <w:pPr>
        <w:spacing w:after="0" w:line="200" w:lineRule="exact"/>
        <w:rPr>
          <w:sz w:val="24"/>
          <w:szCs w:val="24"/>
          <w:color w:val="auto"/>
        </w:rPr>
      </w:pPr>
    </w:p>
    <w:p>
      <w:pPr>
        <w:spacing w:after="0" w:line="206"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Copy to:</w:t>
      </w:r>
    </w:p>
    <w:p>
      <w:pPr>
        <w:ind w:left="3160"/>
        <w:spacing w:after="0" w:line="238" w:lineRule="auto"/>
        <w:rPr>
          <w:sz w:val="20"/>
          <w:szCs w:val="20"/>
          <w:color w:val="auto"/>
        </w:rPr>
      </w:pPr>
      <w:r>
        <w:rPr>
          <w:rFonts w:ascii="Courier New" w:cs="Courier New" w:eastAsia="Courier New" w:hAnsi="Courier New"/>
          <w:sz w:val="18"/>
          <w:szCs w:val="18"/>
          <w:color w:val="auto"/>
        </w:rPr>
        <w:t>BRUCE W. JENETT, ESQ.</w:t>
      </w:r>
    </w:p>
    <w:p>
      <w:pPr>
        <w:ind w:left="2440"/>
        <w:spacing w:after="0"/>
        <w:rPr>
          <w:sz w:val="20"/>
          <w:szCs w:val="20"/>
          <w:color w:val="auto"/>
        </w:rPr>
      </w:pPr>
      <w:r>
        <w:rPr>
          <w:rFonts w:ascii="Courier New" w:cs="Courier New" w:eastAsia="Courier New" w:hAnsi="Courier New"/>
          <w:sz w:val="18"/>
          <w:szCs w:val="18"/>
          <w:color w:val="auto"/>
        </w:rPr>
        <w:t>HELLER EHRMAN WHITE &amp; MCAULIFFE LLP</w:t>
      </w:r>
    </w:p>
    <w:p>
      <w:pPr>
        <w:ind w:left="3160"/>
        <w:spacing w:after="0" w:line="237" w:lineRule="auto"/>
        <w:rPr>
          <w:sz w:val="20"/>
          <w:szCs w:val="20"/>
          <w:color w:val="auto"/>
        </w:rPr>
      </w:pPr>
      <w:r>
        <w:rPr>
          <w:rFonts w:ascii="Courier New" w:cs="Courier New" w:eastAsia="Courier New" w:hAnsi="Courier New"/>
          <w:sz w:val="18"/>
          <w:szCs w:val="18"/>
          <w:color w:val="auto"/>
        </w:rPr>
        <w:t>275 Middlefield Road</w:t>
      </w:r>
    </w:p>
    <w:p>
      <w:pPr>
        <w:ind w:left="2740"/>
        <w:spacing w:after="0" w:line="238" w:lineRule="auto"/>
        <w:rPr>
          <w:sz w:val="20"/>
          <w:szCs w:val="20"/>
          <w:color w:val="auto"/>
        </w:rPr>
      </w:pPr>
      <w:r>
        <w:rPr>
          <w:rFonts w:ascii="Courier New" w:cs="Courier New" w:eastAsia="Courier New" w:hAnsi="Courier New"/>
          <w:sz w:val="18"/>
          <w:szCs w:val="18"/>
          <w:color w:val="auto"/>
        </w:rPr>
        <w:t>Menlo Park, California 94025</w:t>
      </w:r>
    </w:p>
    <w:p>
      <w:pPr>
        <w:spacing w:after="0" w:line="202"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740" w:right="1879" w:hanging="732"/>
        <w:spacing w:after="0" w:line="235" w:lineRule="auto"/>
        <w:tabs>
          <w:tab w:leader="none" w:pos="213"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box if the filing relates solely to preliminary communications made before the commencement of a tender offer:</w:t>
      </w:r>
    </w:p>
    <w:p>
      <w:pPr>
        <w:spacing w:after="0" w:line="208" w:lineRule="exact"/>
        <w:rPr>
          <w:sz w:val="24"/>
          <w:szCs w:val="24"/>
          <w:color w:val="auto"/>
        </w:rPr>
      </w:pPr>
    </w:p>
    <w:p>
      <w:pPr>
        <w:ind w:right="1879" w:firstLine="737"/>
        <w:spacing w:after="0" w:line="235" w:lineRule="auto"/>
        <w:rPr>
          <w:sz w:val="20"/>
          <w:szCs w:val="20"/>
          <w:color w:val="auto"/>
        </w:rPr>
      </w:pPr>
      <w:r>
        <w:rPr>
          <w:rFonts w:ascii="Courier New" w:cs="Courier New" w:eastAsia="Courier New" w:hAnsi="Courier New"/>
          <w:sz w:val="18"/>
          <w:szCs w:val="18"/>
          <w:color w:val="auto"/>
        </w:rPr>
        <w:t>Check the appropriate boxes below to designate any transactions to which the statement relates:</w:t>
      </w:r>
    </w:p>
    <w:p>
      <w:pPr>
        <w:spacing w:after="0" w:line="203" w:lineRule="exact"/>
        <w:rPr>
          <w:sz w:val="24"/>
          <w:szCs w:val="24"/>
          <w:color w:val="auto"/>
        </w:rPr>
      </w:pPr>
    </w:p>
    <w:p>
      <w:pPr>
        <w:ind w:left="1580" w:hanging="835"/>
        <w:spacing w:after="0"/>
        <w:tabs>
          <w:tab w:leader="none" w:pos="15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third-party tender offer subject to Rule 14d-1.</w:t>
      </w:r>
    </w:p>
    <w:p>
      <w:pPr>
        <w:spacing w:after="0" w:line="201" w:lineRule="exact"/>
        <w:rPr>
          <w:rFonts w:ascii="Courier New" w:cs="Courier New" w:eastAsia="Courier New" w:hAnsi="Courier New"/>
          <w:sz w:val="18"/>
          <w:szCs w:val="18"/>
          <w:color w:val="auto"/>
        </w:rPr>
      </w:pPr>
    </w:p>
    <w:p>
      <w:pPr>
        <w:ind w:left="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issuer tender offer subject to Rule 13e-4.</w:t>
      </w:r>
    </w:p>
    <w:p>
      <w:pPr>
        <w:spacing w:after="0" w:line="201" w:lineRule="exact"/>
        <w:rPr>
          <w:rFonts w:ascii="Courier New" w:cs="Courier New" w:eastAsia="Courier New" w:hAnsi="Courier New"/>
          <w:sz w:val="18"/>
          <w:szCs w:val="18"/>
          <w:color w:val="auto"/>
        </w:rPr>
      </w:pPr>
    </w:p>
    <w:p>
      <w:pPr>
        <w:ind w:left="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going-private transaction subject to Rule 13e-3.</w:t>
      </w:r>
    </w:p>
    <w:p>
      <w:pPr>
        <w:spacing w:after="0" w:line="201" w:lineRule="exact"/>
        <w:rPr>
          <w:rFonts w:ascii="Courier New" w:cs="Courier New" w:eastAsia="Courier New" w:hAnsi="Courier New"/>
          <w:sz w:val="18"/>
          <w:szCs w:val="18"/>
          <w:color w:val="auto"/>
        </w:rPr>
      </w:pPr>
    </w:p>
    <w:p>
      <w:pPr>
        <w:ind w:left="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amendment to Schedule 13D under Rule 13d-2.</w:t>
      </w:r>
    </w:p>
    <w:p>
      <w:pPr>
        <w:spacing w:after="0" w:line="207" w:lineRule="exact"/>
        <w:rPr>
          <w:sz w:val="24"/>
          <w:szCs w:val="24"/>
          <w:color w:val="auto"/>
        </w:rPr>
      </w:pPr>
    </w:p>
    <w:p>
      <w:pPr>
        <w:ind w:right="1879" w:firstLine="737"/>
        <w:spacing w:after="0" w:line="235" w:lineRule="auto"/>
        <w:rPr>
          <w:sz w:val="20"/>
          <w:szCs w:val="20"/>
          <w:color w:val="auto"/>
        </w:rPr>
      </w:pPr>
      <w:r>
        <w:rPr>
          <w:rFonts w:ascii="Courier New" w:cs="Courier New" w:eastAsia="Courier New" w:hAnsi="Courier New"/>
          <w:sz w:val="18"/>
          <w:szCs w:val="18"/>
          <w:color w:val="auto"/>
        </w:rPr>
        <w:t>Check the following box if the filing is a final amendment reporting the results of the tender offer: [ ]</w:t>
      </w:r>
    </w:p>
    <w:p>
      <w:pPr>
        <w:sectPr>
          <w:pgSz w:w="11900" w:h="16838" w:orient="portrait"/>
          <w:cols w:equalWidth="0" w:num="1">
            <w:col w:w="10219"/>
          </w:cols>
          <w:pgMar w:left="240" w:top="649" w:right="1440" w:bottom="431"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344" w:right="1440" w:bottom="1440" w:gutter="0" w:footer="0" w:header="0"/>
        </w:sectPr>
      </w:pPr>
    </w:p>
    <w:bookmarkStart w:id="2" w:name="page3"/>
    <w:bookmarkEnd w:id="2"/>
    <w:p>
      <w:pPr>
        <w:ind w:right="1779" w:firstLine="843"/>
        <w:spacing w:after="0" w:line="237" w:lineRule="auto"/>
        <w:rPr>
          <w:sz w:val="20"/>
          <w:szCs w:val="20"/>
          <w:color w:val="auto"/>
        </w:rPr>
      </w:pPr>
      <w:r>
        <w:rPr>
          <w:rFonts w:ascii="Courier New" w:cs="Courier New" w:eastAsia="Courier New" w:hAnsi="Courier New"/>
          <w:sz w:val="18"/>
          <w:szCs w:val="18"/>
          <w:color w:val="auto"/>
        </w:rPr>
        <w:t>This Amendment No. 4 amends and supplements the Tender Offer Statement on Schedule TO ("Schedule TO") filed by Exelixis, Inc., a Delaware corporation ("Exelixis"), and Bluegreen Acquisition Sub, Inc., a Delaware corporation and a wholly owned subsidiary of Exelixis ("Merger Sub"). This Schedule TO relates to the offer by Merger Sub to exchange a portion of a share of Exelixis common stock, par value $0.001 per share, for each outstanding share of common stock, par value $0.001 per share, of Genomica Corporation, a Delaware corporation ("Genomica"), other than those owned by Exelixis or its subsidiaries, based on the exchange ratio described in the Prospectus and the related Letter of Transmittal referenced below (which, together with any amendments or supplements thereto, collectively constitute the "Offer").</w:t>
      </w:r>
    </w:p>
    <w:p>
      <w:pPr>
        <w:spacing w:after="0" w:line="216" w:lineRule="exact"/>
        <w:rPr>
          <w:sz w:val="20"/>
          <w:szCs w:val="20"/>
          <w:color w:val="auto"/>
        </w:rPr>
      </w:pPr>
    </w:p>
    <w:p>
      <w:pPr>
        <w:ind w:right="1779" w:firstLine="843"/>
        <w:spacing w:after="0" w:line="271" w:lineRule="auto"/>
        <w:rPr>
          <w:sz w:val="20"/>
          <w:szCs w:val="20"/>
          <w:color w:val="auto"/>
        </w:rPr>
      </w:pPr>
      <w:r>
        <w:rPr>
          <w:rFonts w:ascii="Courier New" w:cs="Courier New" w:eastAsia="Courier New" w:hAnsi="Courier New"/>
          <w:sz w:val="16"/>
          <w:szCs w:val="16"/>
          <w:color w:val="auto"/>
        </w:rPr>
        <w:t>The Offer is made pursuant to an Agreement and Plan of Merger and Reorganization, dated as of November 19, 2001 by and among Exelixis, Merger Sub and Genomica. In connection with the Offer, Exelixis has filed a registration statement with the Securities and Exchange Commission on Form S-4, as amended, on December 28, 2001 (the "Registration Statement"). The terms and conditions of the Offer are set forth in the prospectus (the "Prospectus"), which is part of the Registration Statement and the related Letter of Transmittal, which are Exhibits (a)(1) and (a)(2) to this Schedule TO.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ITEMS 1 TO 11.</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All of the information in the Prospectus and the related Letter of Transmittal, and any prospectus supplement or other amendment thereto related to the Offer hereafter filed with the Securities and Exchange Commission by Exelixis and Merger Sub, is hereby incorporated by reference in answer to Items 1 through 11 of this Schedule TO.</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11. ADDITIONAL INFORMATION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Item 11 is hereby amended and supplemented as follows:</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On December 26, 2001, Exelixis issued a press release announcing that on December 26, 2001, it fixed the Exelixis common stock price for use in computing the exchange ratio for the Offer. The press release is contained in Exhibit (a)(11) of this Schedule TO and the information set forth in the press release is incorporated herein by reference.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12. MATERIAL TO BE FILED AS EXHIBITS.</w:t>
      </w:r>
    </w:p>
    <w:p>
      <w:pPr>
        <w:spacing w:after="0" w:line="207" w:lineRule="exact"/>
        <w:rPr>
          <w:sz w:val="20"/>
          <w:szCs w:val="20"/>
          <w:color w:val="auto"/>
        </w:rPr>
      </w:pPr>
    </w:p>
    <w:p>
      <w:pPr>
        <w:ind w:left="1700" w:right="1999" w:hanging="849"/>
        <w:spacing w:after="0" w:line="236" w:lineRule="auto"/>
        <w:tabs>
          <w:tab w:leader="none" w:pos="1279"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(1) Prospectus dated December 28, 2001 (incorporated by reference from the Registration Statement, as amended, filed on December 28, 2001).</w:t>
      </w:r>
    </w:p>
    <w:p>
      <w:pPr>
        <w:spacing w:after="0" w:line="209" w:lineRule="exact"/>
        <w:rPr>
          <w:sz w:val="20"/>
          <w:szCs w:val="20"/>
          <w:color w:val="auto"/>
        </w:rPr>
      </w:pPr>
    </w:p>
    <w:p>
      <w:pPr>
        <w:ind w:left="1700" w:right="1999" w:hanging="842"/>
        <w:spacing w:after="0" w:line="236" w:lineRule="auto"/>
        <w:rPr>
          <w:sz w:val="20"/>
          <w:szCs w:val="20"/>
          <w:color w:val="auto"/>
        </w:rPr>
      </w:pPr>
      <w:r>
        <w:rPr>
          <w:rFonts w:ascii="Courier New" w:cs="Courier New" w:eastAsia="Courier New" w:hAnsi="Courier New"/>
          <w:sz w:val="18"/>
          <w:szCs w:val="18"/>
          <w:color w:val="auto"/>
        </w:rPr>
        <w:t>(a)(11) Press Release issued by Exelixis on December 26, 2001 (incorporated by reference from the filing by Exelixis on Form 425 on December 27,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3" w:right="1440" w:bottom="1440" w:gutter="0" w:footer="0" w:header="0"/>
        </w:sectPr>
      </w:pPr>
    </w:p>
    <w:bookmarkStart w:id="3" w:name="page4"/>
    <w:bookmarkEnd w:id="3"/>
    <w:p>
      <w:pPr>
        <w:jc w:val="both"/>
        <w:ind w:right="1879" w:firstLine="843"/>
        <w:spacing w:after="0" w:line="290" w:lineRule="auto"/>
        <w:rPr>
          <w:sz w:val="20"/>
          <w:szCs w:val="20"/>
          <w:color w:val="auto"/>
        </w:rPr>
      </w:pPr>
      <w:r>
        <w:rPr>
          <w:rFonts w:ascii="Courier New" w:cs="Courier New" w:eastAsia="Courier New" w:hAnsi="Courier New"/>
          <w:sz w:val="16"/>
          <w:szCs w:val="16"/>
          <w:color w:val="auto"/>
        </w:rPr>
        <w:t>After due inquiry and to the best of my knowledge and belief, I certify that the information set forth in this statement is true, complete and correct.</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Dated: December 27, 2001</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EXELIXIS, INC.</w:t>
      </w:r>
    </w:p>
    <w:p>
      <w:pPr>
        <w:spacing w:after="0" w:line="201"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8"/>
          <w:szCs w:val="18"/>
          <w:color w:val="auto"/>
        </w:rPr>
        <w:t>By: /S/ GLEN Y. SATO</w:t>
      </w:r>
    </w:p>
    <w:p>
      <w:pPr>
        <w:spacing w:after="0" w:line="4"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120"/>
        <w:spacing w:after="0"/>
        <w:tabs>
          <w:tab w:leader="none" w:pos="4840" w:val="left"/>
        </w:tabs>
        <w:rPr>
          <w:sz w:val="20"/>
          <w:szCs w:val="20"/>
          <w:color w:val="auto"/>
        </w:rPr>
      </w:pPr>
      <w:r>
        <w:rPr>
          <w:rFonts w:ascii="Courier New" w:cs="Courier New" w:eastAsia="Courier New" w:hAnsi="Courier New"/>
          <w:sz w:val="18"/>
          <w:szCs w:val="18"/>
          <w:color w:val="auto"/>
        </w:rPr>
        <w:t>Name:</w:t>
        <w:tab/>
        <w:t>Glen Y. Sato</w:t>
      </w:r>
    </w:p>
    <w:p>
      <w:pPr>
        <w:ind w:left="4120"/>
        <w:spacing w:after="0" w:line="238" w:lineRule="auto"/>
        <w:rPr>
          <w:sz w:val="20"/>
          <w:szCs w:val="20"/>
          <w:color w:val="auto"/>
        </w:rPr>
      </w:pPr>
      <w:r>
        <w:rPr>
          <w:rFonts w:ascii="Courier New" w:cs="Courier New" w:eastAsia="Courier New" w:hAnsi="Courier New"/>
          <w:sz w:val="18"/>
          <w:szCs w:val="18"/>
          <w:color w:val="auto"/>
        </w:rPr>
        <w:t>Title: Chief Financial Officer</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BLUEGREEN ACQUISITION SUB, INC.</w:t>
      </w:r>
    </w:p>
    <w:p>
      <w:pPr>
        <w:spacing w:after="0" w:line="201"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8"/>
          <w:szCs w:val="18"/>
          <w:color w:val="auto"/>
        </w:rPr>
        <w:t>By: /S/ GLEN Y. SATO</w:t>
      </w:r>
    </w:p>
    <w:p>
      <w:pPr>
        <w:spacing w:after="0" w:line="4"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120"/>
        <w:spacing w:after="0"/>
        <w:tabs>
          <w:tab w:leader="none" w:pos="4840" w:val="left"/>
        </w:tabs>
        <w:rPr>
          <w:sz w:val="20"/>
          <w:szCs w:val="20"/>
          <w:color w:val="auto"/>
        </w:rPr>
      </w:pPr>
      <w:r>
        <w:rPr>
          <w:rFonts w:ascii="Courier New" w:cs="Courier New" w:eastAsia="Courier New" w:hAnsi="Courier New"/>
          <w:sz w:val="18"/>
          <w:szCs w:val="18"/>
          <w:color w:val="auto"/>
        </w:rPr>
        <w:t>Name:</w:t>
        <w:tab/>
        <w:t>Glen Y. Sato</w:t>
      </w:r>
    </w:p>
    <w:p>
      <w:pPr>
        <w:ind w:left="4120"/>
        <w:spacing w:after="0" w:line="238" w:lineRule="auto"/>
        <w:rPr>
          <w:sz w:val="20"/>
          <w:szCs w:val="20"/>
          <w:color w:val="auto"/>
        </w:rPr>
      </w:pPr>
      <w:r>
        <w:rPr>
          <w:rFonts w:ascii="Courier New" w:cs="Courier New" w:eastAsia="Courier New" w:hAnsi="Courier New"/>
          <w:sz w:val="18"/>
          <w:szCs w:val="18"/>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23" w:right="1440" w:bottom="1440" w:gutter="0" w:footer="0" w:header="0"/>
        </w:sectPr>
      </w:pPr>
    </w:p>
    <w:bookmarkStart w:id="4" w:name="page5"/>
    <w:bookmarkEnd w:id="4"/>
    <w:p>
      <w:pPr>
        <w:ind w:left="3360"/>
        <w:spacing w:after="0"/>
        <w:rPr>
          <w:sz w:val="20"/>
          <w:szCs w:val="20"/>
          <w:color w:val="auto"/>
        </w:rPr>
      </w:pPr>
      <w:r>
        <w:rPr>
          <w:rFonts w:ascii="Courier New" w:cs="Courier New" w:eastAsia="Courier New" w:hAnsi="Courier New"/>
          <w:sz w:val="18"/>
          <w:szCs w:val="18"/>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spacing w:after="0" w:line="238" w:lineRule="auto"/>
        <w:rPr>
          <w:sz w:val="20"/>
          <w:szCs w:val="20"/>
          <w:color w:val="auto"/>
        </w:rPr>
      </w:pPr>
      <w:r>
        <w:rPr>
          <w:rFonts w:ascii="Courier New" w:cs="Courier New" w:eastAsia="Courier New" w:hAnsi="Courier New"/>
          <w:sz w:val="18"/>
          <w:szCs w:val="18"/>
          <w:color w:val="auto"/>
        </w:rPr>
        <w:t>NUMBER</w:t>
      </w: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9" w:lineRule="exact"/>
        <w:rPr>
          <w:sz w:val="20"/>
          <w:szCs w:val="20"/>
          <w:color w:val="auto"/>
        </w:rPr>
      </w:pPr>
    </w:p>
    <w:p>
      <w:pPr>
        <w:jc w:val="both"/>
        <w:ind w:left="1360" w:right="2099" w:hanging="1359"/>
        <w:spacing w:after="0" w:line="236" w:lineRule="auto"/>
        <w:tabs>
          <w:tab w:leader="none" w:pos="1340" w:val="left"/>
        </w:tabs>
        <w:rPr>
          <w:sz w:val="20"/>
          <w:szCs w:val="20"/>
          <w:color w:val="auto"/>
        </w:rPr>
      </w:pPr>
      <w:r>
        <w:rPr>
          <w:rFonts w:ascii="Courier New" w:cs="Courier New" w:eastAsia="Courier New" w:hAnsi="Courier New"/>
          <w:sz w:val="18"/>
          <w:szCs w:val="18"/>
          <w:color w:val="auto"/>
        </w:rPr>
        <w:t>(a)(1)</w:t>
      </w:r>
      <w:r>
        <w:rPr>
          <w:sz w:val="20"/>
          <w:szCs w:val="20"/>
          <w:color w:val="auto"/>
        </w:rPr>
        <w:tab/>
      </w:r>
      <w:r>
        <w:rPr>
          <w:rFonts w:ascii="Courier New" w:cs="Courier New" w:eastAsia="Courier New" w:hAnsi="Courier New"/>
          <w:sz w:val="18"/>
          <w:szCs w:val="18"/>
          <w:color w:val="auto"/>
        </w:rPr>
        <w:t>Prospectus dated December 28, 2001 (incorporated by reference from the Registration Statement, as amended, filed on December 28, 2001).</w:t>
      </w:r>
    </w:p>
    <w:p>
      <w:pPr>
        <w:spacing w:after="0" w:line="209" w:lineRule="exact"/>
        <w:rPr>
          <w:sz w:val="20"/>
          <w:szCs w:val="20"/>
          <w:color w:val="auto"/>
        </w:rPr>
      </w:pPr>
    </w:p>
    <w:p>
      <w:pPr>
        <w:ind w:left="1360" w:right="2619" w:hanging="1359"/>
        <w:spacing w:after="0" w:line="236" w:lineRule="auto"/>
        <w:tabs>
          <w:tab w:leader="none" w:pos="1340" w:val="left"/>
        </w:tabs>
        <w:rPr>
          <w:sz w:val="20"/>
          <w:szCs w:val="20"/>
          <w:color w:val="auto"/>
        </w:rPr>
      </w:pPr>
      <w:r>
        <w:rPr>
          <w:rFonts w:ascii="Courier New" w:cs="Courier New" w:eastAsia="Courier New" w:hAnsi="Courier New"/>
          <w:sz w:val="18"/>
          <w:szCs w:val="18"/>
          <w:color w:val="auto"/>
        </w:rPr>
        <w:t>(a)(11)</w:t>
      </w:r>
      <w:r>
        <w:rPr>
          <w:sz w:val="20"/>
          <w:szCs w:val="20"/>
          <w:color w:val="auto"/>
        </w:rPr>
        <w:tab/>
      </w:r>
      <w:r>
        <w:rPr>
          <w:rFonts w:ascii="Courier New" w:cs="Courier New" w:eastAsia="Courier New" w:hAnsi="Courier New"/>
          <w:sz w:val="18"/>
          <w:szCs w:val="18"/>
          <w:color w:val="auto"/>
        </w:rPr>
        <w:t>Press Release issued by Exelixis on December 26, 2001 (incorporated by reference from the filing by Exelixis on Form 425 on December 27,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4</w:t>
      </w:r>
    </w:p>
    <w:sectPr>
      <w:pgSz w:w="11900" w:h="16838" w:orient="portrait"/>
      <w:cols w:equalWidth="0" w:num="1">
        <w:col w:w="9999"/>
      </w:cols>
      <w:pgMar w:left="46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upperLetter"/>
      <w:start w:val="24"/>
    </w:lvl>
  </w:abstractNum>
  <w:abstractNum w:abstractNumId="2">
    <w:nsid w:val="19495CFF"/>
    <w:multiLevelType w:val="hybridMultilevel"/>
    <w:lvl w:ilvl="0">
      <w:lvlJc w:val="left"/>
      <w:lvlText w:val="(%1)"/>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2019-12-16T06:57:52Z</dcterms:created>
  <dcterms:modified xsi:type="dcterms:W3CDTF">2019-12-16T06:57:52Z</dcterms:modified>
</cp:coreProperties>
</file>