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1"/>
          <w:szCs w:val="21"/>
          <w:b w:val="1"/>
          <w:bCs w:val="1"/>
          <w:color w:val="FF0000"/>
        </w:rPr>
        <w:t>As filed with the Securities and Exchange Commission on July 30, 2001</w:t>
      </w:r>
    </w:p>
    <w:p>
      <w:pPr>
        <w:spacing w:after="0" w:line="30"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21"/>
          <w:szCs w:val="21"/>
          <w:b w:val="1"/>
          <w:bCs w:val="1"/>
          <w:color w:val="FF0000"/>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213360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120650</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REGISTRATION STATEMENT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120650</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38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0000FF"/>
        </w:rPr>
        <w:t>EXELIXIS,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60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1700" w:type="dxa"/>
            <w:vAlign w:val="bottom"/>
          </w:tcPr>
          <w:p>
            <w:pPr>
              <w:spacing w:after="0"/>
              <w:rPr>
                <w:sz w:val="22"/>
                <w:szCs w:val="22"/>
                <w:color w:val="auto"/>
              </w:rPr>
            </w:pPr>
          </w:p>
        </w:tc>
        <w:tc>
          <w:tcPr>
            <w:tcW w:w="4220" w:type="dxa"/>
            <w:vAlign w:val="bottom"/>
            <w:gridSpan w:val="3"/>
          </w:tcPr>
          <w:p>
            <w:pPr>
              <w:jc w:val="right"/>
              <w:ind w:right="1880"/>
              <w:spacing w:after="0"/>
              <w:rPr>
                <w:sz w:val="20"/>
                <w:szCs w:val="20"/>
                <w:color w:val="auto"/>
              </w:rPr>
            </w:pPr>
            <w:r>
              <w:rPr>
                <w:rFonts w:ascii="Times New Roman" w:cs="Times New Roman" w:eastAsia="Times New Roman" w:hAnsi="Times New Roman"/>
                <w:sz w:val="22"/>
                <w:szCs w:val="22"/>
                <w:b w:val="1"/>
                <w:bCs w:val="1"/>
                <w:color w:val="auto"/>
              </w:rPr>
              <w:t>8731</w:t>
            </w:r>
          </w:p>
        </w:tc>
        <w:tc>
          <w:tcPr>
            <w:tcW w:w="2520" w:type="dxa"/>
            <w:vAlign w:val="bottom"/>
            <w:gridSpan w:val="3"/>
          </w:tcPr>
          <w:p>
            <w:pPr>
              <w:jc w:val="center"/>
              <w:ind w:left="222"/>
              <w:spacing w:after="0"/>
              <w:rPr>
                <w:sz w:val="20"/>
                <w:szCs w:val="20"/>
                <w:color w:val="auto"/>
              </w:rPr>
            </w:pPr>
            <w:r>
              <w:rPr>
                <w:rFonts w:ascii="Times New Roman" w:cs="Times New Roman" w:eastAsia="Times New Roman" w:hAnsi="Times New Roman"/>
                <w:sz w:val="22"/>
                <w:szCs w:val="22"/>
                <w:b w:val="1"/>
                <w:bCs w:val="1"/>
                <w:color w:val="auto"/>
                <w:w w:val="97"/>
              </w:rPr>
              <w:t>04-3257395</w:t>
            </w: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tc>
        <w:tc>
          <w:tcPr>
            <w:tcW w:w="42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(Primary Standard Industrial Classification Code</w:t>
            </w:r>
          </w:p>
        </w:tc>
        <w:tc>
          <w:tcPr>
            <w:tcW w:w="2520" w:type="dxa"/>
            <w:vAlign w:val="bottom"/>
            <w:gridSpan w:val="3"/>
          </w:tcPr>
          <w:p>
            <w:pPr>
              <w:jc w:val="center"/>
              <w:ind w:left="222"/>
              <w:spacing w:after="0"/>
              <w:rPr>
                <w:sz w:val="20"/>
                <w:szCs w:val="20"/>
                <w:color w:val="auto"/>
              </w:rPr>
            </w:pPr>
            <w:r>
              <w:rPr>
                <w:rFonts w:ascii="Times New Roman" w:cs="Times New Roman" w:eastAsia="Times New Roman" w:hAnsi="Times New Roman"/>
                <w:sz w:val="18"/>
                <w:szCs w:val="18"/>
                <w:color w:val="auto"/>
                <w:w w:val="97"/>
              </w:rPr>
              <w:t>(I.R.S. Employer Identification</w:t>
            </w:r>
          </w:p>
        </w:tc>
      </w:tr>
      <w:tr>
        <w:trPr>
          <w:trHeight w:val="228"/>
        </w:trPr>
        <w:tc>
          <w:tcPr>
            <w:tcW w:w="37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5"/>
              </w:rPr>
              <w:t>Organization)</w:t>
            </w:r>
          </w:p>
        </w:tc>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Number)</w:t>
            </w:r>
          </w:p>
        </w:tc>
        <w:tc>
          <w:tcPr>
            <w:tcW w:w="90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Number)</w:t>
            </w:r>
          </w:p>
        </w:tc>
      </w:tr>
    </w:tbl>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170 Harbor Way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 Box 511</w:t>
      </w:r>
    </w:p>
    <w:p>
      <w:pPr>
        <w:jc w:val="center"/>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South San Francisco, California</w:t>
      </w:r>
      <w:r>
        <w:rPr>
          <w:sz w:val="20"/>
          <w:szCs w:val="20"/>
          <w:color w:val="auto"/>
        </w:rPr>
        <w:tab/>
      </w:r>
      <w:r>
        <w:rPr>
          <w:rFonts w:ascii="Times New Roman" w:cs="Times New Roman" w:eastAsia="Times New Roman" w:hAnsi="Times New Roman"/>
          <w:sz w:val="21"/>
          <w:szCs w:val="21"/>
          <w:b w:val="1"/>
          <w:bCs w:val="1"/>
          <w:color w:val="auto"/>
        </w:rPr>
        <w:t>94083</w:t>
      </w: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(650) 837-7000</w:t>
      </w: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George A. Scangos, Ph.D.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Exelixis,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170 Harbor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511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837-7000</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ind w:left="4640"/>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to:</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L. Jones, Esq.</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Gianna M. Bosko,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Godward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Palo Alto Square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 El Camino Real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California 94306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843-5000</w:t>
      </w:r>
    </w:p>
    <w:p>
      <w:pPr>
        <w:spacing w:after="0" w:line="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soon as practicable after this registration statement becomes effective.</w:t>
      </w:r>
    </w:p>
    <w:p>
      <w:pPr>
        <w:spacing w:after="0" w:line="20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only securities being registered on this form are being offered pursuant to dividend or interest reinvestment plans, please check the following box. o</w:t>
      </w:r>
    </w:p>
    <w:p>
      <w:pPr>
        <w:spacing w:after="0" w:line="225" w:lineRule="exact"/>
        <w:rPr>
          <w:sz w:val="24"/>
          <w:szCs w:val="24"/>
          <w:color w:val="auto"/>
        </w:rPr>
      </w:pPr>
    </w:p>
    <w:p>
      <w:pPr>
        <w:jc w:val="both"/>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4" w:lineRule="exact"/>
        <w:rPr>
          <w:sz w:val="24"/>
          <w:szCs w:val="24"/>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4" w:lineRule="exact"/>
        <w:rPr>
          <w:sz w:val="24"/>
          <w:szCs w:val="24"/>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delivery of the Prospectus is expected to be made pursuant to Rule 434, please check the following box. o</w:t>
      </w:r>
    </w:p>
    <w:p>
      <w:pPr>
        <w:sectPr>
          <w:pgSz w:w="11900" w:h="16838" w:orient="portrait"/>
          <w:cols w:equalWidth="0" w:num="1">
            <w:col w:w="11420"/>
          </w:cols>
          <w:pgMar w:left="240" w:top="216" w:right="239" w:bottom="0" w:gutter="0" w:footer="0" w:header="0"/>
        </w:sectPr>
      </w:pPr>
    </w:p>
    <w:bookmarkStart w:id="1" w:name="page2"/>
    <w:bookmarkEnd w:id="1"/>
    <w:p>
      <w:pPr>
        <w:ind w:left="348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140970</wp:posOffset>
            </wp:positionV>
            <wp:extent cx="5599430"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9430" cy="522605"/>
                    </a:xfrm>
                    <a:prstGeom prst="rect">
                      <a:avLst/>
                    </a:prstGeom>
                    <a:noFill/>
                  </pic:spPr>
                </pic:pic>
              </a:graphicData>
            </a:graphic>
          </wp:anchor>
        </w:drawing>
      </w:r>
    </w:p>
    <w:p>
      <w:pPr>
        <w:spacing w:after="0" w:line="287"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8"/>
        </w:trPr>
        <w:tc>
          <w:tcPr>
            <w:tcW w:w="20" w:type="dxa"/>
            <w:vAlign w:val="bottom"/>
          </w:tcPr>
          <w:p>
            <w:pPr>
              <w:spacing w:after="0"/>
              <w:rPr>
                <w:sz w:val="15"/>
                <w:szCs w:val="15"/>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Class of Securities to be Registered (1)</w:t>
            </w:r>
          </w:p>
        </w:tc>
        <w:tc>
          <w:tcPr>
            <w:tcW w:w="2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Proposed Maximum Aggregate Offering Price (2)</w:t>
            </w:r>
          </w:p>
        </w:tc>
        <w:tc>
          <w:tcPr>
            <w:tcW w:w="2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Registration Fee</w:t>
            </w:r>
          </w:p>
        </w:tc>
      </w:tr>
      <w:tr>
        <w:trPr>
          <w:trHeight w:val="41"/>
        </w:trPr>
        <w:tc>
          <w:tcPr>
            <w:tcW w:w="20" w:type="dxa"/>
            <w:vAlign w:val="bottom"/>
          </w:tcPr>
          <w:p>
            <w:pPr>
              <w:spacing w:after="0"/>
              <w:rPr>
                <w:sz w:val="3"/>
                <w:szCs w:val="3"/>
                <w:color w:val="auto"/>
              </w:rPr>
            </w:pPr>
          </w:p>
        </w:tc>
        <w:tc>
          <w:tcPr>
            <w:tcW w:w="34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040" w:type="dxa"/>
            <w:vAlign w:val="bottom"/>
            <w:tcBorders>
              <w:bottom w:val="single" w:sz="8" w:color="808080"/>
            </w:tcBorders>
          </w:tcPr>
          <w:p>
            <w:pPr>
              <w:spacing w:after="0"/>
              <w:rPr>
                <w:sz w:val="3"/>
                <w:szCs w:val="3"/>
                <w:color w:val="auto"/>
              </w:rPr>
            </w:pPr>
          </w:p>
        </w:tc>
        <w:tc>
          <w:tcPr>
            <w:tcW w:w="21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Common Stock, par value $.001</w:t>
            </w:r>
          </w:p>
        </w:tc>
        <w:tc>
          <w:tcPr>
            <w:tcW w:w="3060" w:type="dxa"/>
            <w:vAlign w:val="bottom"/>
            <w:gridSpan w:val="2"/>
          </w:tcPr>
          <w:p>
            <w:pPr>
              <w:jc w:val="right"/>
              <w:ind w:right="1072"/>
              <w:spacing w:after="0"/>
              <w:rPr>
                <w:sz w:val="20"/>
                <w:szCs w:val="20"/>
                <w:color w:val="auto"/>
              </w:rPr>
            </w:pPr>
            <w:r>
              <w:rPr>
                <w:rFonts w:ascii="Times New Roman" w:cs="Times New Roman" w:eastAsia="Times New Roman" w:hAnsi="Times New Roman"/>
                <w:sz w:val="14"/>
                <w:szCs w:val="14"/>
                <w:color w:val="auto"/>
              </w:rPr>
              <w:t>$ 150,000,000</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$37,500</w:t>
            </w:r>
          </w:p>
        </w:tc>
        <w:tc>
          <w:tcPr>
            <w:tcW w:w="20" w:type="dxa"/>
            <w:vAlign w:val="bottom"/>
          </w:tcPr>
          <w:p>
            <w:pPr>
              <w:spacing w:after="0"/>
              <w:rPr>
                <w:sz w:val="17"/>
                <w:szCs w:val="17"/>
                <w:color w:val="auto"/>
              </w:rPr>
            </w:pPr>
          </w:p>
        </w:tc>
      </w:tr>
      <w:tr>
        <w:trPr>
          <w:trHeight w:val="41"/>
        </w:trPr>
        <w:tc>
          <w:tcPr>
            <w:tcW w:w="20" w:type="dxa"/>
            <w:vAlign w:val="bottom"/>
          </w:tcPr>
          <w:p>
            <w:pPr>
              <w:spacing w:after="0"/>
              <w:rPr>
                <w:sz w:val="3"/>
                <w:szCs w:val="3"/>
                <w:color w:val="auto"/>
              </w:rPr>
            </w:pPr>
          </w:p>
        </w:tc>
        <w:tc>
          <w:tcPr>
            <w:tcW w:w="34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3040" w:type="dxa"/>
            <w:vAlign w:val="bottom"/>
            <w:tcBorders>
              <w:bottom w:val="single" w:sz="8" w:color="808080"/>
            </w:tcBorders>
          </w:tcPr>
          <w:p>
            <w:pPr>
              <w:spacing w:after="0"/>
              <w:rPr>
                <w:sz w:val="3"/>
                <w:szCs w:val="3"/>
                <w:color w:val="auto"/>
              </w:rPr>
            </w:pPr>
          </w:p>
        </w:tc>
        <w:tc>
          <w:tcPr>
            <w:tcW w:w="21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20" w:type="dxa"/>
            <w:vAlign w:val="bottom"/>
            <w:tcBorders>
              <w:bottom w:val="single" w:sz="8" w:color="2C2C2C"/>
            </w:tcBorders>
          </w:tcPr>
          <w:p>
            <w:pPr>
              <w:spacing w:after="0" w:line="20" w:lineRule="exact"/>
              <w:rPr>
                <w:sz w:val="1"/>
                <w:szCs w:val="1"/>
                <w:color w:val="auto"/>
              </w:rPr>
            </w:pPr>
          </w:p>
        </w:tc>
        <w:tc>
          <w:tcPr>
            <w:tcW w:w="3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r>
    </w:tbl>
    <w:p>
      <w:pPr>
        <w:spacing w:after="0" w:line="200" w:lineRule="exact"/>
        <w:rPr>
          <w:sz w:val="20"/>
          <w:szCs w:val="20"/>
          <w:color w:val="auto"/>
        </w:rPr>
      </w:pPr>
    </w:p>
    <w:p>
      <w:pPr>
        <w:spacing w:after="0" w:line="368" w:lineRule="exact"/>
        <w:rPr>
          <w:sz w:val="20"/>
          <w:szCs w:val="20"/>
          <w:color w:val="auto"/>
        </w:rPr>
      </w:pPr>
    </w:p>
    <w:p>
      <w:pPr>
        <w:ind w:left="540" w:hanging="127"/>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Registration Statement covers offers, sales and other distributions of securities listed in this table from time to time at prices to be determined.</w:t>
      </w:r>
    </w:p>
    <w:p>
      <w:pPr>
        <w:spacing w:after="0" w:line="1" w:lineRule="exact"/>
        <w:rPr>
          <w:rFonts w:ascii="Times New Roman" w:cs="Times New Roman" w:eastAsia="Times New Roman" w:hAnsi="Times New Roman"/>
          <w:sz w:val="14"/>
          <w:szCs w:val="14"/>
          <w:color w:val="auto"/>
        </w:rPr>
      </w:pPr>
    </w:p>
    <w:p>
      <w:pPr>
        <w:ind w:left="540" w:hanging="127"/>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amount of the registration fee pursuant in accordance with Rule 457 under the Securities Act.</w:t>
      </w:r>
    </w:p>
    <w:p>
      <w:pPr>
        <w:spacing w:after="0" w:line="105" w:lineRule="exact"/>
        <w:rPr>
          <w:sz w:val="20"/>
          <w:szCs w:val="20"/>
          <w:color w:val="auto"/>
        </w:rPr>
      </w:pPr>
    </w:p>
    <w:p>
      <w:pPr>
        <w:ind w:right="360"/>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the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a date that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296545</wp:posOffset>
            </wp:positionV>
            <wp:extent cx="591693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SUBJECT TO COMPLETION, DATED JULY 30, 2001</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$150,000,000</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Exelixis, Inc.</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Exelixis, Inc. may offer from time to time, in one or more issuances, shares of common stock under this prospectus. We will offer the shares of our common stock in an amount and on terms that market conditions will determine at the time of the offering. Please read any prospectus supplements and this prospectus carefully before you invest in our common stock. This prospectus may not be used to sell shares of our common stock unless accompanied by a prospectus supplement.</w:t>
      </w:r>
    </w:p>
    <w:p>
      <w:pPr>
        <w:spacing w:after="0" w:line="15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Our common stock trades on the Nasdaq National Market under the symbol EXEL. On July 27, 2001, the last reported sale price of our common stock was $ 18.60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"Risk Factors" beginning on page 5 to read about factors you should consider before buying shares of our common stock.</w:t>
      </w:r>
    </w:p>
    <w:p>
      <w:pPr>
        <w:spacing w:after="0" w:line="185"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Prospectus dated ______________,2001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448310</wp:posOffset>
            </wp:positionV>
            <wp:extent cx="591693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968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1"/>
        </w:trPr>
        <w:tc>
          <w:tcPr>
            <w:tcW w:w="9680" w:type="dxa"/>
            <w:vAlign w:val="bottom"/>
          </w:tcPr>
          <w:p>
            <w:pPr>
              <w:spacing w:after="0"/>
              <w:rPr>
                <w:sz w:val="24"/>
                <w:szCs w:val="24"/>
                <w:color w:val="auto"/>
              </w:rPr>
            </w:pPr>
          </w:p>
        </w:tc>
        <w:tc>
          <w:tcPr>
            <w:tcW w:w="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223"/>
        </w:trPr>
        <w:tc>
          <w:tcPr>
            <w:tcW w:w="9680" w:type="dxa"/>
            <w:vAlign w:val="bottom"/>
          </w:tcPr>
          <w:p>
            <w:pPr>
              <w:spacing w:after="0"/>
              <w:rPr>
                <w:sz w:val="19"/>
                <w:szCs w:val="19"/>
                <w:color w:val="auto"/>
              </w:rPr>
            </w:pPr>
          </w:p>
        </w:tc>
        <w:tc>
          <w:tcPr>
            <w:tcW w:w="46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No.</w:t>
            </w:r>
          </w:p>
        </w:tc>
      </w:tr>
      <w:tr>
        <w:trPr>
          <w:trHeight w:val="20"/>
        </w:trPr>
        <w:tc>
          <w:tcPr>
            <w:tcW w:w="9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ABOUT THIS PROSPECTUS</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3">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EXELIXIS</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3">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RISK FACTORS</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3">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CAUTIONARY NOTE REGARDING FORWARD-LOOKING STATEMENTS</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8">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USE OF PROCEEDS</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8">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PLAN OF DISTRIBUTION</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8">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DESCRIPTION OF CAPITAL STOCK</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9">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LEGAL MATTERS</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10">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EXPERTS</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10">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r>
        <w:trPr>
          <w:trHeight w:val="291"/>
        </w:trPr>
        <w:tc>
          <w:tcPr>
            <w:tcW w:w="9680" w:type="dxa"/>
            <w:vAlign w:val="bottom"/>
          </w:tcPr>
          <w:p>
            <w:pPr>
              <w:spacing w:after="0"/>
              <w:rPr>
                <w:sz w:val="20"/>
                <w:szCs w:val="20"/>
                <w:color w:val="auto"/>
              </w:rPr>
            </w:pPr>
            <w:r>
              <w:rPr>
                <w:rFonts w:ascii="Times New Roman" w:cs="Times New Roman" w:eastAsia="Times New Roman" w:hAnsi="Times New Roman"/>
                <w:sz w:val="22"/>
                <w:szCs w:val="22"/>
                <w:color w:val="auto"/>
              </w:rPr>
              <w:t>WHERE YOU CAN FIND MORE INFORMATION ABOUT EXELIXIS</w:t>
            </w:r>
          </w:p>
        </w:tc>
        <w:tc>
          <w:tcPr>
            <w:tcW w:w="120" w:type="dxa"/>
            <w:vAlign w:val="bottom"/>
          </w:tcPr>
          <w:p>
            <w:pPr>
              <w:spacing w:after="0"/>
              <w:rPr>
                <w:sz w:val="24"/>
                <w:szCs w:val="24"/>
                <w:color w:val="auto"/>
              </w:rPr>
            </w:pPr>
          </w:p>
        </w:tc>
        <w:tc>
          <w:tcPr>
            <w:tcW w:w="220" w:type="dxa"/>
            <w:vAlign w:val="bottom"/>
            <w:tcBorders>
              <w:bottom w:val="single" w:sz="8" w:color="0000EE"/>
            </w:tcBorders>
            <w:gridSpan w:val="2"/>
          </w:tcPr>
          <w:p>
            <w:pPr>
              <w:jc w:val="center"/>
              <w:spacing w:after="0"/>
              <w:rPr>
                <w:rFonts w:ascii="Times New Roman" w:cs="Times New Roman" w:eastAsia="Times New Roman" w:hAnsi="Times New Roman"/>
                <w:sz w:val="22"/>
                <w:szCs w:val="22"/>
                <w:color w:val="0000EE"/>
                <w:w w:val="99"/>
              </w:rPr>
            </w:pPr>
            <w:hyperlink w:anchor="page10">
              <w:r>
                <w:rPr>
                  <w:rFonts w:ascii="Times New Roman" w:cs="Times New Roman" w:eastAsia="Times New Roman" w:hAnsi="Times New Roman"/>
                  <w:sz w:val="22"/>
                  <w:szCs w:val="22"/>
                  <w:color w:val="0000EE"/>
                  <w:w w:val="99"/>
                </w:rPr>
                <w:t>**</w:t>
              </w:r>
            </w:hyperlink>
          </w:p>
        </w:tc>
        <w:tc>
          <w:tcPr>
            <w:tcW w:w="120" w:type="dxa"/>
            <w:vAlign w:val="bottom"/>
          </w:tcPr>
          <w:p>
            <w:pPr>
              <w:spacing w:after="0"/>
              <w:rPr>
                <w:sz w:val="24"/>
                <w:szCs w:val="24"/>
                <w:color w:val="auto"/>
              </w:rPr>
            </w:pPr>
          </w:p>
        </w:tc>
      </w:tr>
    </w:tbl>
    <w:p>
      <w:pPr>
        <w:sectPr>
          <w:pgSz w:w="11900" w:h="16838" w:orient="portrait"/>
          <w:cols w:equalWidth="0" w:num="1">
            <w:col w:w="10840"/>
          </w:cols>
          <w:pgMar w:left="780" w:top="123" w:right="279" w:bottom="0" w:gutter="0" w:footer="0" w:header="0"/>
        </w:sectPr>
      </w:pPr>
    </w:p>
    <w:bookmarkStart w:id="2" w:name="page3"/>
    <w:bookmarkEnd w:id="2"/>
    <w:p>
      <w:pPr>
        <w:spacing w:after="0" w:line="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filed with the Securities and Exchange Commission. You should rely only on the information we have provided or incorporated by reference in this prospectus or any prospectus supplement. We have not authorized anyone to provide you with additional or different information. We are not making an offer of these shares of common stock in any jurisdiction where the offer is not permitted. You should assume that the information contained in this prospectus or any prospectus supplement is accurate only as of the date on the front of document and that any information we have incorporated by reference is accurate only as of the date of the document incorporated by reference.</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Exelixis, Artemis Pharmacueticals, ACTTAG, the Exelixis, Inc. logos and all other Exelixis product and service names are registered trademarks or trademarks of Exelixis, Inc. in the U.S. and in other selected countries. All other brand names or trademarks appearing in this prospectus are the property of their respective holders.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ABOUT THIS PROSPECTUS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utilizing a "shelf" registration process. Under this shelf process, we may offer from time to time the shares of our common stock described in this prospectus in one or more offerings for up to a total amount of $150,000,000. This prospectus provides you with a general description of our common stock that we may offer. Each time we use this prospectus to offer shares of our common stock, we will provide a prospectus supplement that will contain specific information about the terms of that offering. The prospectus supplements may also add, update or change information contained in this prospectus. You should read both this prospectus and any prospectus supplement together with additional information described below under the heading "Where You Can Find More Information About Exelixis."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EXELIXIS</w:t>
      </w:r>
    </w:p>
    <w:p>
      <w:pPr>
        <w:spacing w:after="0" w:line="187"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We believe that we are a leader in the discovery and validation of high-quality novel targets for several major human diseases, and a leader in the discovery of potential new drug therapies, specifically for cancer and other proliferative diseases. Our mission is to develop proprietary products by leveraging our integrated discovery platform to increase the speed, efficiency and quality of pharmaceutical and agricultural product discovery and development.</w:t>
      </w:r>
    </w:p>
    <w:p>
      <w:pPr>
        <w:spacing w:after="0" w:line="1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Through our expertise in biology and drug discovery built upon a foundation of comparative genomics and model system genetics, we are able to find new drug targets that we believe would be difficult or impossible to uncover using other experimental approaches. Our pharmaceutical research identifies novel genes and proteins expressed by those genes that, when changed, either decrease or increase the activity in a specific disease pathway in a therapeutically relevant manner. These genes and proteins then represent either potential product targets or drugs that may treat disease, or prevent disease initiation or progression.</w:t>
      </w:r>
    </w:p>
    <w:p>
      <w:pPr>
        <w:spacing w:after="0" w:line="1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Specifically in cancer, the remarkable evolutionary conservation of the biochemical pathways between humans and "lower" organisms strongly supports the use of simple model systems, such as fruit flies, nematode worms, zebrafish and mice to identify key members of of critical cancer pathways that can then be targeted for drug discovery. We expect to develop new cancer drugs by exploiting the underlying "genetic liabilities" of tumor cells to provide specificity in targeting these cells for destruction, while leaving normal cells unharmed. We have discovered and are further developing a number of small molecule drug targets in addition to monoclonal antibody drug targets. Molecules developed against these targets may selectively kill cancer cells while leaving normal cells unharmed, and may provide alternatives to current cancer therapies.</w:t>
      </w:r>
    </w:p>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our proprietary programs focus on drug discovery and development, we believe that our proprietary technologies are valuable to all other industries whose products can be enhanced by an understanding of DNA or proteins, including the agrochemical, agricultural and diagnostic industries. Many of these industries have shorter product development cycles and lower risk than the pharmaceutical industry, while at the same time generating significant sales with double-digit product margins. By partnering with leading companies in multiple industries, we are able to diversify our business risk, while at the same time maximizing our future revenue stream.</w:t>
      </w:r>
    </w:p>
    <w:p>
      <w:pPr>
        <w:spacing w:after="0" w:line="152"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auto"/>
        </w:rPr>
        <w:t>We are a Delaware corporation. Our principal executive offices are located at 170 Harbor Way, South San Francisco, California 94080, and our telephone number is (650) 837-7000. In this prospectus, "Exelixis," "we," "us," and "our" refer to Exelixis, Inc.,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RISK FACTORS</w:t>
      </w:r>
    </w:p>
    <w:p>
      <w:pPr>
        <w:spacing w:after="0" w:line="185"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other information included or incorporated by reference in this prospectus, before making an investment decision. The risks described below are not the only risks we face. Additional risks that we do not yet know of or that we currently think are immaterial may also impair our business operations. If any of the events or circumstances described in the following risks actually occurs, our business may suffer, the trading price of our common stock could decline and you may lose all or part of your investment.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We expect to continue to incur net losses, and we may not achieve or maintain profitability.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incurred net losses each year since our inception, including a net loss of approximately $12.7 million for the three months ended March 31, 2001. As of that date, we had an accumulated deficit of approximately $142.8 million. We expect these losses to continue and anticipate negative cash flow for the foreseeable future. The size of these net losses will depend, in part, on the rate of growth, if any, in our license and contract revenues and on the level of our expenses. Our research and development expenditures and general and administrative costs have exceeded our revenues to date, and we expect to spend significant additional amounts to fund research and development in order to enhance our core technologies and undertake product development. As a result, we expect that our operating expenses will increase significantly in the near term and, consequently, we will need to generate significant additional revenues to achieve profitability. Even if we do increase our revenues and achieve profitability, we may not be able to sustain or increase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the future, which may not be available to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be substantial, and will depend on many factors including:</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payments received under collaborative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right="3040"/>
        <w:spacing w:after="0" w:line="281" w:lineRule="auto"/>
        <w:rPr>
          <w:sz w:val="20"/>
          <w:szCs w:val="20"/>
          <w:color w:val="auto"/>
        </w:rPr>
      </w:pPr>
      <w:r>
        <w:rPr>
          <w:rFonts w:ascii="Times New Roman" w:cs="Times New Roman" w:eastAsia="Times New Roman" w:hAnsi="Times New Roman"/>
          <w:sz w:val="16"/>
          <w:szCs w:val="16"/>
          <w:color w:val="auto"/>
        </w:rPr>
        <w:t>the progress and scope of our collaborative and independent research and development projects; our ability to successfully continue development of a recently acquired cancer compound;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440"/>
        <w:spacing w:after="0" w:line="261" w:lineRule="auto"/>
        <w:rPr>
          <w:sz w:val="20"/>
          <w:szCs w:val="20"/>
          <w:color w:val="auto"/>
        </w:rPr>
      </w:pPr>
      <w:r>
        <w:rPr>
          <w:rFonts w:ascii="Times New Roman" w:cs="Times New Roman" w:eastAsia="Times New Roman" w:hAnsi="Times New Roman"/>
          <w:sz w:val="18"/>
          <w:szCs w:val="18"/>
          <w:color w:val="auto"/>
        </w:rPr>
        <w:t>our need to expand our other proprietary product development efforts as well as develop manufacturing and marketing capabilities to commercialize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59" w:orient="portrait"/>
          <w:cols w:equalWidth="0" w:num="1">
            <w:col w:w="10880"/>
          </w:cols>
          <w:pgMar w:left="780" w:top="125" w:right="239" w:bottom="0" w:gutter="0" w:footer="0" w:header="0"/>
        </w:sectPr>
      </w:pPr>
    </w:p>
    <w:bookmarkStart w:id="3" w:name="page4"/>
    <w:bookmarkEnd w:id="3"/>
    <w:p>
      <w:pPr>
        <w:ind w:left="1080"/>
        <w:spacing w:after="0"/>
        <w:rPr>
          <w:sz w:val="20"/>
          <w:szCs w:val="20"/>
          <w:color w:val="auto"/>
        </w:rPr>
      </w:pPr>
      <w:r>
        <w:rPr>
          <w:rFonts w:ascii="Times New Roman" w:cs="Times New Roman" w:eastAsia="Times New Roman" w:hAnsi="Times New Roman"/>
          <w:sz w:val="18"/>
          <w:szCs w:val="18"/>
          <w:color w:val="auto"/>
        </w:rPr>
        <w:t>the filing, prosecution and enforcement of patent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We anticipate that our current cash and cash equivalents, short-term investments and funding to be received from collaborators will enable us to maintain our currently planned operations for at least the next two years. Changes to our current operating plan may require us to consume available capital resources significantly sooner than we expect. For example, our newly acquired cancer product from our recent relationship with Bristol Myers-Squibb will recquire significant resources for development that were not in our operation plans prior to acquiring the cancer product. We may be unable to raise sufficient additional capital when we need it, on favorable terms, or at all. If our capital resources are insufficient to meet future capital requirements, we our capital resources are insufficient to meet future capital requirements, we will have to raise additional funds. The sale of equity or convertible debt securities in the future may be dilutive to our stockholders, and debt financing arrangements may require us to pledge certain assets and enter into covenants that would restrict our ability to incur further indebtedness. If we are unable to obtain adequate funds on reasonable terms, we may be required to curtail operations significantly or to obtain funds by entering into financing, supply or collaboration agreements on unattractive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Difficulties we may encounter managing our growth may divert resources and limit our ability to successfully expand our operations.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experienced a period of rapid and substantial growth that has placed, and our anticipated growth in the future will continue to place, a strain on our administrative and operational infrastructure. As our operations expand, we expect that we will need to manage multiple locations, including locations outside the United States, and additional relationships with various collaborative partners, suppliers and other third parties. Our ability to manage our operations and growth effectively requires us to continue to improve our operational, financial and management controls, reporting systems and procedures. We may not be able to successfully implement improvements to our management information and control systems in an efficient or timely manner and may discover deficiencies in existing systems and controls. In addition, acquisitions involve the integration of different financial and management reporting systems. We may not be able to successfully integrate the administrative and operational infrastructure without significant additional improvements and investments in management systems and procedures.</w:t>
      </w:r>
    </w:p>
    <w:p>
      <w:pPr>
        <w:spacing w:after="0" w:line="148"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collaborations with major companies. If we are unable to achieve milestones, develop products or renew or enter into new collaborations, our revenues may decrease and our activities may fail to lead to commercialized products.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Substantially all of our revenues to date have been derived from collaborative research and development agreements. Revenues from research and development collaborations depend upon continuation of the collaborations, the achievement of milestones and royalties derived from future products developed from our research. If we are unable to successfully achieve milestones or our collaborators fail to develop successful products, we will not earn the revenues contemplated under such collaborative agreements. In addition, some of our collaborations are exclusive and preclude us from entering into additional collaborative arrangements with other parties in the area or field of exclusivity.</w:t>
      </w:r>
    </w:p>
    <w:p>
      <w:pPr>
        <w:spacing w:after="0" w:line="1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currently have collaborative research agreements with Bayer, Bristol-Myers Squibb (two agreements), Dow AgroSciences, Aventis and Protein Design Labs. Our current collaborative agreement with Bayer is scheduled to expire in 2008, after which it will automatically be extended for one-year terms unless terminated by either party upon 12-month written notice. Our agreement permits Bayer to terminate our collaborative activities prior to 2008 upon the occurrence of specified conditions, such as the failure to agree on key strategic issues after a period of years or the acquisition of Exelixis by certain specified third parties. In addition, our agreements with Bayer are subject to termination at an earlier date if two or more of our Chief Executive Officer, Chief Scientific Office, Agricultural Biotechnology Program Leader and Chief Informatics Officer cease to have a relationship with us within six months of each other and we are unable to find replacements acceptable to Bayer. The first of our collaborative agreements with Bristol-Myers Squibb expires in September 2002. The funded research term of second arrangement, entered into July 2002, expires in July 2005. Our collaborative agreement with Dow AgroSciences is scheduled to expire in July 2003, after which Dow AgroSciences has the option to renew on an annual basis. Our collaborative research arrangement with Aventis is scheduled to expire in June 2004. Aventis has the right to terminate the research arrangement prior to the expiration date, provided that it pays the annual research funding amount due for the year following termination. Thereafter, the arrangement renews annually unless Aventis terminates automatic renewal prior to the scheduled date of renewal. The Aventis arrangement is conducted through a limited liability company, Agrinomics, which is owned equally by Aventis and Exelixis. Aventis may surrender its interest in Agrinomics and terminate the related research collaboration prior to the scheduled expiration upon the payment of the subsequent year's funding commitment. Bayer and Aventis recently announced an exclusive negotiation period for acquisition were to occur. Our agreement with Protein Design Labs is scheduled to expire in May 2003. Protein Design Labs has a unilateral right to renew for 12 and six month periods thereafter. The five-year term of the convertible promissory note entered into as part of this arrangement is unaffected by whether or not Protein Design Labs renews. If these existing agreements are not renewed or if we are unable to enter into new collaborative may be adversely affected.</w:t>
      </w:r>
    </w:p>
    <w:p>
      <w:pPr>
        <w:spacing w:after="0" w:line="15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We recently announced the reacquisition, effective February 2002, of future rights to research programs in metabolism and alzheimer's disease previously licensed exclusively to Pharmacia Corporation. Pharmacia will retain rights to targets under the existing agreement selected prior to the reacquisition date, subject to the payment of milestones for certain of those targets selected and royalties for future development of products against or using those targets but will have no other obligations to make payments to the Company, including approximately $9 million in annual funding that would otherwise be payable for two years if the Company had not elected to reacquire rights to the research at this time. Although we anticipate entering into future collaborations involving either or both of these programs, there can be no assurance that we will be able to enter into new collaborative agreements or that such collaborations will provide revenues equal to or exceeding those otherwise obtainable under the Pharmacia collaboration.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with our collaborators could jeopardize the outcome of our collaborative agreements and our ability to commercialize products.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intend to conduct proprietary research programs in specific disease and agricultural product areas that are not covered by our collaborative agreements. Our pursuit of opportunities in agricultural and pharmaceutical markets could, however, result in conflicts with our collaborators in the event that any of our collaborators takes the position that our internal activities overlap with those areas that are exclusive to our collaborative agreements, and we should be precluded from such internal activities. Moreover, disagreements with our collaborators could develop over rights to our intellectual property. In addition, our collaborative agreements may have provisions that give rise to disputes regarding the rights and obligations of the parties. Any conflict with our collaborators could lead to the termination of our collaborative agreements, delay collaborative activities, reduce our ability to renew agreements or obtain future collaboration agreements or result in litigation or arbitration and would negatively impact our relationship with existing collaborators.</w:t>
      </w:r>
    </w:p>
    <w:p>
      <w:pPr>
        <w:spacing w:after="0" w:line="1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limited or no control over the resources that our collaborators may choose to devote to our joint efforts. Our collaborators may breach or terminate their agreements with us or fail to perform their obligations thereunder. Further, our collaborators may elect not to develop products arising out of our collaborative arrangements or may fail to devote sufficient resources to the development, manufacture, market or sale of such products. Certain of our collaborators could also become our competitors in the future. If our collaborators develop competing products, preclude us from entering into collaborations with their competitors, fail to obtain necessary regulatory approvals, terminate their agreements with us prematurely or fail to devote sufficient resources to the development and commercialization of our products, our product development efforts could be delayed and may fail to lead to commercialized products.</w:t>
      </w:r>
    </w:p>
    <w:p>
      <w:pPr>
        <w:sectPr>
          <w:pgSz w:w="11900" w:h="16838" w:orient="portrait"/>
          <w:cols w:equalWidth="0" w:num="1">
            <w:col w:w="10880"/>
          </w:cols>
          <w:pgMar w:left="780" w:top="125" w:right="2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deploying unproven technologies, and we may not be able to develop commercially successful products.</w:t>
      </w:r>
    </w:p>
    <w:p>
      <w:pPr>
        <w:spacing w:after="0" w:line="18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You must evaluate us in light of the uncertainties and complexities affecting a biotechnology company. Our technologies are still in the early stages of development. Our research and operations thus far have allowed us to identify a number of product targets for use by our collaborators and our own internal development programs. We are not certain, however, of the commercial value of any of our current or future targets, and we may not be successful in expanding the scope of our research into new fields of pharmaceutical or pesticide research, or other agricultural applications such as enhancing plant traits to produce superior crop yields, disease resistance or increased nutritional content. Significant research and development, financial resources and personnel will be required to capitalize on our technology, develop commercially viable products and obtain regulatory approval for such products.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experience in developing, manufacturing and marketing products and may be unable to commercialize proprietary products.</w:t>
      </w:r>
    </w:p>
    <w:p>
      <w:pPr>
        <w:spacing w:after="0" w:line="18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We recently acquired a product (Rebeccamycin) directed against cancer under our recent collaborative agreement with Bristol Myers- Squibb. Clinical development of Rebeccamycin to date has been conducted by the National Cancer Institute, or the NCI, and manufacturing of this product has been the responsibility of Bristol Myers-Squibb. Rebeccamycin has recently completed Phase I clinical studies and is in early Phase II clinical trials being conducted by the NCI. We are currently in negotiations with the NCI to use the results of the clinical studies they have conducted to date and to determine what additional studies, if any, will be conducted by the NCI or us. There can be no assurance that we will successfully agree upon further development plans, the respective rights and obligations of the parties to conduct additional clinical studies or the timing of such studies. In addition, there can be no assurance that the clinical studies conducted to date will support further clinical development or be accepted by the FDA in conjuction with any application for product approval submitted to the FDA for RebeccamycinS. Moreover, although Bristol Myers-Squibb has provided the NCI with sufficient quantities of Rebeccamycin, development necessary for product approval will require us to either develop internal manufacturing capabilities or retain a third party to manufacture the product. In addition, we have recently hired a new Senior Vice President responsible for clinical development of this product, as well as any new potential products that we may develop. As a result, we have limited experience in clinical development and no experience in manufacturing potential drug products. Accordingly, the development of Rebeccamycin is subject to significant risk and uncertainty, particularly with respect to our ability to successfully develop, manufacture and market Rebeccamycin as a product.</w:t>
      </w:r>
    </w:p>
    <w:p>
      <w:pPr>
        <w:spacing w:after="0" w:line="34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With respect to products developed against our proprietary drug targets, we will rely on our collaborators to develop and commercialize products based on our research and development efforts. We have limited or no experience in using the targets that we identify to develop our own proprietary products. Our recent success in applying our drug development capabilities to our proprietary targets in cancer are subject to significant risk and uncertainty, particularly with respect to our ability to meet currently estimated timelines and goals for completing preclinical development efforts and filing an Investigational New Drug Application for compounds developed. In order for us to commercialize products, we would need to significantly enhance our capabilities with respect to product development, and establish manufacturing and marketing capabilities, either directly or through outsourcing or licensing arrangements. We may not be able to enter into such outsourcing or licensing agreements on commercially reasonable terms, or at all.</w:t>
      </w:r>
    </w:p>
    <w:p>
      <w:pPr>
        <w:spacing w:after="0" w:line="163"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Since our technologies have many potential applications and we have limited resources, our focus on a particular area may result in our failure to capitalize on more profitable areas.</w:t>
      </w:r>
    </w:p>
    <w:p>
      <w:pPr>
        <w:spacing w:after="0" w:line="16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limited financial and managerial resources. This requires us to focus on product candidates in specific industries and forego opportunities with regard to other products and industries. For example, depending on our ability to allocate resources, a decision to concentrate on a particular agricultural program may mean that we will not have resources available to apply the same technology to a pharmaceutical project. While our technologies may permit us to work in both areas, resource commitments may require trade-offs resulting in delays in the development of certain programs or research areas, which may place us at a competitive disadvantage. Our decisions impacting resource allocation may not lead to the development of viable commercial products and may divert resources from more profitable market opportunities.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competitors may develop products and technologies that make ours obsolete.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biotechnology industry is highly fragmented and is characterized by rapid technological change. In particular, the area of gene research is a rapidly evolving field. We face, and will continue to face, intense competition from large biotechnology and pharmaceutical companies, as well as academic research institutions, clinical reference laboratories and government agencies that are pursuing research activities similar to ours. Some of our competitors have entered into collaborations with leading companies within our target markets, including some of our existing collaborators. Our future success will depend on our ability to maintain a competitive position with respect to technological advances.</w:t>
      </w:r>
    </w:p>
    <w:p>
      <w:pPr>
        <w:spacing w:after="0" w:line="1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Any products that are developed through our technologies will compete in highly competitive markets. Further, our competitors may be more effective at using their technologies to develop commercial products. Many of the organizations competing with us have greater capital resources, larger research and development staffs and facilities, more experience in obtaining regulatory approvals and more extensive product manufacturing and marketing capabilities. As a result, our competitors may be able to more easily develop technologies and products that would render our technologies and products, and those of our collaborators, obsolete and noncompetitive.</w:t>
      </w:r>
    </w:p>
    <w:p>
      <w:pPr>
        <w:spacing w:after="0" w:line="148"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intellectual property, third parties may be able to use our technology, which could adversely affect our ability to compete in the market.</w:t>
      </w:r>
    </w:p>
    <w:p>
      <w:pPr>
        <w:spacing w:after="0" w:line="1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our ability to obtain patents and maintain adequate protection of the intellectual property related to our technologies and products. The patent positions of biotechnology companies, including our patent position, are generally uncertain and involve complex legal and factual questions. We will be able to protect our intellectual property rights from unauthorized use by third parties only to the extent that our technologies are covered by valid and enforceable patents or are effectively maintained as trade secrets. The laws of some foreign countries do not protect intellectual property rights to the same extent as the laws of the U.S., and many companies have encountered significant problems in protecting and defending such rights in foreign jurisdictions. We will continue to apply for patents covering our technologies and products as and when we deem appropriate. However, these applications may be challenged or may fail to result in issued patents. Our existing patents and any future patents we obtain may not be sufficiently broad to prevent others from practicing our technologies or from developing competing products. Furthermore, others may independently develop similar or alternative technologies or design around our patents. In addition, our patents may be challenged, invalidated or fail to provide us with any competitive advantages.</w:t>
      </w:r>
    </w:p>
    <w:p>
      <w:pPr>
        <w:spacing w:after="0" w:line="1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rely on trade secret protection for our confidential and proprietary information. We have taken security measures to protect our proprietary information and trade secrets, but these measures may not provide adequate protection. While we seek to protect our proprietary information by entering into confidentiality agreements with employees, collaborators and consultants, we cannot assure you that our proprietary information will not be disclosed, or that we can meaningfully protect our trade secrets. In addition, our competitors may independently develop substantially equivalent proprietary information or may otherwise gain access to our trade secrets.</w:t>
      </w:r>
    </w:p>
    <w:p>
      <w:pPr>
        <w:sectPr>
          <w:pgSz w:w="11900" w:h="16838" w:orient="portrait"/>
          <w:cols w:equalWidth="0" w:num="1">
            <w:col w:w="10880"/>
          </w:cols>
          <w:pgMar w:left="780" w:top="121" w:right="239" w:bottom="67" w:gutter="0" w:footer="0" w:header="0"/>
        </w:sectPr>
      </w:pPr>
    </w:p>
    <w:bookmarkStart w:id="5" w:name="page6"/>
    <w:bookmarkEnd w:id="5"/>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 party claims of intellectual property infringement could require us to spend substantial time and money and adversely affect our ability to develop and commercialize products.</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avoid infringing patents and proprietary rights of third parties, and not breaching any licenses that we have entered into with regard to our technologies. Other parties have filed, and in the future are likely to file, patent applications covering genes and gene fragments, techniques and methodologies relating to model systems, and products and technologies that we have developed or intend to develop. If patents covering technologies required by our operations are issued to others, we may have to rely on licenses from third parties, which may not be available on commercially reasonable terms, or at all.</w:t>
      </w:r>
    </w:p>
    <w:p>
      <w:pPr>
        <w:spacing w:after="0" w:line="1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Third parties may accuse us of employing their proprietary technology without authorization. In addition, third parties may obtain patents that relate to our technologies and claim that use of such technologies infringes these patents. Regardless of their merit, such claims could require us to incur substantial costs, including the diversion of management and technical personnel, in defending ourselves against any such claims or enforcing our patents. In the event that a successful claim of infringement is brought against us, we may be required to pay damages and obtain one or more licenses from third parties. We may not be able to obtain these licenses at a reasonable cost, or at all. Defense of any lawsuit or failure to obtain any of these licenses could adversely affect our ability to develop and commercialize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or the inability to attract and retain additional personnel could impair our ability to expand our operations.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highly dependent on the principal members of our management and scientific staff, the loss of whose services might adversely impact the achievement of our objectives and the continuation of existing collaborations. In addition, recruiting and retaining qualified scientific personnel to perform future research and development work will be critical to our success. We do not currently have sufficient executive management and technical personnel to fully execute our business plan. There is currently a shortage of skilled executives and employees with technical expertise, and this shortage is likely to continue. As a result, competition for skilled personnel is intense and turnover rates are high. Although we believe we will be successful in attracting and retaining qualified personnel, competition for experienced scientists from numerous companies, academic and other research institutions may limit our ability to do so.</w:t>
      </w:r>
    </w:p>
    <w:p>
      <w:pPr>
        <w:spacing w:after="0" w:line="155"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Our business operations will require additional expertise in specific industries and areas applicable to products identified and developed through our technologies. These activities will require the addition of new personnel, including management and technical personnel and the development of additional expertise by existing employees. The inability to attract such personnel or to develop this expertise could prevent us from expanding our operations in a timely manner, or at all.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collaborations with outside scientists may be subject to restriction and change.</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work with scientific advisors and collaborators at academic and other institutions that assist us in our research and development efforts. These scientists are not our employees and may have other commitments that would limit their availability to us. Although our scientific advisors and collaborators generally agree not to do competing work, if a conflict of interest between their work for us and their work for another entity arises, we may lose their services. In addition, although our scientific advisors and collaborators sign agreements not to disclose our confidential information, it is possible that valuable proprietary knowledge may become publicly known through them.</w:t>
      </w:r>
    </w:p>
    <w:p>
      <w:pPr>
        <w:spacing w:after="0" w:line="1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potential therapeutic products are subject to a lengthy and uncertain regulatory process that may not result in the necessary regulatory approvals, which could adversely affect our ability to commercialize products.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or FDA, must approve any drug or biologic product before it can be marketed in the U.S. Any products resulting from our research and development efforts must also be approved by the regulatory agencies of foreign governments before the product can be sold outside the U.S. Before a new drug application or biologics license application can be filed with the FDA, the product candidate must undergo extensive clinical trials, which can take many years and may require substantial expenditures. The regulatory process also requires preclinical testing. Data obtained from preclinical and clinical activities are susceptible to varying interpretations, which could delay, limit or prevent regulatory approval. In addition, delays or rejections may be encountered based upon changes in regulatory policy for product approval during the period of product development and regulatory agency review. The clinical development and regulatory approval process is expensive and time consuming. Any failure to obtain regulatory approval could delay or prevent us from commercializing products.</w:t>
      </w:r>
    </w:p>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efforts to date have been primarily limited to identifying targets. Significant research and development efforts will be necessary before any products resulting from such targets can be commercialized. If regulatory approval is granted to any of our products, this approval may impose limitations on the uses for which a product may be marketed. Further, once regulatory approval is obtained, a marketed product and its manufacturer are subject to continual review, and discovery of previously unknown problems with a product or manufacturer may result in restrictions and sanctions with respect to the product, manufacturer and relevant manufacturing facility, including withdrawal of the product from the market.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issues may limit the public acceptance of genetically engineered products, which could reduce demand for our products.</w:t>
      </w:r>
    </w:p>
    <w:p>
      <w:pPr>
        <w:spacing w:after="0" w:line="189"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color w:val="auto"/>
        </w:rPr>
        <w:t>Although our technology is not dependent on genetic engineering, genetic engineering plays a prominent role in our approach to product development. For example, research efforts focusing on plant traits may involve either selective breeding or modification of existing genes in the plant under study. Public attitudes may be influenced by claims that genetically engineered products are unsafe for consumption or pose a danger to the environment. Such claims may prevent our genetically engineered products from gaining public acceptance. The commercial success of our future products will depend, in part, on public acceptance of the use of genetically engineered products including drugs and plant and animal products.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subject of genetically modified organisms has received negative publicity, which has aroused public debate. For example, certain countries in Europe are considering regulations that may ban products or require express labeling of products that contain genetic modifications or are "genetically modified." Adverse publicity has resulted in greater regulation internationally and trade restrictions on imports of genetically altered products. If similar action is taken in the U.S., genetic research and genetically engineered products could be subject to greater domestic regulation, including stricter labeling requirements. To date, our business has not been hampered by these activities. However, such publicity in the future may prevent any products resulting from our research from gaining market acceptance and reduce demand for our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and regulations may reduce our ability to sell genetically engineered products that our collaborators or we develop in the future.</w:t>
      </w:r>
    </w:p>
    <w:p>
      <w:pPr>
        <w:spacing w:after="0" w:line="229"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auto"/>
        </w:rPr>
        <w:t>Our collaborators or we may develop genetically engineered agricultural and animal products. The field-testing, production and marketing of genetically engineered products are subject to regulation by federal, state, local and foreign governments. Regulatory agencies administering existing or future regulations or legislation may prevent us from producing and marketing genetically engineered products in a timely manner or under technically or</w:t>
      </w:r>
    </w:p>
    <w:p>
      <w:pPr>
        <w:sectPr>
          <w:pgSz w:w="11900" w:h="16838" w:orient="portrait"/>
          <w:cols w:equalWidth="0" w:num="1">
            <w:col w:w="10880"/>
          </w:cols>
          <w:pgMar w:left="780" w:top="121" w:right="239" w:bottom="0" w:gutter="0" w:footer="0" w:header="0"/>
        </w:sectPr>
      </w:pPr>
    </w:p>
    <w:bookmarkStart w:id="6" w:name="page7"/>
    <w:bookmarkEnd w:id="6"/>
    <w:p>
      <w:pPr>
        <w:ind w:right="160"/>
        <w:spacing w:after="0" w:line="275" w:lineRule="auto"/>
        <w:rPr>
          <w:sz w:val="20"/>
          <w:szCs w:val="20"/>
          <w:color w:val="auto"/>
        </w:rPr>
      </w:pPr>
      <w:r>
        <w:rPr>
          <w:rFonts w:ascii="Times New Roman" w:cs="Times New Roman" w:eastAsia="Times New Roman" w:hAnsi="Times New Roman"/>
          <w:sz w:val="18"/>
          <w:szCs w:val="18"/>
          <w:color w:val="auto"/>
        </w:rPr>
        <w:t>commercially feasible conditions. In addition, regulatory action or private litigation could result in expenses, delays or other impediments to our product development programs and the commercialization of products.</w:t>
      </w:r>
    </w:p>
    <w:p>
      <w:pPr>
        <w:spacing w:after="0" w:line="1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FDA has released a policy statement stating that it will apply the same regulatory standards to foods developed through genetic engineering as it applies to foods developed through traditional plant breeding. Genetically engineered food products will be subject to premarket review, however, if these products raise safety questions or are deemed to be food additives. Our products may be subject to lengthy FDA reviews and unfavorable FDA determinations if they raise questions regarding safety or our products are deemed to be food additives.</w:t>
      </w:r>
    </w:p>
    <w:p>
      <w:pPr>
        <w:spacing w:after="0" w:line="15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FDA has also announced that it will not require genetically engineered agricultural products to be labeled as such, provided that these products are as safe and have the same nutritional characteristics as conventionally developed products. The FDA may reconsider or change its policies, and local or state authorities may enact labeling requirements, either of which could have a material adverse effect on our ability or the ability of our collaborators to develop and market products resulting from our efforts.</w:t>
      </w:r>
    </w:p>
    <w:p>
      <w:pPr>
        <w:spacing w:after="0" w:line="146"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radioactive and biological materials in our business. Any claims relating to improper handling, storage or disposal of these materials could be time consuming and costly.</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chemicals, radioactive and biological materials. Our operations produce hazardous waste products. We cannot eliminate the risk of accidental contamination or discharge and any resultant injury from these materials. Federal, state and local laws and regulations govern the use, manufacture, storage, handling and disposal of hazardous materials. We may be sued for any injury or contamination that results from our use or the use by third parties of these materials, and our liability may exceed our insurance coverage and our total assets. Compliance with environmental laws and regulations may be expensive, and current or future environmental regulations may impair our research, development and production efforts.</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collaborators may use hazardous materials in connection with our collaborative efforts. To our knowledge, their work is performed in accordance with applicable biosafety regulations. In the event of a lawsuit or investigation, however, we could be held responsible for any injury caused to persons or property by exposure to, or release of, these hazardous materials use by these parties. Further, we may be required to indemnify our collaborators against all damages and other liabilities arising out of our development activities or products produced in connection with these collaborations.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expect that our quarterly results of operations will fluctuate, and this fluctuation could cause our stock price to decline, causing investor losses.</w:t>
      </w:r>
    </w:p>
    <w:p>
      <w:pPr>
        <w:spacing w:after="0" w:line="21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fluctuate in the future. A number of factors, many of which we cannot control, could subject our operating results and stock price to volatility, including:</w:t>
      </w:r>
    </w:p>
    <w:p>
      <w:pPr>
        <w:spacing w:after="0" w:line="1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recognition of license, milestone or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payments of licensing fees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acceptance of our technologies and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success rate of our discovery efforts leading to milestones and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introduction of new technologies or products by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timing and willingness of collaborators to commercialize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our ability to enter into new collaborative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termination or non-renewal of existing collaborations;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general and industry-specific economic conditions that may affect our collaborators' research and development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large portion of our expenses, including expenses for facilities, equipment and personnel, are relatively fixed in the short term. In addition, we expect operating expenses to increase significantly during the next year. Accordingly, if our revenues decline or do not grow as anticipated due to the expiration of existing contracts or our failure to obtain new contracts, our inability to meet milestones or other factors, we may not be able to correspondingly reduce our operating expenses. Failure to achieve anticipated levels of revenues could therefore significantly harm our operating results for a particular fiscal period.</w:t>
      </w:r>
    </w:p>
    <w:p>
      <w:pPr>
        <w:spacing w:after="0" w:line="1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Due to the possibility of fluctuations in our revenues and expenses, we believe that quarter-to-quarter comparisons of our operating results are not a good indication of our future performance. As a result, in some future quarters, our operating results may not meet the expectations of stock market analysts and investors, which could result in a decline in the price of our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extremely volatile.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trading price of our common stock will remain highly volatile and may fluctuate substantially due to factors such as the following:</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announcement of new products or services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failure to achieve operating results projected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developments in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acquisitions of other companies or technologies;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20"/>
        <w:spacing w:after="0" w:line="261" w:lineRule="auto"/>
        <w:rPr>
          <w:sz w:val="20"/>
          <w:szCs w:val="20"/>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These factors and fluctuations, as well as general economic, political and market conditions, may materially adversely affect the market price of our common stock.</w:t>
      </w:r>
    </w:p>
    <w:p>
      <w:pPr>
        <w:spacing w:after="0" w:line="13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instituted. A securities class action suit against us could result in substantial costs and divert management's attention and resources, which could have a material and adverse effect on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acquisitions.</w:t>
      </w:r>
    </w:p>
    <w:p>
      <w:pPr>
        <w:spacing w:after="0" w:line="18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We have made, and may in the future make, acquisitions of, or significant investments in, businesses with complementary products, services and/or technologies. Acquisitions involve numerous risks, including, but not limited to:</w:t>
      </w:r>
    </w:p>
    <w:p>
      <w:pPr>
        <w:sectPr>
          <w:pgSz w:w="11900" w:h="16838" w:orient="portrait"/>
          <w:cols w:equalWidth="0" w:num="1">
            <w:col w:w="10880"/>
          </w:cols>
          <w:pgMar w:left="780" w:top="125" w:right="239" w:bottom="0" w:gutter="0" w:footer="0" w:header="0"/>
        </w:sectPr>
      </w:pPr>
    </w:p>
    <w:bookmarkStart w:id="7" w:name="page8"/>
    <w:bookmarkEnd w:id="7"/>
    <w:p>
      <w:pPr>
        <w:ind w:left="1080" w:right="700"/>
        <w:spacing w:after="0" w:line="257" w:lineRule="auto"/>
        <w:rPr>
          <w:sz w:val="20"/>
          <w:szCs w:val="20"/>
          <w:color w:val="auto"/>
        </w:rPr>
      </w:pPr>
      <w:r>
        <w:rPr>
          <w:rFonts w:ascii="Times New Roman" w:cs="Times New Roman" w:eastAsia="Times New Roman" w:hAnsi="Times New Roman"/>
          <w:sz w:val="18"/>
          <w:szCs w:val="18"/>
          <w:color w:val="auto"/>
        </w:rPr>
        <w:t>difficulties and increased costs in connection with integration of the personnel, operations, technologies and products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diversion of management's attention from other operational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potential loss of key employees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potential loss of key collaborators of the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lack of synergy, or the inability to realize expected synergies, resulting from the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520"/>
        <w:spacing w:after="0" w:line="261" w:lineRule="auto"/>
        <w:rPr>
          <w:sz w:val="20"/>
          <w:szCs w:val="20"/>
          <w:color w:val="auto"/>
        </w:rPr>
      </w:pPr>
      <w:r>
        <w:rPr>
          <w:rFonts w:ascii="Times New Roman" w:cs="Times New Roman" w:eastAsia="Times New Roman" w:hAnsi="Times New Roman"/>
          <w:sz w:val="18"/>
          <w:szCs w:val="18"/>
          <w:color w:val="auto"/>
        </w:rPr>
        <w:t>acquired intangible assets becoming impaired as a result of technological advancements or worse-than-expected performance of the acquired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Mergers and acquisitions are inherently risky, and the inability to effectively manage these risks could materially and adversely affect our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 may impair our financial results.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our acquisition of Artemis, some of our operating expenses are denominated in foreign currencies. To the extent that our operating expenses are denominated in foreign currencies, our operating results may be adversely affected by changes in exchange rates. Given the substantial volatility of currency exchange rates, and constantly changing currency exposures, we cannot predict the effect of exchange rate fluctuations on our future operating results. Although we engage in foreign currency hedging transactions from time to time, these hedging transactions can be costly, and therefore, we do not attempt to cover all potential foreign currency exposures. These hedging techniques do not eliminate all of the effects of foreign currency fluctuations on anticipated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successfully brought against us, we could face substantial liabilities that exceed our resources.</w:t>
      </w:r>
    </w:p>
    <w:p>
      <w:pPr>
        <w:spacing w:after="0" w:line="189"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6"/>
          <w:szCs w:val="16"/>
          <w:color w:val="auto"/>
        </w:rPr>
        <w:t>We may be held liable if any product our collaborators or we develop causes injury or is found otherwise unsuitable during product testing, manufacturing, marketing or sale. Although we intend to obtain general liability and product liability insurance, this insurance may be prohibitively expensive, or may not fully cover our potential liabilities. Inability to obtain sufficient insurance coverage at an acceptable cost or to otherwise protect ourselves against potential product liability claims could prevent or inhibit the commercialization of products developed by our collaborators or us.</w:t>
      </w:r>
    </w:p>
    <w:p>
      <w:pPr>
        <w:spacing w:after="0" w:line="11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facilities are located near known earthquake fault zones, and the occurrence of an earthquake or other catastrophic disaster could cause damage to our facilities and equipment, which could require us to cease or curtail operations.</w:t>
      </w:r>
    </w:p>
    <w:p>
      <w:pPr>
        <w:spacing w:after="0" w:line="129"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6"/>
          <w:szCs w:val="16"/>
          <w:color w:val="auto"/>
        </w:rPr>
        <w:t>Given our location, our facilities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unique nature of our research activities could cause significant delays in our programs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depress our stock price.</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If our stockholders sell substantial amounts of our common stock (including shares issued upon the exercise of outstanding options and warrants) in the public market, the market price of our common stock could fall. These sales also might make it more difficult for us to sell equity or equity-related securities in the future at a time and price that we deemed appropriate. In October 2000, a significant number of shares of our common stock held by existing stockholders became freely tradable, subject in some instances to the volume and other limitations of Rule 144. Sales of these shares and other shares of common stock held by existing stockholders could cause the market price of our common stock to decline. In addition, up to 1.7 million shares of our common stock held by former investors in Artemis will become freely tradable in August 2001 following the expiration of a 90-day lock-up for shares acquired in the Artemis acquisition.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existing stockholders can exert control over us, and may not make decisions that are in the best interests of all stockholders.</w:t>
      </w:r>
    </w:p>
    <w:p>
      <w:pPr>
        <w:spacing w:after="0" w:line="22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Due to their combined stock holdings, our officers, directors and principal stockholders (stockholders holding more than 5% of our common stock) acting together, may be able to exert significant influence over all matters requiring stockholder approval, including the election of directors and approval of significant corporate transactions. In addition, this concentration of ownership may delay or prevent a change in control of our company, even when a change may be in the best interests of our stockholders. In addition, the interests of these stockholders may not always coincide with our interests as a company or the interests of other stockholders. Accordingly, these stockholders could cause us to enter into transactions or agreements that you would not approve</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p>
      <w:pPr>
        <w:spacing w:after="0" w:line="18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Some of the statements in this prospectus and the documents incorporated by reference are forward-looking statements. These statements are based on our current expectations, assumptions, estimates and projections about our business and our industry, and involve known and unknown risks, uncertainties and other factors that may cause our or our industry's results, levels of activity, performance or achievement to be materially different from any future results, levels of activity, performance or achievements expressed or implied in or contemplated by the forward-looking statements. Words such as "believe," "anticipate," "expect," "intend," "plan," "will," "may," "should," "estimate," "predict," "potential," "continue," or the negative of such terms or other similar expressions, identify forward-looking statements. In addition, any statements that refer to expectations, projections or other characterizations of future events or circumstances are forward-looking statements. Our actual results could differ materially from those anticipated in such forward-looking statements as a result of several factors more fully described under the caption "Risk Factors" and in the documents incorporated by reference. The forward-looking statements made in this prospectus relate only to events as of the date on which the statements are made.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00FF"/>
        </w:rPr>
        <w:t>USE OF PROCEEDS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prospectus supplement, the net proceeds from the sale of common stock offered by this prospectus will be used for general corporate purposes, including capital expenditures and to meet working capital needs. These purposes may also include repaying indebtedness. In addition, from time to time we may evaluate the acquisition of businesses, products and technologies for which a portion of the net proceeds may be used; however, we currently are not planning or negotiating any such transactions. Pending such uses, we may invest the net proceeds in interest-bearing securities.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00FF"/>
        </w:rPr>
        <w:t>PLAN OF DISTRIBUTION</w:t>
      </w:r>
    </w:p>
    <w:p>
      <w:pPr>
        <w:sectPr>
          <w:pgSz w:w="11900" w:h="16838" w:orient="portrait"/>
          <w:cols w:equalWidth="0" w:num="1">
            <w:col w:w="10860"/>
          </w:cols>
          <w:pgMar w:left="780" w:top="125" w:right="25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We may sell the common stock offered under this prospectus:</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through one or more underwriters or dealers in a public offering and sale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directly to investors;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through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sell the common stock offered under this prospectus from time to time in one or more transactions:</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 market prices prevailing at the times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 prices related to such prevailing market prices;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at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the method of distribution of the securities in the prospectus supplement.</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w:t>
      </w:r>
    </w:p>
    <w:p>
      <w:pPr>
        <w:spacing w:after="0" w:line="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prospectus supplement will identify any such underwriter, dealer or agent, and describe any compensation received by them from us. Any public offering price and any discounts or concessions allowed or reallowed or paid to dealers may be changed from time to time.</w:t>
      </w:r>
    </w:p>
    <w:p>
      <w:pPr>
        <w:spacing w:after="0" w:line="14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146"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We may grant underwriters who participate in the distribution of our common stock an option to purchase additional shares of common stock to cover over- allotments, if any, in connection with the distribution.</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Underwriters or agents and their associates may be customers of, engage in transactions with or perform services for us in the ordinary course of business.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DESCRIPTION OF CAPITAL STOCK</w:t>
      </w:r>
    </w:p>
    <w:p>
      <w:pPr>
        <w:spacing w:after="0" w:line="22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Our authorized capital stock of consists of 100,000,000 shares of common stock, $0.001 par value per share, and 10,000,000 shares of preferred stock, $0.001 par value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As of May 31, 2001, there were 48,533,903 shares of Exelixis common stock outstanding, held of record by approximately 923 stockholders. The holders of common stock are entitled to one vote for each share held of record on all matters submitted to a vote of the stockholders.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out of assets legally available therefor as our board of directors may from time to time determine. Upon liquidation, dissolution or winding up of Exelixis, holders of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 All outstanding shares of Exelixis common stock are, and all shares of Exelixis common stock to be outstanding upon the closing of this offering will be, fully paid and nonassessable.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to issue up to 10,000,000 shares of Exelixis preferred stock, in one or more series and to determine the rights, preferences, privileges and restrictions of the preferred stock, including dividend rights, conversion rights, voting rights, terms of redemption, liquidation preferences, sinking fund terms and the number of shares constituting any series or the designation of any series. The issuance of Exelixis preferred stock could diminish the voting power of holders of Exelixis common stock, and the likelihood that holders of Exelixis preferred stock will receive dividend payments and payments upon liquidation may have the effect of delaying, deferring or preventing a change in control of Exelixis. We have no present plans to issue any shares of Exelixis preferred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2001, the following warrants to purchase an aggregate of 496,220 shares of Exelixis common stock were outstanding:</w:t>
      </w:r>
    </w:p>
    <w:p>
      <w:pPr>
        <w:spacing w:after="0" w:line="185" w:lineRule="exact"/>
        <w:rPr>
          <w:sz w:val="20"/>
          <w:szCs w:val="20"/>
          <w:color w:val="auto"/>
        </w:rPr>
      </w:pPr>
    </w:p>
    <w:p>
      <w:pPr>
        <w:ind w:left="1080" w:right="40"/>
        <w:spacing w:after="0" w:line="255" w:lineRule="auto"/>
        <w:rPr>
          <w:sz w:val="20"/>
          <w:szCs w:val="20"/>
          <w:color w:val="auto"/>
        </w:rPr>
      </w:pPr>
      <w:r>
        <w:rPr>
          <w:rFonts w:ascii="Times New Roman" w:cs="Times New Roman" w:eastAsia="Times New Roman" w:hAnsi="Times New Roman"/>
          <w:sz w:val="18"/>
          <w:szCs w:val="18"/>
          <w:color w:val="auto"/>
        </w:rPr>
        <w:t>a warrant to purchase 71,428 shares of common stock at an exercise price of $1.13 per share. The warrant expires on April 14, 2005; three warrants to purchase an aggregate of 106,875 shares of common stock at an exercise price of $4.00 per share. The warrants expire on April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40"/>
        <w:spacing w:after="0" w:line="250" w:lineRule="auto"/>
        <w:rPr>
          <w:sz w:val="20"/>
          <w:szCs w:val="20"/>
          <w:color w:val="auto"/>
        </w:rPr>
      </w:pPr>
      <w:r>
        <w:rPr>
          <w:rFonts w:ascii="Times New Roman" w:cs="Times New Roman" w:eastAsia="Times New Roman" w:hAnsi="Times New Roman"/>
          <w:sz w:val="18"/>
          <w:szCs w:val="18"/>
          <w:color w:val="auto"/>
        </w:rPr>
        <w:t>three warrants to purchase an aggregate of 78,750 shares of common stock at an exercise price of $13.00 per share. The warrants expire on April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20"/>
        <w:spacing w:after="0" w:line="250" w:lineRule="auto"/>
        <w:rPr>
          <w:sz w:val="20"/>
          <w:szCs w:val="20"/>
          <w:color w:val="auto"/>
        </w:rPr>
      </w:pPr>
      <w:r>
        <w:rPr>
          <w:rFonts w:ascii="Times New Roman" w:cs="Times New Roman" w:eastAsia="Times New Roman" w:hAnsi="Times New Roman"/>
          <w:sz w:val="18"/>
          <w:szCs w:val="18"/>
          <w:color w:val="auto"/>
        </w:rPr>
        <w:t>13 warrants to purchase an aggregate of 166,251 shares of common stock at an exercise price of $20.00 per share. The warrants expire on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40"/>
        <w:spacing w:after="0" w:line="250" w:lineRule="auto"/>
        <w:rPr>
          <w:sz w:val="20"/>
          <w:szCs w:val="20"/>
          <w:color w:val="auto"/>
        </w:rPr>
      </w:pPr>
      <w:r>
        <w:rPr>
          <w:rFonts w:ascii="Times New Roman" w:cs="Times New Roman" w:eastAsia="Times New Roman" w:hAnsi="Times New Roman"/>
          <w:sz w:val="18"/>
          <w:szCs w:val="18"/>
          <w:color w:val="auto"/>
        </w:rPr>
        <w:t>a warrant to purchase 29,167 shares of common stock at an exercise price of $20.98 per share. The warrant expires on December 31, 2001;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20"/>
        <w:spacing w:after="0" w:line="261" w:lineRule="auto"/>
        <w:rPr>
          <w:sz w:val="20"/>
          <w:szCs w:val="20"/>
          <w:color w:val="auto"/>
        </w:rPr>
      </w:pPr>
      <w:r>
        <w:rPr>
          <w:rFonts w:ascii="Times New Roman" w:cs="Times New Roman" w:eastAsia="Times New Roman" w:hAnsi="Times New Roman"/>
          <w:sz w:val="18"/>
          <w:szCs w:val="18"/>
          <w:color w:val="auto"/>
        </w:rPr>
        <w:t>two warrants to purchase an aggregate of 43,750 shares of common stock at an exercise price of $20.00 per share. The warrants expire on September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warrants contain provisions for the adjustment of the exercise price and the aggregate number of shares that may be issued upon the exercise of the warrants if a stock dividend, stock split, reorganization, reclassification or consolidation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ectPr>
          <w:pgSz w:w="11900" w:h="16838" w:orient="portrait"/>
          <w:cols w:equalWidth="0" w:num="1">
            <w:col w:w="10880"/>
          </w:cols>
          <w:pgMar w:left="780" w:top="125" w:right="239" w:bottom="75" w:gutter="0" w:footer="0" w:header="0"/>
        </w:sectPr>
      </w:pPr>
    </w:p>
    <w:bookmarkStart w:id="9" w:name="page10"/>
    <w:bookmarkEnd w:id="9"/>
    <w:p>
      <w:pPr>
        <w:ind w:right="40"/>
        <w:spacing w:after="0" w:line="288" w:lineRule="auto"/>
        <w:rPr>
          <w:sz w:val="20"/>
          <w:szCs w:val="20"/>
          <w:color w:val="auto"/>
        </w:rPr>
      </w:pPr>
      <w:r>
        <w:rPr>
          <w:rFonts w:ascii="Times New Roman" w:cs="Times New Roman" w:eastAsia="Times New Roman" w:hAnsi="Times New Roman"/>
          <w:sz w:val="16"/>
          <w:szCs w:val="16"/>
          <w:color w:val="auto"/>
        </w:rPr>
        <w:t>Holders of an aggregate of 23,199,818 shares of common stock and holders of warrants to purchase an aggregate of 71,428 shares of common stock will be entitled to rights to register these shares under the Securities Act. These rights are provided under the fourth amended and restated securityholders' agreement, dated January 28, 1999, under the fourth amended and restated registration rights agreement, dated February 26, 1999, and under agreements with similar registration rights. If we propose to register any of our securities under the Securities Act, either for our own account or for the account of others, the holders of these shares with registration rights are entitled to notice of the registration and are entitled to include, at our expense, their shares of common stock in the registration and any related underwriting, provided, among other conditions, that the underwriters may limit the number of shares to be included in the registration and in some cases, exclude these shares entirely. In addition, the holders of these shares may require us, at our expense and on not more than two occasions, to file a registration statement under the Securities Act with respect to their shares of common stock, and we will be required to use our best efforts to effect the registration. Further, the holders may require us, at our expense, to register their shares on Form S-3 when this form is available. In addition, in connection with our sale of shares of common stock to Bristol-Myers Squibb on July 17, 2001 we have agreed to file a resale registration statement on Form S-3 for the 600,600 shares purchased by Bristol-Myers Squibb within 45 days of the purchase date.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General Corporation Law and Certain Charter Provisions.</w:t>
      </w:r>
    </w:p>
    <w:p>
      <w:pPr>
        <w:spacing w:after="0" w:line="187"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In general, Section 203 of the Delaware General Corporation Law prohibits a publicly-held Delaware corporation from engaging in any business combination with any interested stockholder for a period of three years following the date that the stockholder became an interested stockholder unless:</w:t>
      </w:r>
    </w:p>
    <w:p>
      <w:pPr>
        <w:spacing w:after="0" w:line="88" w:lineRule="exact"/>
        <w:rPr>
          <w:sz w:val="20"/>
          <w:szCs w:val="20"/>
          <w:color w:val="auto"/>
        </w:rPr>
      </w:pPr>
    </w:p>
    <w:p>
      <w:pPr>
        <w:ind w:left="1080" w:right="500"/>
        <w:spacing w:after="0" w:line="257" w:lineRule="auto"/>
        <w:rPr>
          <w:sz w:val="20"/>
          <w:szCs w:val="20"/>
          <w:color w:val="auto"/>
        </w:rPr>
      </w:pPr>
      <w:r>
        <w:rPr>
          <w:rFonts w:ascii="Times New Roman" w:cs="Times New Roman" w:eastAsia="Times New Roman" w:hAnsi="Times New Roman"/>
          <w:sz w:val="18"/>
          <w:szCs w:val="18"/>
          <w:color w:val="auto"/>
        </w:rPr>
        <w:t>prior to that date, the corporation's board of directors approved either the business combination or the transaction 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480"/>
        <w:spacing w:after="0" w:line="250" w:lineRule="auto"/>
        <w:rPr>
          <w:sz w:val="20"/>
          <w:szCs w:val="20"/>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those shares owned by persons who are directors and also officers, and by employee stock plans in which shares held subject to the plan will be tendered in a tender or exchange offer;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-506730</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line="255" w:lineRule="auto"/>
        <w:rPr>
          <w:sz w:val="20"/>
          <w:szCs w:val="20"/>
          <w:color w:val="auto"/>
        </w:rPr>
      </w:pPr>
      <w:r>
        <w:rPr>
          <w:rFonts w:ascii="Times New Roman" w:cs="Times New Roman" w:eastAsia="Times New Roman" w:hAnsi="Times New Roman"/>
          <w:sz w:val="18"/>
          <w:szCs w:val="18"/>
          <w:color w:val="auto"/>
        </w:rPr>
        <w:t>on or subsequent to that date, the business combination is approved by the corporation's board of directors and is authorized at an annual or special meeting of stockholders, and not by written consent, by the affirmative vote of at least two-thirds of the outstanding voting stock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-378460</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"business combination" to include:</w:t>
      </w:r>
    </w:p>
    <w:p>
      <w:pPr>
        <w:spacing w:after="0" w:line="1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right="540"/>
        <w:spacing w:after="0" w:line="250" w:lineRule="auto"/>
        <w:rPr>
          <w:sz w:val="20"/>
          <w:szCs w:val="20"/>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 subject to exceptions, any transaction that results in the issuance or transfer by the corporation of any stock of the corporation to the interested stockholder;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80"/>
        <w:spacing w:after="0" w:line="261" w:lineRule="auto"/>
        <w:rPr>
          <w:sz w:val="20"/>
          <w:szCs w:val="20"/>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3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Our certificate of incorporation requires that any action required or permitted to be taken by our stockholders must be effected at a duly called annual or special meeting of stockholders and may not be effected by a consent in writing. Additionally, our certificate of incorporation:</w:t>
      </w:r>
    </w:p>
    <w:p>
      <w:pPr>
        <w:spacing w:after="0" w:line="13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substantially limits the use of cumulative voting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right="1800"/>
        <w:spacing w:after="0" w:line="323" w:lineRule="auto"/>
        <w:rPr>
          <w:sz w:val="20"/>
          <w:szCs w:val="20"/>
          <w:color w:val="auto"/>
        </w:rPr>
      </w:pPr>
      <w:r>
        <w:rPr>
          <w:rFonts w:ascii="Times New Roman" w:cs="Times New Roman" w:eastAsia="Times New Roman" w:hAnsi="Times New Roman"/>
          <w:sz w:val="16"/>
          <w:szCs w:val="16"/>
          <w:color w:val="auto"/>
        </w:rPr>
        <w:t>provides that the authorized number of directors may be changed only by resolution of its board of directors; and authorizes its board of directors to issue blank check preferred stock to increase the amount of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-273685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-136525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0"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Our bylaws provide that candidates for director may be nominated only by our board of directors or by a stockholder who gives written notice to us no later than 60 days prior, nor earlier than 90 days prior, to the first anniversary of the last annual meeting of stockholders. Our board of directors currently consists of ten members, divided into three classes. As a result, a portion of the board of directors will be elected each year. The board of directors may appoint new directors to fill vacancies or newly created directorships. The restated bylaws also limit who may call a special meeting of stockholders.</w:t>
      </w:r>
    </w:p>
    <w:p>
      <w:pPr>
        <w:spacing w:after="0" w:line="117"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Delaware law and these charter provisions may have the effect of deterring hostile takeovers or delaying changes in control of our management, which could depress the market price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Exelixis common stock is Mellon Investor Services LLC.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00FF"/>
        </w:rPr>
        <w:t>LEGAL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by Cooley Godward LLP, Palo Alto, California.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00FF"/>
        </w:rPr>
        <w:t>EXPERTS</w:t>
      </w:r>
    </w:p>
    <w:p>
      <w:pPr>
        <w:spacing w:after="0" w:line="18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to the Annual Report on Form 10-K for the year ended December 31, 2000, have been so incorporated in reliance on the report of PricewaterhouseCoopers LLP, independent accountants, given on the authority of said firm as experts in auditing and accounting.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00FF"/>
        </w:rPr>
        <w:t>WHERE YOU CAN FIND MORE INFORMATION ABOUT EXELIXIS</w:t>
      </w:r>
    </w:p>
    <w:p>
      <w:pPr>
        <w:spacing w:after="0" w:line="227"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You should rely only on the information provided or incorporated by reference in this prospectus or any prospectus supplement. We have authorized no one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the document.</w:t>
      </w:r>
    </w:p>
    <w:p>
      <w:pPr>
        <w:spacing w:after="0" w:line="15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to register the common stock offered by this prospectus. However, this prospectus does not contain all of the information contained in the registration statement and the exhibits and schedules to the registration statement. We strongly encourage you to carefully read the registration statement and the exhibits and schedules to the registration statement.</w:t>
      </w:r>
    </w:p>
    <w:p>
      <w:pPr>
        <w:sectPr>
          <w:pgSz w:w="11900" w:h="16838" w:orient="portrait"/>
          <w:cols w:equalWidth="0" w:num="1">
            <w:col w:w="10880"/>
          </w:cols>
          <w:pgMar w:left="780" w:top="125" w:right="239" w:bottom="128"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we file at the SEC's Public Reference Room at 450 Fifth Street, N.W., Washington, DC 20549 or at the SEC's other public reference rooms located in New York, New York and Chicago, Illinois. You can request copies of these documents by contacting the SEC and paying a fee for the copying cost. Please call the SEC at 1-800-SEC- 0330 for further information on the public reference rooms. Our SEC filings are also available to the public from the SEC's website at www.sec.gov.</w:t>
      </w:r>
    </w:p>
    <w:p>
      <w:pPr>
        <w:spacing w:after="0" w:line="152"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contained in documents that we file with them, which means that we can disclose important information to you by referring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this information. We incorporate by reference the documents listed below and any future filings we will make with the SEC under Sections 13(a), 13(c), 14 or 15(d) of the Securities Exchange Act of 1934.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SEC are incorporated by reference in this prospectus:</w:t>
      </w:r>
    </w:p>
    <w:p>
      <w:pPr>
        <w:spacing w:after="0" w:line="185" w:lineRule="exact"/>
        <w:rPr>
          <w:sz w:val="20"/>
          <w:szCs w:val="20"/>
          <w:color w:val="auto"/>
        </w:rPr>
      </w:pPr>
    </w:p>
    <w:p>
      <w:pPr>
        <w:ind w:left="1080" w:hanging="167"/>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2000;</w:t>
      </w:r>
    </w:p>
    <w:p>
      <w:pPr>
        <w:spacing w:after="0" w:line="21" w:lineRule="exact"/>
        <w:rPr>
          <w:rFonts w:ascii="Times New Roman" w:cs="Times New Roman" w:eastAsia="Times New Roman" w:hAnsi="Times New Roman"/>
          <w:sz w:val="18"/>
          <w:szCs w:val="18"/>
          <w:color w:val="auto"/>
        </w:rPr>
      </w:pPr>
    </w:p>
    <w:p>
      <w:pPr>
        <w:ind w:left="1080" w:hanging="167"/>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March 31, 2001;</w:t>
      </w:r>
    </w:p>
    <w:p>
      <w:pPr>
        <w:spacing w:after="0" w:line="9" w:lineRule="exact"/>
        <w:rPr>
          <w:rFonts w:ascii="Times New Roman" w:cs="Times New Roman" w:eastAsia="Times New Roman" w:hAnsi="Times New Roman"/>
          <w:sz w:val="18"/>
          <w:szCs w:val="18"/>
          <w:color w:val="auto"/>
        </w:rPr>
      </w:pPr>
    </w:p>
    <w:p>
      <w:pPr>
        <w:ind w:left="1080" w:right="600" w:hanging="167"/>
        <w:spacing w:after="0" w:line="250"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on May 15, 2001 pursuant to Item 2 of such report, on July 18, 2001 and on July 26, 2001 pursuant to Item 5 of such report; and</w:t>
      </w:r>
    </w:p>
    <w:p>
      <w:pPr>
        <w:ind w:left="1080" w:hanging="167"/>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set forth in our registration statement on Form 8-A, filed with the SEC on April 6, 2000.</w:t>
      </w:r>
    </w:p>
    <w:p>
      <w:pPr>
        <w:spacing w:after="0" w:line="17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including exhibits to these documents. You should direct any requests for documents to Exelixis, Inc., Attention: Investor Relations, 170 Harbor Way, P.O. Box 511, South San Francisco, California 94083, telephone: (650) 837-7000.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WE HAVE NOT AUTHORIZED ANY DEALER, SALESPERSON OR OTHER PERSON TO GIVE ANY INFORMATION OR REPRESENT ANYTHING NOT CONTAINED IN THIS PROSPECTUS. YOU SHOULD RELY ONLY ON THE INFORMATION PROVIDED OR INCORPORATED BY REFERENCE IN THIS PROSPECTUS. YOU SHOULD NOT RELY ON ANY UNAUTHORIZED INFORMATION. THIS PROSPECTUS DOES NOT OFFER TO SELL OR BUY ANY SHARES IN ANY JURISDICTION IN WHICH IT IS UNLAWFUL. THE INFORMATION IN THIS PROSPECTUS IS CURRENT AS OF THE DATE ON THE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$150,000,000</w:t>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Exelixis, Inc.</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________ ___,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944245</wp:posOffset>
            </wp:positionV>
            <wp:extent cx="591693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ectPr>
          <w:pgSz w:w="11900" w:h="16838" w:orient="portrait"/>
          <w:cols w:equalWidth="0" w:num="1">
            <w:col w:w="10860"/>
          </w:cols>
          <w:pgMar w:left="780" w:top="125" w:right="25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All of the amounts shown are estimates except the SEC registration fee.</w:t>
            </w:r>
          </w:p>
        </w:tc>
        <w:tc>
          <w:tcPr>
            <w:tcW w:w="1880" w:type="dxa"/>
            <w:vAlign w:val="bottom"/>
          </w:tcPr>
          <w:p>
            <w:pPr>
              <w:spacing w:after="0"/>
              <w:rPr>
                <w:sz w:val="19"/>
                <w:szCs w:val="19"/>
                <w:color w:val="auto"/>
              </w:rPr>
            </w:pPr>
          </w:p>
        </w:tc>
      </w:tr>
      <w:tr>
        <w:trPr>
          <w:trHeight w:val="459"/>
        </w:trPr>
        <w:tc>
          <w:tcPr>
            <w:tcW w:w="62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SEC registration fee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$ 37,500</w:t>
            </w:r>
          </w:p>
        </w:tc>
      </w:tr>
      <w:tr>
        <w:trPr>
          <w:trHeight w:val="270"/>
        </w:trPr>
        <w:tc>
          <w:tcPr>
            <w:tcW w:w="62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Legal fees and expenses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0"/>
        </w:trPr>
        <w:tc>
          <w:tcPr>
            <w:tcW w:w="62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0"/>
        </w:trPr>
        <w:tc>
          <w:tcPr>
            <w:tcW w:w="62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Miscellaneous expenses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70"/>
        </w:trPr>
        <w:tc>
          <w:tcPr>
            <w:tcW w:w="6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70"/>
        </w:trPr>
        <w:tc>
          <w:tcPr>
            <w:tcW w:w="624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$207,500</w:t>
            </w:r>
          </w:p>
        </w:tc>
      </w:tr>
      <w:tr>
        <w:trPr>
          <w:trHeight w:val="270"/>
        </w:trPr>
        <w:tc>
          <w:tcPr>
            <w:tcW w:w="624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7"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t>Under Section 145 of the Delaware General Corporation Law, Exelixis has broad powers to indemnify its directors and officers against liabilities they may incur in such capacities, including liabilities under the Securities Act. Exelixis' bylaws also provide that Exelixis will indemnify its directors and executive officers and may indemnify its other officers, employees and other agents to the fullest extent permitted by Delaware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permitted by Delaware law, Exelixis' amended and restated certificate of incorporation provides that no director of Exelixis will be personally liable 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Exelixis or its stockholders for monetary damages for breach of fiduciary duty as a director, except for liability:</w:t>
      </w:r>
    </w:p>
    <w:p>
      <w:pPr>
        <w:spacing w:after="0" w:line="17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any breach of duty of loyalty to Exelixis or to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20"/>
        <w:spacing w:after="0" w:line="250" w:lineRule="auto"/>
        <w:rPr>
          <w:sz w:val="20"/>
          <w:szCs w:val="20"/>
          <w:color w:val="auto"/>
        </w:rPr>
      </w:pPr>
      <w:r>
        <w:rPr>
          <w:rFonts w:ascii="Times New Roman" w:cs="Times New Roman" w:eastAsia="Times New Roman" w:hAnsi="Times New Roman"/>
          <w:sz w:val="18"/>
          <w:szCs w:val="18"/>
          <w:color w:val="auto"/>
        </w:rPr>
        <w:t>for unlawful payment of dividends or unlawful stock repurchases or redemptions under Section 174 of the Delaware General Corporation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Exelixis' amended and restated certificate of incorporation further provides that Exelixis must indemnify its directors and executive officers and may indemnify its other officers, employees and agents to the fullest extent permitted by Delaware law. Exelixis believes that indemnification under its amended and restated certificate of incorporation covers negligence and gross negligence on the part of indemnified parties.</w:t>
      </w:r>
    </w:p>
    <w:p>
      <w:pPr>
        <w:spacing w:after="0" w:line="14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Exelixis has entered into indemnification agreements with each of its directors and certain officers. These agreements, among other things, require Exelixis to indemnify each director and officer for certain expenses including attorneys' fees, judgments, fines and settlement amounts incurred by any such person in any action or proceeding, including any action by or in the right of Exelixis, arising out of the person's services as a director or officer to Exelixis, any subsidiary of Exelixis or to any other company or enterprise for which the person provides services at Exelixis' request.</w:t>
      </w:r>
    </w:p>
    <w:p>
      <w:pPr>
        <w:spacing w:after="0" w:line="15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 director or officer of Exelixis as to which indemnification is being sought nor is Exelixis aware of any threatened litigation that may result in claims for indemnification by any officer or director.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Number</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3900" w:type="dxa"/>
            <w:vAlign w:val="bottom"/>
          </w:tcPr>
          <w:p>
            <w:pPr>
              <w:spacing w:after="0"/>
              <w:rPr>
                <w:sz w:val="18"/>
                <w:szCs w:val="18"/>
                <w:color w:val="auto"/>
              </w:rPr>
            </w:pPr>
          </w:p>
        </w:tc>
      </w:tr>
      <w:tr>
        <w:trPr>
          <w:trHeight w:val="302"/>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8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(1)</w:t>
            </w:r>
          </w:p>
        </w:tc>
      </w:tr>
      <w:tr>
        <w:trPr>
          <w:trHeight w:val="28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Restated Bylaws (1)</w:t>
            </w:r>
          </w:p>
        </w:tc>
      </w:tr>
      <w:tr>
        <w:trPr>
          <w:trHeight w:val="28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Specimen Stock Certificate (1)</w:t>
            </w:r>
          </w:p>
        </w:tc>
      </w:tr>
      <w:tr>
        <w:trPr>
          <w:trHeight w:val="28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Cooley Godward LLP</w:t>
            </w:r>
          </w:p>
        </w:tc>
      </w:tr>
      <w:tr>
        <w:trPr>
          <w:trHeight w:val="28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Consent of PricewaterhouseCoopers LLP, Independent Accountants</w:t>
            </w:r>
          </w:p>
        </w:tc>
      </w:tr>
      <w:tr>
        <w:trPr>
          <w:trHeight w:val="28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Cooley Godward LLP (included in Exhibit 5.1)</w:t>
            </w:r>
          </w:p>
        </w:tc>
      </w:tr>
      <w:tr>
        <w:trPr>
          <w:trHeight w:val="284"/>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 or by a Current Report on Form 8-K pursuant to Section 601 of Regulation S-K.</w:t>
      </w:r>
    </w:p>
    <w:p>
      <w:pPr>
        <w:spacing w:after="0" w:line="21" w:lineRule="exact"/>
        <w:rPr>
          <w:sz w:val="20"/>
          <w:szCs w:val="20"/>
          <w:color w:val="auto"/>
        </w:rPr>
      </w:pPr>
    </w:p>
    <w:p>
      <w:pPr>
        <w:ind w:right="600" w:firstLine="8"/>
        <w:spacing w:after="0" w:line="261" w:lineRule="auto"/>
        <w:tabs>
          <w:tab w:leader="none" w:pos="2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Exelixis' Registration Statement on Form S-1, as amended (File No. 333-96335), originally filed with the SEC on February 7, 2000.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85" w:lineRule="exact"/>
        <w:rPr>
          <w:sz w:val="20"/>
          <w:szCs w:val="20"/>
          <w:color w:val="auto"/>
        </w:rPr>
      </w:pPr>
    </w:p>
    <w:p>
      <w:pPr>
        <w:ind w:firstLine="8"/>
        <w:spacing w:after="0" w:line="253"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56" w:lineRule="exact"/>
        <w:rPr>
          <w:rFonts w:ascii="Times New Roman" w:cs="Times New Roman" w:eastAsia="Times New Roman" w:hAnsi="Times New Roman"/>
          <w:sz w:val="18"/>
          <w:szCs w:val="18"/>
          <w:color w:val="auto"/>
        </w:rPr>
      </w:pPr>
    </w:p>
    <w:p>
      <w:pPr>
        <w:ind w:right="300" w:firstLine="8"/>
        <w:spacing w:after="0" w:line="339" w:lineRule="auto"/>
        <w:tabs>
          <w:tab w:leader="none" w:pos="2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post-effective amendment shall be deemed to be a new registration statement relating to the securities it offers, and the offering of the securities at that time shall be deemed to be the initial bona fide offering thereof.</w:t>
      </w:r>
    </w:p>
    <w:p>
      <w:pPr>
        <w:spacing w:after="0" w:line="87" w:lineRule="exact"/>
        <w:rPr>
          <w:rFonts w:ascii="Times New Roman" w:cs="Times New Roman" w:eastAsia="Times New Roman" w:hAnsi="Times New Roman"/>
          <w:sz w:val="16"/>
          <w:szCs w:val="16"/>
          <w:color w:val="auto"/>
        </w:rPr>
      </w:pPr>
    </w:p>
    <w:p>
      <w:pPr>
        <w:ind w:firstLine="8"/>
        <w:spacing w:after="0" w:line="275"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that remain unsold at the termination of this offering.</w:t>
      </w:r>
    </w:p>
    <w:p>
      <w:pPr>
        <w:sectPr>
          <w:pgSz w:w="11900" w:h="16838" w:orient="portrait"/>
          <w:cols w:equalWidth="0" w:num="1">
            <w:col w:w="10880"/>
          </w:cols>
          <w:pgMar w:left="780" w:top="125" w:right="239" w:bottom="0" w:gutter="0" w:footer="0" w:header="0"/>
        </w:sectPr>
      </w:pPr>
    </w:p>
    <w:bookmarkStart w:id="12" w:name="page13"/>
    <w:bookmarkEnd w:id="12"/>
    <w:p>
      <w:pPr>
        <w:spacing w:after="0" w:line="144" w:lineRule="exact"/>
        <w:rPr>
          <w:sz w:val="20"/>
          <w:szCs w:val="20"/>
          <w:color w:val="auto"/>
        </w:rPr>
      </w:pPr>
    </w:p>
    <w:p>
      <w:pPr>
        <w:jc w:val="both"/>
        <w:ind w:left="540" w:right="540" w:firstLine="8"/>
        <w:spacing w:after="0" w:line="310" w:lineRule="auto"/>
        <w:tabs>
          <w:tab w:leader="none" w:pos="78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the securities at that time shall be deemed to be the initial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offering thereof.</w:t>
      </w:r>
    </w:p>
    <w:p>
      <w:pPr>
        <w:spacing w:after="0" w:line="110" w:lineRule="exact"/>
        <w:rPr>
          <w:rFonts w:ascii="Times New Roman" w:cs="Times New Roman" w:eastAsia="Times New Roman" w:hAnsi="Times New Roman"/>
          <w:sz w:val="16"/>
          <w:szCs w:val="16"/>
          <w:color w:val="auto"/>
        </w:rPr>
      </w:pPr>
    </w:p>
    <w:p>
      <w:pPr>
        <w:ind w:left="540" w:right="80" w:firstLine="8"/>
        <w:spacing w:after="0" w:line="255" w:lineRule="auto"/>
        <w:tabs>
          <w:tab w:leader="none" w:pos="7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 for purpose of determining any liability under the Securities Act of 1933, 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 (ii)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53" w:lineRule="exact"/>
        <w:rPr>
          <w:sz w:val="20"/>
          <w:szCs w:val="20"/>
          <w:color w:val="auto"/>
        </w:rPr>
      </w:pPr>
    </w:p>
    <w:p>
      <w:pPr>
        <w:ind w:left="540"/>
        <w:spacing w:after="0" w:line="291"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this form of indemnification is against public policy as expressed in the Securities Act and is, therefore, unenforceable. In the event that a claim for indemnification against these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this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411480</wp:posOffset>
            </wp:positionV>
            <wp:extent cx="591693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169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7" w:lineRule="exact"/>
        <w:rPr>
          <w:sz w:val="20"/>
          <w:szCs w:val="20"/>
          <w:color w:val="auto"/>
        </w:rPr>
      </w:pPr>
    </w:p>
    <w:p>
      <w:pPr>
        <w:ind w:left="540" w:right="8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Exelixis, Inc.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July 27, 2001.</w:t>
      </w:r>
    </w:p>
    <w:p>
      <w:pPr>
        <w:spacing w:after="0" w:line="14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EXELIXIS, INC.</w:t>
      </w:r>
    </w:p>
    <w:p>
      <w:pPr>
        <w:spacing w:after="0" w:line="1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/s/George A. Scangos</w:t>
      </w:r>
    </w:p>
    <w:p>
      <w:pPr>
        <w:spacing w:after="0" w:line="2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George A. Scangos, Ph.D.</w:t>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5"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b w:val="1"/>
          <w:bCs w:val="1"/>
          <w:color w:val="auto"/>
        </w:rPr>
        <w:t>Know All Persons By These Presents</w:t>
      </w:r>
      <w:r>
        <w:rPr>
          <w:rFonts w:ascii="Times New Roman" w:cs="Times New Roman" w:eastAsia="Times New Roman" w:hAnsi="Times New Roman"/>
          <w:sz w:val="16"/>
          <w:szCs w:val="16"/>
          <w:color w:val="auto"/>
        </w:rPr>
        <w:t>, that each person whose signature appears below constitutes and appoints</w:t>
      </w:r>
      <w:r>
        <w:rPr>
          <w:rFonts w:ascii="Times New Roman" w:cs="Times New Roman" w:eastAsia="Times New Roman" w:hAnsi="Times New Roman"/>
          <w:sz w:val="16"/>
          <w:szCs w:val="16"/>
          <w:b w:val="1"/>
          <w:bCs w:val="1"/>
          <w:color w:val="auto"/>
        </w:rPr>
        <w:t xml:space="preserve"> George A. Scangos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Glen Y. Sato </w:t>
      </w:r>
      <w:r>
        <w:rPr>
          <w:rFonts w:ascii="Times New Roman" w:cs="Times New Roman" w:eastAsia="Times New Roman" w:hAnsi="Times New Roman"/>
          <w:sz w:val="16"/>
          <w:szCs w:val="16"/>
          <w:color w:val="auto"/>
        </w:rPr>
        <w:t>and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any one of them, his true and lawful attorney-in-fact and agent, with full power of substitution and resubstitution, for him and in his name, place and stead, in any and all capacities, to sign any and all amendments (including post-effective amendments and registration statements filed pursuant to Rule 462)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2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502"/>
        </w:trPr>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5"/>
              </w:rPr>
              <w:t>/s/ George A. Scangos</w:t>
            </w:r>
          </w:p>
        </w:tc>
        <w:tc>
          <w:tcPr>
            <w:tcW w:w="1360" w:type="dxa"/>
            <w:vAlign w:val="bottom"/>
            <w:gridSpan w:val="4"/>
          </w:tcPr>
          <w:p>
            <w:pPr>
              <w:spacing w:after="0"/>
              <w:rPr>
                <w:sz w:val="24"/>
                <w:szCs w:val="24"/>
                <w:color w:val="auto"/>
              </w:rPr>
            </w:pP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July 27, 2001</w:t>
            </w:r>
          </w:p>
        </w:tc>
      </w:tr>
      <w:tr>
        <w:trPr>
          <w:trHeight w:val="220"/>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George A. Scangos, Ph.D.</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120" w:type="dxa"/>
            <w:vAlign w:val="bottom"/>
          </w:tcPr>
          <w:p>
            <w:pPr>
              <w:spacing w:after="0"/>
              <w:rPr>
                <w:sz w:val="20"/>
                <w:szCs w:val="20"/>
                <w:color w:val="auto"/>
              </w:rPr>
            </w:pPr>
          </w:p>
        </w:tc>
      </w:tr>
      <w:tr>
        <w:trPr>
          <w:trHeight w:val="50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Glen Y. Sato</w:t>
            </w:r>
          </w:p>
        </w:tc>
        <w:tc>
          <w:tcPr>
            <w:tcW w:w="1780" w:type="dxa"/>
            <w:vAlign w:val="bottom"/>
            <w:gridSpan w:val="6"/>
          </w:tcPr>
          <w:p>
            <w:pPr>
              <w:spacing w:after="0"/>
              <w:rPr>
                <w:sz w:val="24"/>
                <w:szCs w:val="24"/>
                <w:color w:val="auto"/>
              </w:rPr>
            </w:pP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July 27, 2001</w:t>
            </w:r>
          </w:p>
        </w:tc>
      </w:tr>
      <w:tr>
        <w:trPr>
          <w:trHeight w:val="220"/>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Glen Y. Sato</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120" w:type="dxa"/>
            <w:vAlign w:val="bottom"/>
          </w:tcPr>
          <w:p>
            <w:pPr>
              <w:spacing w:after="0"/>
              <w:rPr>
                <w:sz w:val="20"/>
                <w:szCs w:val="20"/>
                <w:color w:val="auto"/>
              </w:rPr>
            </w:pPr>
          </w:p>
        </w:tc>
      </w:tr>
      <w:tr>
        <w:trPr>
          <w:trHeight w:val="502"/>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 Steilos Papadopoulos</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July 27, 2001</w:t>
            </w: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5"/>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Stelios Papadopoulos, Ph.D.</w:t>
            </w:r>
          </w:p>
        </w:tc>
        <w:tc>
          <w:tcPr>
            <w:tcW w:w="3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02"/>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Charles Cohen</w:t>
            </w:r>
          </w:p>
        </w:tc>
        <w:tc>
          <w:tcPr>
            <w:tcW w:w="1640" w:type="dxa"/>
            <w:vAlign w:val="bottom"/>
            <w:gridSpan w:val="5"/>
          </w:tcPr>
          <w:p>
            <w:pPr>
              <w:spacing w:after="0"/>
              <w:rPr>
                <w:sz w:val="24"/>
                <w:szCs w:val="24"/>
                <w:color w:val="auto"/>
              </w:rPr>
            </w:pP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July 27, 2001</w:t>
            </w:r>
          </w:p>
        </w:tc>
      </w:tr>
      <w:tr>
        <w:trPr>
          <w:trHeight w:val="235"/>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Charles Cohen, Ph.D.</w:t>
            </w:r>
          </w:p>
        </w:tc>
        <w:tc>
          <w:tcPr>
            <w:tcW w:w="3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02"/>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 Jurgen Drews, M.D.</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July 27, 2001</w:t>
            </w:r>
          </w:p>
        </w:tc>
      </w:tr>
      <w:tr>
        <w:trPr>
          <w:trHeight w:val="235"/>
        </w:trPr>
        <w:tc>
          <w:tcPr>
            <w:tcW w:w="16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Jurgen Drews, M.D.</w:t>
            </w:r>
          </w:p>
        </w:tc>
        <w:tc>
          <w:tcPr>
            <w:tcW w:w="1300" w:type="dxa"/>
            <w:vAlign w:val="bottom"/>
            <w:gridSpan w:val="3"/>
          </w:tcPr>
          <w:p>
            <w:pPr>
              <w:spacing w:after="0"/>
              <w:rPr>
                <w:sz w:val="20"/>
                <w:szCs w:val="20"/>
                <w:color w:val="auto"/>
              </w:rPr>
            </w:pPr>
          </w:p>
        </w:tc>
        <w:tc>
          <w:tcPr>
            <w:tcW w:w="3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02"/>
        </w:trPr>
        <w:tc>
          <w:tcPr>
            <w:tcW w:w="2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 Geoffrey Duyk, M.D. Ph.D.</w:t>
            </w:r>
          </w:p>
        </w:tc>
        <w:tc>
          <w:tcPr>
            <w:tcW w:w="3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July 27, 2001</w:t>
            </w:r>
          </w:p>
        </w:tc>
      </w:tr>
      <w:tr>
        <w:trPr>
          <w:trHeight w:val="235"/>
        </w:trPr>
        <w:tc>
          <w:tcPr>
            <w:tcW w:w="21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Geoffrey Duyk, M.D., Ph.D.</w:t>
            </w:r>
          </w:p>
        </w:tc>
        <w:tc>
          <w:tcPr>
            <w:tcW w:w="7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ectPr>
          <w:pgSz w:w="11900" w:h="16982" w:orient="portrait"/>
          <w:cols w:equalWidth="0" w:num="1">
            <w:col w:w="11420"/>
          </w:cols>
          <w:pgMar w:left="240" w:top="125" w:right="239" w:bottom="0" w:gutter="0" w:footer="0" w:header="0"/>
        </w:sectPr>
      </w:pPr>
    </w:p>
    <w:p>
      <w:pPr>
        <w:spacing w:after="0" w:line="112" w:lineRule="exact"/>
        <w:rPr>
          <w:sz w:val="20"/>
          <w:szCs w:val="20"/>
          <w:color w:val="auto"/>
        </w:rPr>
      </w:pPr>
    </w:p>
    <w:p>
      <w:pPr>
        <w:ind w:left="180"/>
        <w:spacing w:after="0"/>
        <w:tabs>
          <w:tab w:leader="none" w:pos="3840" w:val="left"/>
          <w:tab w:leader="none" w:pos="6880" w:val="left"/>
        </w:tabs>
        <w:rPr>
          <w:sz w:val="20"/>
          <w:szCs w:val="20"/>
          <w:color w:val="auto"/>
        </w:rPr>
      </w:pPr>
      <w:r>
        <w:rPr>
          <w:rFonts w:ascii="Times New Roman" w:cs="Times New Roman" w:eastAsia="Times New Roman" w:hAnsi="Times New Roman"/>
          <w:sz w:val="18"/>
          <w:szCs w:val="18"/>
          <w:color w:val="auto"/>
        </w:rPr>
        <w:t>/s/Jason S Fisherman</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July 27 2001</w:t>
      </w:r>
    </w:p>
    <w:p>
      <w:pPr>
        <w:sectPr>
          <w:pgSz w:w="11900" w:h="16982" w:orient="portrait"/>
          <w:cols w:equalWidth="0" w:num="1">
            <w:col w:w="11420"/>
          </w:cols>
          <w:pgMar w:left="240" w:top="125" w:right="239" w:bottom="0" w:gutter="0" w:footer="0" w:header="0"/>
          <w:type w:val="continuous"/>
        </w:sectPr>
      </w:pPr>
    </w:p>
    <w:bookmarkStart w:id="13" w:name="page14"/>
    <w:bookmarkEnd w:id="13"/>
    <w:tbl>
      <w:tblPr>
        <w:tblLayout w:type="fixed"/>
        <w:tblInd w:w="4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3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Jason S. Fisherman, M.D.</w:t>
            </w:r>
          </w:p>
        </w:tc>
        <w:tc>
          <w:tcPr>
            <w:tcW w:w="2920" w:type="dxa"/>
            <w:vAlign w:val="bottom"/>
          </w:tcPr>
          <w:p>
            <w:pPr>
              <w:spacing w:after="0"/>
              <w:rPr>
                <w:sz w:val="19"/>
                <w:szCs w:val="19"/>
                <w:color w:val="auto"/>
              </w:rPr>
            </w:pPr>
          </w:p>
        </w:tc>
        <w:tc>
          <w:tcPr>
            <w:tcW w:w="3840" w:type="dxa"/>
            <w:vAlign w:val="bottom"/>
          </w:tcPr>
          <w:p>
            <w:pPr>
              <w:spacing w:after="0"/>
              <w:rPr>
                <w:sz w:val="19"/>
                <w:szCs w:val="19"/>
                <w:color w:val="auto"/>
              </w:rPr>
            </w:pPr>
          </w:p>
        </w:tc>
      </w:tr>
      <w:tr>
        <w:trPr>
          <w:trHeight w:val="623"/>
        </w:trPr>
        <w:tc>
          <w:tcPr>
            <w:tcW w:w="14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Jean-Francois Formela</w:t>
            </w: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27, 2001</w:t>
            </w:r>
          </w:p>
        </w:tc>
      </w:tr>
      <w:tr>
        <w:trPr>
          <w:trHeight w:val="20"/>
        </w:trPr>
        <w:tc>
          <w:tcPr>
            <w:tcW w:w="1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3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Jean-Francois Formela, M.D.</w:t>
            </w:r>
          </w:p>
        </w:tc>
        <w:tc>
          <w:tcPr>
            <w:tcW w:w="29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502"/>
        </w:trPr>
        <w:tc>
          <w:tcPr>
            <w:tcW w:w="140" w:type="dxa"/>
            <w:vAlign w:val="bottom"/>
          </w:tcPr>
          <w:p>
            <w:pPr>
              <w:spacing w:after="0"/>
              <w:rPr>
                <w:sz w:val="24"/>
                <w:szCs w:val="24"/>
                <w:color w:val="auto"/>
              </w:rPr>
            </w:pPr>
          </w:p>
        </w:tc>
        <w:tc>
          <w:tcPr>
            <w:tcW w:w="3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Vincent T. Marchesi</w:t>
            </w: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27, 2001</w:t>
            </w:r>
          </w:p>
        </w:tc>
      </w:tr>
      <w:tr>
        <w:trPr>
          <w:trHeight w:val="20"/>
        </w:trPr>
        <w:tc>
          <w:tcPr>
            <w:tcW w:w="14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3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Vincent T. Marchesi, M.D., Ph.D.</w:t>
            </w:r>
          </w:p>
        </w:tc>
        <w:tc>
          <w:tcPr>
            <w:tcW w:w="29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502"/>
        </w:trPr>
        <w:tc>
          <w:tcPr>
            <w:tcW w:w="140" w:type="dxa"/>
            <w:vAlign w:val="bottom"/>
          </w:tcPr>
          <w:p>
            <w:pPr>
              <w:spacing w:after="0"/>
              <w:rPr>
                <w:sz w:val="24"/>
                <w:szCs w:val="24"/>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4"/>
              </w:rPr>
              <w:t>/s/Peter Stadler</w:t>
            </w:r>
          </w:p>
        </w:tc>
        <w:tc>
          <w:tcPr>
            <w:tcW w:w="1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27, 2001</w:t>
            </w:r>
          </w:p>
        </w:tc>
      </w:tr>
      <w:tr>
        <w:trPr>
          <w:trHeight w:val="235"/>
        </w:trPr>
        <w:tc>
          <w:tcPr>
            <w:tcW w:w="140" w:type="dxa"/>
            <w:vAlign w:val="bottom"/>
          </w:tcPr>
          <w:p>
            <w:pPr>
              <w:spacing w:after="0"/>
              <w:rPr>
                <w:sz w:val="20"/>
                <w:szCs w:val="20"/>
                <w:color w:val="auto"/>
              </w:rPr>
            </w:pPr>
          </w:p>
        </w:tc>
        <w:tc>
          <w:tcPr>
            <w:tcW w:w="3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Peter Stadler, Ph.D.</w:t>
            </w:r>
          </w:p>
        </w:tc>
        <w:tc>
          <w:tcPr>
            <w:tcW w:w="29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502"/>
        </w:trPr>
        <w:tc>
          <w:tcPr>
            <w:tcW w:w="140" w:type="dxa"/>
            <w:vAlign w:val="bottom"/>
          </w:tcPr>
          <w:p>
            <w:pPr>
              <w:spacing w:after="0"/>
              <w:rPr>
                <w:sz w:val="24"/>
                <w:szCs w:val="24"/>
                <w:color w:val="auto"/>
              </w:rPr>
            </w:pP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/s/ Lance Willsey</w:t>
            </w:r>
          </w:p>
        </w:tc>
        <w:tc>
          <w:tcPr>
            <w:tcW w:w="2380" w:type="dxa"/>
            <w:vAlign w:val="bottom"/>
            <w:gridSpan w:val="4"/>
          </w:tcPr>
          <w:p>
            <w:pPr>
              <w:spacing w:after="0"/>
              <w:rPr>
                <w:sz w:val="24"/>
                <w:szCs w:val="24"/>
                <w:color w:val="auto"/>
              </w:rPr>
            </w:pPr>
          </w:p>
        </w:tc>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July 27, 2001</w:t>
            </w:r>
          </w:p>
        </w:tc>
      </w:tr>
      <w:tr>
        <w:trPr>
          <w:trHeight w:val="235"/>
        </w:trPr>
        <w:tc>
          <w:tcPr>
            <w:tcW w:w="140" w:type="dxa"/>
            <w:vAlign w:val="bottom"/>
          </w:tcPr>
          <w:p>
            <w:pPr>
              <w:spacing w:after="0"/>
              <w:rPr>
                <w:sz w:val="20"/>
                <w:szCs w:val="20"/>
                <w:color w:val="auto"/>
              </w:rPr>
            </w:pPr>
          </w:p>
        </w:tc>
        <w:tc>
          <w:tcPr>
            <w:tcW w:w="3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Lance Willsey, M.D.</w:t>
            </w:r>
          </w:p>
        </w:tc>
        <w:tc>
          <w:tcPr>
            <w:tcW w:w="29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266"/>
        </w:trPr>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2920" w:type="dxa"/>
            <w:vAlign w:val="bottom"/>
            <w:tcBorders>
              <w:bottom w:val="single" w:sz="8" w:color="9A9A9A"/>
            </w:tcBorders>
          </w:tcPr>
          <w:p>
            <w:pPr>
              <w:spacing w:after="0"/>
              <w:rPr>
                <w:sz w:val="23"/>
                <w:szCs w:val="23"/>
                <w:color w:val="auto"/>
              </w:rPr>
            </w:pPr>
          </w:p>
        </w:tc>
        <w:tc>
          <w:tcPr>
            <w:tcW w:w="3840" w:type="dxa"/>
            <w:vAlign w:val="bottom"/>
            <w:tcBorders>
              <w:bottom w:val="single" w:sz="8" w:color="9A9A9A"/>
            </w:tcBorders>
          </w:tcPr>
          <w:p>
            <w:pPr>
              <w:spacing w:after="0"/>
              <w:rPr>
                <w:sz w:val="23"/>
                <w:szCs w:val="23"/>
                <w:color w:val="auto"/>
              </w:rPr>
            </w:pPr>
          </w:p>
        </w:tc>
      </w:tr>
      <w:tr>
        <w:trPr>
          <w:trHeight w:val="390"/>
        </w:trPr>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3840" w:type="dxa"/>
            <w:vAlign w:val="bottom"/>
          </w:tcPr>
          <w:p>
            <w:pPr>
              <w:spacing w:after="0"/>
              <w:rPr>
                <w:sz w:val="24"/>
                <w:szCs w:val="24"/>
                <w:color w:val="auto"/>
              </w:rPr>
            </w:pPr>
          </w:p>
        </w:tc>
      </w:tr>
      <w:tr>
        <w:trPr>
          <w:trHeight w:val="394"/>
        </w:trPr>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Exhibit Number</w:t>
            </w:r>
          </w:p>
        </w:tc>
        <w:tc>
          <w:tcPr>
            <w:tcW w:w="100" w:type="dxa"/>
            <w:vAlign w:val="bottom"/>
          </w:tcPr>
          <w:p>
            <w:pPr>
              <w:spacing w:after="0"/>
              <w:rPr>
                <w:sz w:val="24"/>
                <w:szCs w:val="24"/>
                <w:color w:val="auto"/>
              </w:rPr>
            </w:pPr>
          </w:p>
        </w:tc>
        <w:tc>
          <w:tcPr>
            <w:tcW w:w="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1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302"/>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 *</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Form of Underwriting Agreement</w:t>
            </w:r>
          </w:p>
        </w:tc>
        <w:tc>
          <w:tcPr>
            <w:tcW w:w="29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84"/>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(1)</w:t>
            </w:r>
          </w:p>
        </w:tc>
        <w:tc>
          <w:tcPr>
            <w:tcW w:w="3840" w:type="dxa"/>
            <w:vAlign w:val="bottom"/>
          </w:tcPr>
          <w:p>
            <w:pPr>
              <w:spacing w:after="0"/>
              <w:rPr>
                <w:sz w:val="24"/>
                <w:szCs w:val="24"/>
                <w:color w:val="auto"/>
              </w:rPr>
            </w:pPr>
          </w:p>
        </w:tc>
      </w:tr>
      <w:tr>
        <w:trPr>
          <w:trHeight w:val="284"/>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Restated Bylaws (1)</w:t>
            </w:r>
          </w:p>
        </w:tc>
        <w:tc>
          <w:tcPr>
            <w:tcW w:w="29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84"/>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Specimen Stock Certificate (1)</w:t>
            </w:r>
          </w:p>
        </w:tc>
        <w:tc>
          <w:tcPr>
            <w:tcW w:w="29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84"/>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Opinion of Cooley Godward LLP</w:t>
            </w:r>
          </w:p>
        </w:tc>
        <w:tc>
          <w:tcPr>
            <w:tcW w:w="29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84"/>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Consent of PricewaterhouseCoopers LLP, Independent Accountants</w:t>
            </w:r>
          </w:p>
        </w:tc>
        <w:tc>
          <w:tcPr>
            <w:tcW w:w="3840" w:type="dxa"/>
            <w:vAlign w:val="bottom"/>
          </w:tcPr>
          <w:p>
            <w:pPr>
              <w:spacing w:after="0"/>
              <w:rPr>
                <w:sz w:val="24"/>
                <w:szCs w:val="24"/>
                <w:color w:val="auto"/>
              </w:rPr>
            </w:pPr>
          </w:p>
        </w:tc>
      </w:tr>
      <w:tr>
        <w:trPr>
          <w:trHeight w:val="284"/>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Consent of Cooley Godward LLP (included in Exhibit 5.1)</w:t>
            </w:r>
          </w:p>
        </w:tc>
        <w:tc>
          <w:tcPr>
            <w:tcW w:w="3840" w:type="dxa"/>
            <w:vAlign w:val="bottom"/>
          </w:tcPr>
          <w:p>
            <w:pPr>
              <w:spacing w:after="0"/>
              <w:rPr>
                <w:sz w:val="24"/>
                <w:szCs w:val="24"/>
                <w:color w:val="auto"/>
              </w:rPr>
            </w:pPr>
          </w:p>
        </w:tc>
      </w:tr>
      <w:tr>
        <w:trPr>
          <w:trHeight w:val="284"/>
        </w:trPr>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c>
          <w:tcPr>
            <w:tcW w:w="3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123190</wp:posOffset>
            </wp:positionV>
            <wp:extent cx="969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9645" cy="889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-1991995</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523875</wp:posOffset>
            </wp:positionH>
            <wp:positionV relativeFrom="paragraph">
              <wp:posOffset>-1991995</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 or by a Current Report on Form 8-K pursuant to Section 601 of Regulation S-K.</w:t>
      </w:r>
    </w:p>
    <w:p>
      <w:pPr>
        <w:spacing w:after="0" w:line="21" w:lineRule="exact"/>
        <w:rPr>
          <w:sz w:val="20"/>
          <w:szCs w:val="20"/>
          <w:color w:val="auto"/>
        </w:rPr>
      </w:pPr>
    </w:p>
    <w:p>
      <w:pPr>
        <w:ind w:firstLine="8"/>
        <w:spacing w:after="0" w:line="261"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Exelixis' Registration Statement on Form S-1, as amended (File No. 333-96335), originally filed with the SEC on February 7, 2000.</w:t>
      </w:r>
    </w:p>
    <w:p>
      <w:pPr>
        <w:sectPr>
          <w:pgSz w:w="11900" w:h="16838" w:orient="portrait"/>
          <w:cols w:equalWidth="0" w:num="1">
            <w:col w:w="11120"/>
          </w:cols>
          <w:pgMar w:left="240" w:top="220" w:right="539" w:bottom="1440" w:gutter="0" w:footer="0" w:header="0"/>
        </w:sectPr>
      </w:pPr>
    </w:p>
    <w:bookmarkStart w:id="14" w:name="page15"/>
    <w:bookmarkEnd w:id="14"/>
    <w:p>
      <w:pPr>
        <w:jc w:val="right"/>
        <w:spacing w:after="0"/>
        <w:rPr>
          <w:sz w:val="20"/>
          <w:szCs w:val="20"/>
          <w:color w:val="auto"/>
        </w:rPr>
      </w:pPr>
      <w:r>
        <w:rPr>
          <w:rFonts w:ascii="Courier New" w:cs="Courier New" w:eastAsia="Courier New" w:hAnsi="Courier New"/>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27,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Exelixis,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170 Harbor Way</w:t>
      </w:r>
    </w:p>
    <w:p>
      <w:pPr>
        <w:spacing w:after="0" w:line="238" w:lineRule="auto"/>
        <w:rPr>
          <w:sz w:val="20"/>
          <w:szCs w:val="20"/>
          <w:color w:val="auto"/>
        </w:rPr>
      </w:pPr>
      <w:r>
        <w:rPr>
          <w:rFonts w:ascii="Courier New" w:cs="Courier New" w:eastAsia="Courier New" w:hAnsi="Courier New"/>
          <w:sz w:val="18"/>
          <w:szCs w:val="18"/>
          <w:color w:val="auto"/>
        </w:rPr>
        <w:t>P.O. Box 511</w:t>
      </w:r>
    </w:p>
    <w:p>
      <w:pPr>
        <w:spacing w:after="0"/>
        <w:rPr>
          <w:sz w:val="20"/>
          <w:szCs w:val="20"/>
          <w:color w:val="auto"/>
        </w:rPr>
      </w:pPr>
      <w:r>
        <w:rPr>
          <w:rFonts w:ascii="Courier New" w:cs="Courier New" w:eastAsia="Courier New" w:hAnsi="Courier New"/>
          <w:sz w:val="18"/>
          <w:szCs w:val="18"/>
          <w:color w:val="auto"/>
        </w:rPr>
        <w:t>South San Francisco, CA 94083</w:t>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174" w:lineRule="exact"/>
        <w:rPr>
          <w:sz w:val="20"/>
          <w:szCs w:val="20"/>
          <w:color w:val="auto"/>
        </w:rPr>
      </w:pPr>
    </w:p>
    <w:p>
      <w:pPr>
        <w:jc w:val="both"/>
        <w:spacing w:after="0" w:line="289" w:lineRule="auto"/>
        <w:rPr>
          <w:sz w:val="20"/>
          <w:szCs w:val="20"/>
          <w:color w:val="auto"/>
        </w:rPr>
      </w:pPr>
      <w:r>
        <w:rPr>
          <w:rFonts w:ascii="Courier New" w:cs="Courier New" w:eastAsia="Courier New" w:hAnsi="Courier New"/>
          <w:sz w:val="16"/>
          <w:szCs w:val="16"/>
          <w:color w:val="auto"/>
        </w:rPr>
        <w:t>We have acted as counsel to Exelixis, Inc., a Delaware corporation (the "Company"), in connection with the registration under the Securities Act of 1933, as amended (the "Securities Act"), on Form S-3 (file No. 333-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  (the  "Registration  Statement")  of  shares  (the  "Shares")  of  common  stock,  $.001  par  value  per</w:t>
      </w:r>
    </w:p>
    <w:p>
      <w:pPr>
        <w:spacing w:after="0" w:line="21" w:lineRule="exact"/>
        <w:rPr>
          <w:sz w:val="20"/>
          <w:szCs w:val="20"/>
          <w:color w:val="auto"/>
        </w:rPr>
      </w:pPr>
    </w:p>
    <w:p>
      <w:pPr>
        <w:jc w:val="both"/>
        <w:spacing w:after="0" w:line="262" w:lineRule="auto"/>
        <w:rPr>
          <w:sz w:val="20"/>
          <w:szCs w:val="20"/>
          <w:color w:val="auto"/>
        </w:rPr>
      </w:pPr>
      <w:r>
        <w:rPr>
          <w:rFonts w:ascii="Courier New" w:cs="Courier New" w:eastAsia="Courier New" w:hAnsi="Courier New"/>
          <w:sz w:val="18"/>
          <w:szCs w:val="18"/>
          <w:color w:val="auto"/>
        </w:rPr>
        <w:t>share, of the Company (the "Common Stock"), to be offered and sold by the Company from time to time pursuant to Rule 415 or Rule 430A of the General Rules and Regulations promulgated under the Securities Act (the "Securities Act Rules"), with aggregate gross proceeds of up to $200,000,000, in each case pursuant to the terms and conditions to be designated by the Company at the time of the offering.</w:t>
      </w:r>
    </w:p>
    <w:p>
      <w:pPr>
        <w:spacing w:after="0" w:line="63" w:lineRule="exact"/>
        <w:rPr>
          <w:sz w:val="20"/>
          <w:szCs w:val="20"/>
          <w:color w:val="auto"/>
        </w:rPr>
      </w:pPr>
    </w:p>
    <w:p>
      <w:pPr>
        <w:jc w:val="both"/>
        <w:spacing w:after="0" w:line="265" w:lineRule="auto"/>
        <w:rPr>
          <w:sz w:val="20"/>
          <w:szCs w:val="20"/>
          <w:color w:val="auto"/>
        </w:rPr>
      </w:pPr>
      <w:r>
        <w:rPr>
          <w:rFonts w:ascii="Courier New" w:cs="Courier New" w:eastAsia="Courier New" w:hAnsi="Courier New"/>
          <w:sz w:val="18"/>
          <w:szCs w:val="18"/>
          <w:color w:val="auto"/>
        </w:rPr>
        <w:t>In connection with this opinion, we have examined and relied upon the originals, or copies certified to our satisfaction, of such records, documents, certificates, opinions, memoranda and other instruments as in our judgment are necessary or appropriate to enable us to render the opinion expressed below. As to certain factual maters, we have relied upon certificates of the officers of the Company and have not sought to independently verify such matters.</w:t>
      </w:r>
    </w:p>
    <w:p>
      <w:pPr>
        <w:spacing w:after="0" w:line="63" w:lineRule="exact"/>
        <w:rPr>
          <w:sz w:val="20"/>
          <w:szCs w:val="20"/>
          <w:color w:val="auto"/>
        </w:rPr>
      </w:pPr>
    </w:p>
    <w:p>
      <w:pPr>
        <w:jc w:val="both"/>
        <w:spacing w:after="0" w:line="318" w:lineRule="auto"/>
        <w:rPr>
          <w:sz w:val="20"/>
          <w:szCs w:val="20"/>
          <w:color w:val="auto"/>
        </w:rPr>
      </w:pPr>
      <w:r>
        <w:rPr>
          <w:rFonts w:ascii="Courier New" w:cs="Courier New" w:eastAsia="Courier New" w:hAnsi="Courier New"/>
          <w:sz w:val="16"/>
          <w:szCs w:val="16"/>
          <w:color w:val="auto"/>
        </w:rPr>
        <w:t>In rendering this opinion, we have assumed: the genuineness and authenticity of all signatures on original documents; the authenticity of all documents submitted to us as originals; the conformity to originals of all documents submitted to us as copies; and the due authorization, execution and delivery of all documents where authorization, execution and delivery are prerequisites to the effectiveness of such documents.</w:t>
      </w:r>
    </w:p>
    <w:p>
      <w:pPr>
        <w:spacing w:after="0" w:line="25" w:lineRule="exact"/>
        <w:rPr>
          <w:sz w:val="20"/>
          <w:szCs w:val="20"/>
          <w:color w:val="auto"/>
        </w:rPr>
      </w:pPr>
    </w:p>
    <w:p>
      <w:pPr>
        <w:jc w:val="both"/>
        <w:spacing w:after="0" w:line="292" w:lineRule="auto"/>
        <w:rPr>
          <w:sz w:val="20"/>
          <w:szCs w:val="20"/>
          <w:color w:val="auto"/>
        </w:rPr>
      </w:pPr>
      <w:r>
        <w:rPr>
          <w:rFonts w:ascii="Courier New" w:cs="Courier New" w:eastAsia="Courier New" w:hAnsi="Courier New"/>
          <w:sz w:val="18"/>
          <w:szCs w:val="18"/>
          <w:color w:val="auto"/>
        </w:rPr>
        <w:t>In rendering this opinion, we have also assumed that, prior to any offering and sale of the Shares, the board of directors of the Company, or a special committee thereof authorized to act on its behalf, will duly authorize the terms of and the prices at which the Shares are to be issued and sold.</w:t>
      </w:r>
    </w:p>
    <w:p>
      <w:pPr>
        <w:spacing w:after="0" w:line="39" w:lineRule="exact"/>
        <w:rPr>
          <w:sz w:val="20"/>
          <w:szCs w:val="20"/>
          <w:color w:val="auto"/>
        </w:rPr>
      </w:pPr>
    </w:p>
    <w:p>
      <w:pPr>
        <w:jc w:val="both"/>
        <w:spacing w:after="0" w:line="265" w:lineRule="auto"/>
        <w:rPr>
          <w:sz w:val="20"/>
          <w:szCs w:val="20"/>
          <w:color w:val="auto"/>
        </w:rPr>
      </w:pPr>
      <w:r>
        <w:rPr>
          <w:rFonts w:ascii="Courier New" w:cs="Courier New" w:eastAsia="Courier New" w:hAnsi="Courier New"/>
          <w:sz w:val="18"/>
          <w:szCs w:val="18"/>
          <w:color w:val="auto"/>
        </w:rPr>
        <w:t>We express no opinion herein concerning any laws other than the federal laws of the United States, the laws of the State of California and the Delaware General Corporation Law. We express no opinion as to whether the laws of any jurisdiction other that those identified above are applicable to the subject matter hereof. We are not rendering any opinion as to compliance with any antifraud law, rule or regulation relating to securities, or to the sale or issuance thereof.</w:t>
      </w:r>
    </w:p>
    <w:p>
      <w:pPr>
        <w:spacing w:after="0" w:line="63" w:lineRule="exact"/>
        <w:rPr>
          <w:sz w:val="20"/>
          <w:szCs w:val="20"/>
          <w:color w:val="auto"/>
        </w:rPr>
      </w:pPr>
    </w:p>
    <w:p>
      <w:pPr>
        <w:jc w:val="both"/>
        <w:spacing w:after="0" w:line="276" w:lineRule="auto"/>
        <w:rPr>
          <w:sz w:val="20"/>
          <w:szCs w:val="20"/>
          <w:color w:val="auto"/>
        </w:rPr>
      </w:pPr>
      <w:r>
        <w:rPr>
          <w:rFonts w:ascii="Courier New" w:cs="Courier New" w:eastAsia="Courier New" w:hAnsi="Courier New"/>
          <w:sz w:val="16"/>
          <w:szCs w:val="16"/>
          <w:color w:val="auto"/>
        </w:rPr>
        <w:t>On the basis of the foregoing, and in reliance thereon, and subject to the qualifications herein stated, we are of the opinion that with respect to any offering of the Shares, when (i) the Registration Statement, as finally amended (including all necessary post-effective amendments), has become effective; (ii) an appropriate prospectus supplement with respect to the Shares has been prepared, delivered and filed in compliance with the Securities Act and the applicable Securities Act Rules; (iii) if the Shares are sold pursuant to a purchase, underwriting or similar agreement, such purchase, underwriting or similar agreement has been duly authorized, executed and delivered by the Company and the other parties thereto and has become a valid and binding agreement of the Company; (iv) the board of directors of the Company, including any appropriate committee appointed thereby, and the appropriate officers of the Company have taken all necessary corporate action to approve the issuance and terms of the Shares and related matters; and (v) the terms of the Shares and of their issuance and sale have been duly established in conformity with the operative certificate of incorporation and bylaws of the Company and the Delaware General Corporation Law so as to not violate any applicable law, the operative certificate of incorporation or bylaws of the Company or result in a default under or breach of any agreement or instrument binding upon the Company and so as to comply with any requirement or restriction imposed by any court or governmental body having jurisdiction over the Company, then the Shares, when issued and sold in accordance with a duly authorized, executed and delivered purchase, underwriting or similar agreement, if any, will be duly authorized, validly issued, fully paid and nonassessable, assuming that a sufficient number of shares of Common Stock are authorized or reserved and available for issuance and that the consideration for the issuance and sale of the Shares is not less than the par value of the Common Stock.</w:t>
      </w:r>
    </w:p>
    <w:p>
      <w:pPr>
        <w:spacing w:after="0" w:line="200" w:lineRule="exact"/>
        <w:rPr>
          <w:sz w:val="20"/>
          <w:szCs w:val="20"/>
          <w:color w:val="auto"/>
        </w:rPr>
      </w:pPr>
    </w:p>
    <w:p>
      <w:pPr>
        <w:spacing w:after="0" w:line="275" w:lineRule="exact"/>
        <w:rPr>
          <w:sz w:val="20"/>
          <w:szCs w:val="20"/>
          <w:color w:val="auto"/>
        </w:rPr>
      </w:pPr>
    </w:p>
    <w:p>
      <w:pPr>
        <w:jc w:val="both"/>
        <w:spacing w:after="0" w:line="384" w:lineRule="auto"/>
        <w:rPr>
          <w:sz w:val="20"/>
          <w:szCs w:val="20"/>
          <w:color w:val="auto"/>
        </w:rPr>
      </w:pPr>
      <w:r>
        <w:rPr>
          <w:rFonts w:ascii="Courier New" w:cs="Courier New" w:eastAsia="Courier New" w:hAnsi="Courier New"/>
          <w:sz w:val="16"/>
          <w:szCs w:val="16"/>
          <w:color w:val="auto"/>
        </w:rPr>
        <w:t>We hereby consent to the reference to our firm under the caption "Legal Matters" in the prospectus included in the Registration Statement and to the filing of this opinion as an exhibit to the Registration Statement.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Cooley Godward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-6985</wp:posOffset>
            </wp:positionV>
            <wp:extent cx="13379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414020</wp:posOffset>
            </wp:positionV>
            <wp:extent cx="620839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74" w:right="239" w:bottom="1440" w:gutter="0" w:footer="0" w:header="0"/>
        </w:sectPr>
      </w:pPr>
    </w:p>
    <w:bookmarkStart w:id="15" w:name="page16"/>
    <w:bookmarkEnd w:id="15"/>
    <w:p>
      <w:pPr>
        <w:jc w:val="right"/>
        <w:spacing w:after="0"/>
        <w:rPr>
          <w:sz w:val="20"/>
          <w:szCs w:val="20"/>
          <w:color w:val="auto"/>
        </w:rPr>
      </w:pPr>
      <w:r>
        <w:rPr>
          <w:rFonts w:ascii="Courier New" w:cs="Courier New" w:eastAsia="Courier New" w:hAnsi="Courier New"/>
          <w:sz w:val="18"/>
          <w:szCs w:val="18"/>
          <w:b w:val="1"/>
          <w:bCs w:val="1"/>
          <w:color w:val="auto"/>
        </w:rPr>
        <w:t>EXHIBIT 23.1</w:t>
      </w:r>
    </w:p>
    <w:p>
      <w:pPr>
        <w:spacing w:after="0" w:line="17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b w:val="1"/>
          <w:bCs w:val="1"/>
          <w:color w:val="auto"/>
        </w:rPr>
        <w:t>CONSENT OF INDEPENDENT ACCOUNTANTS</w:t>
      </w:r>
    </w:p>
    <w:p>
      <w:pPr>
        <w:spacing w:after="0" w:line="200" w:lineRule="exact"/>
        <w:rPr>
          <w:sz w:val="20"/>
          <w:szCs w:val="20"/>
          <w:color w:val="auto"/>
        </w:rPr>
      </w:pPr>
    </w:p>
    <w:p>
      <w:pPr>
        <w:spacing w:after="0" w:line="388" w:lineRule="exact"/>
        <w:rPr>
          <w:sz w:val="20"/>
          <w:szCs w:val="20"/>
          <w:color w:val="auto"/>
        </w:rPr>
      </w:pPr>
    </w:p>
    <w:p>
      <w:pPr>
        <w:jc w:val="both"/>
        <w:ind w:right="40"/>
        <w:spacing w:after="0" w:line="274"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S-3 of our report dated February 2, 2001 relating to the financial statements, which appears in Exelixis, Inc.'s Annual Report on Form 10-K for the year ended December 31, 2000. We also consent to the reference to us under the heading "Experts" in such Registration Statement.</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Jose, California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27,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414020</wp:posOffset>
            </wp:positionV>
            <wp:extent cx="620839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sectPr>
      <w:pgSz w:w="11900" w:h="16838" w:orient="portrait"/>
      <w:cols w:equalWidth="0" w:num="1">
        <w:col w:w="11420"/>
      </w:cols>
      <w:pgMar w:left="240" w:top="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2019-12-14T04:48:18Z</dcterms:created>
  <dcterms:modified xsi:type="dcterms:W3CDTF">2019-12-14T04:48:18Z</dcterms:modified>
</cp:coreProperties>
</file>