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29.gif" ContentType="image/gif"/>
  <Override PartName="/word/media/image15.jpeg" ContentType="image/jpeg"/>
  <Override PartName="/word/media/image26.gif" ContentType="image/gif"/>
  <Override PartName="/word/media/image20.jpeg" ContentType="image/jpeg"/>
  <Override PartName="/word/media/image8.jpeg" ContentType="image/jpeg"/>
  <Override PartName="/word/media/image13.jpeg" ContentType="image/jpeg"/>
  <Override PartName="/word/media/image25.gif" ContentType="image/gif"/>
  <Override PartName="/word/media/image6.jpeg" ContentType="image/jpeg"/>
  <Override PartName="/word/media/image33.jpeg" ContentType="image/jpeg"/>
  <Override PartName="/word/media/image9.jpeg" ContentType="image/jpeg"/>
  <Override PartName="/word/media/image7.jpeg" ContentType="image/jpeg"/>
  <Override PartName="/word/media/image34.jpeg" ContentType="image/jpeg"/>
  <Override PartName="/word/media/image11.jpeg" ContentType="image/jpeg"/>
  <Override PartName="/word/media/image31.gif" ContentType="image/gif"/>
  <Override PartName="/word/media/image12.jpeg" ContentType="image/jpeg"/>
  <Override PartName="/word/media/image10.gif" ContentType="image/gif"/>
  <Override PartName="/word/media/image30.gif" ContentType="image/gif"/>
  <Override PartName="/word/media/image14.jpeg" ContentType="image/jpeg"/>
  <Override PartName="/word/media/image28.gif" ContentType="image/gif"/>
  <Override PartName="/word/media/image5.jpeg" ContentType="image/jpeg"/>
  <Override PartName="/word/media/image24.gif" ContentType="image/gif"/>
  <Override PartName="/word/media/image32.jpeg" ContentType="image/jpeg"/>
  <Override PartName="/word/media/image4.jpeg" ContentType="image/jpeg"/>
  <Override PartName="/word/media/image3.jpeg" ContentType="image/jpeg"/>
  <Override PartName="/word/media/image2.jpeg" ContentType="image/jpeg"/>
  <Override PartName="/word/media/image1.jpeg" ContentType="image/jpeg"/>
  <Override PartName="/word/media/image27.gif" ContentType="image/gif"/>
  <Override PartName="/word/media/image16.jpeg" ContentType="image/jpeg"/>
  <Override PartName="/word/media/image17.jpeg" ContentType="image/jpeg"/>
  <Override PartName="/word/media/image23.gif" ContentType="image/gif"/>
  <Override PartName="/word/media/image22.gif" ContentType="image/gif"/>
  <Override PartName="/word/media/image18.jpeg" ContentType="image/jpeg"/>
  <Override PartName="/word/media/image19.jpeg" ContentType="image/jpeg"/>
  <Override PartName="/word/media/image21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lineRule="atLeast" w:line="200" w:before="0" w:after="0"/>
        <w:jc w:val="left"/>
        <w:rPr/>
      </w:pPr>
      <w:hyperlink w:anchor="i6d44722bfc2543dbbba9716d9e560c58_16">
        <w:bookmarkStart w:id="0" w:name="exel-20260415.htm"/>
        <w:bookmarkStart w:id="1" w:name="ksexel20260415"/>
        <w:bookmarkEnd w:id="0"/>
        <w:bookmarkEnd w:id="1"/>
        <w:r>
          <w:rPr>
            <w:rStyle w:val="InternetLink"/>
            <w:rFonts w:ascii="sans-serif" w:hAnsi="sans-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sectPr>
          <w:type w:val="nextPage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360" w:before="0" w:after="0"/>
        <w:jc w:val="left"/>
        <w:rPr>
          <w:caps w:val="false"/>
          <w:smallCaps w:val="false"/>
          <w:strike w:val="false"/>
          <w:dstrike w:val="false"/>
          <w:color w:val="F47521"/>
          <w:u w:val="none"/>
          <w:effect w:val="none"/>
        </w:rPr>
      </w:pPr>
      <w:r>
        <w:rPr>
          <w:caps w:val="false"/>
          <w:smallCaps w:val="false"/>
          <w:strike w:val="false"/>
          <w:dstrike w:val="false"/>
          <w:color w:val="F47521"/>
          <w:u w:val="none"/>
          <w:effect w:val="none"/>
        </w:rPr>
        <w:t xml:space="preserve">  </w:t>
      </w:r>
    </w:p>
    <w:tbl>
      <w:tblPr>
        <w:tblW w:w="169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69"/>
      </w:tblGrid>
      <w:tr>
        <w:trPr/>
        <w:tc>
          <w:tcPr>
            <w:tcW w:w="16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9" w:type="dxa"/>
            <w:tcBorders>
              <w:bottom w:val="doub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360" w:before="0" w:after="0"/>
        <w:jc w:val="left"/>
        <w:rPr>
          <w:rFonts w:ascii="sans-serif" w:hAnsi="sans-serif"/>
          <w:b/>
          <w:i w:val="false"/>
          <w:caps w:val="false"/>
          <w:smallCaps w:val="false"/>
          <w:strike w:val="false"/>
          <w:dstrike w:val="false"/>
          <w:color w:val="3F3F3F"/>
          <w:sz w:val="36"/>
          <w:u w:val="none"/>
          <w:effect w:val="none"/>
        </w:rPr>
      </w:pPr>
      <w:r>
        <w:rPr>
          <w:rFonts w:ascii="sans-serif" w:hAnsi="sans-serif"/>
          <w:b/>
          <w:i w:val="false"/>
          <w:caps w:val="false"/>
          <w:smallCaps w:val="false"/>
          <w:strike w:val="false"/>
          <w:dstrike w:val="false"/>
          <w:color w:val="3F3F3F"/>
          <w:sz w:val="36"/>
          <w:u w:val="none"/>
          <w:effect w:val="none"/>
        </w:rPr>
        <w:t xml:space="preserve">UNITED STATES </w:t>
      </w:r>
    </w:p>
    <w:p>
      <w:pPr>
        <w:pStyle w:val="TextBody"/>
        <w:bidi w:val="0"/>
        <w:spacing w:lineRule="atLeast" w:line="360" w:before="0" w:after="0"/>
        <w:jc w:val="left"/>
        <w:rPr>
          <w:rFonts w:ascii="sans-serif" w:hAnsi="sans-serif"/>
          <w:b/>
          <w:i w:val="false"/>
          <w:caps w:val="false"/>
          <w:smallCaps w:val="false"/>
          <w:strike w:val="false"/>
          <w:dstrike w:val="false"/>
          <w:color w:val="3F3F3F"/>
          <w:sz w:val="36"/>
          <w:u w:val="none"/>
          <w:effect w:val="none"/>
        </w:rPr>
      </w:pPr>
      <w:r>
        <w:rPr>
          <w:rFonts w:ascii="sans-serif" w:hAnsi="sans-serif"/>
          <w:b/>
          <w:i w:val="false"/>
          <w:caps w:val="false"/>
          <w:smallCaps w:val="false"/>
          <w:strike w:val="false"/>
          <w:dstrike w:val="false"/>
          <w:color w:val="3F3F3F"/>
          <w:sz w:val="36"/>
          <w:u w:val="none"/>
          <w:effect w:val="none"/>
        </w:rPr>
        <w:t xml:space="preserve">SECURITIES AND EXCHANGE COMMISSION </w:t>
      </w:r>
    </w:p>
    <w:p>
      <w:pPr>
        <w:pStyle w:val="TextBody"/>
        <w:bidi w:val="0"/>
        <w:spacing w:lineRule="atLeast" w:line="240" w:before="0" w:after="0"/>
        <w:jc w:val="left"/>
        <w:rPr/>
      </w:pPr>
      <w:r>
        <w:rPr>
          <w:rFonts w:ascii="sans-serif" w:hAnsi="sans-serif"/>
          <w:b/>
          <w:i w:val="false"/>
          <w:caps w:val="false"/>
          <w:smallCaps w:val="false"/>
          <w:strike w:val="false"/>
          <w:dstrike w:val="false"/>
          <w:color w:val="3F3F3F"/>
          <w:sz w:val="24"/>
          <w:u w:val="none"/>
          <w:effect w:val="none"/>
        </w:rPr>
        <w:t>Washington, D.C. 20549</w:t>
      </w:r>
      <w:r>
        <w:rPr>
          <w:caps w:val="false"/>
          <w:smallCaps w:val="false"/>
          <w:strike w:val="false"/>
          <w:dstrike w:val="false"/>
          <w:color w:val="3F3F3F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___________________</w:t>
      </w:r>
    </w:p>
    <w:p>
      <w:pPr>
        <w:pStyle w:val="TextBody"/>
        <w:bidi w:val="0"/>
        <w:spacing w:lineRule="atLeast" w:line="360" w:before="0" w:after="0"/>
        <w:jc w:val="left"/>
        <w:rPr>
          <w:rFonts w:ascii="sans-serif" w:hAnsi="sans-serif"/>
          <w:b/>
          <w:i w:val="false"/>
          <w:caps w:val="false"/>
          <w:smallCaps w:val="false"/>
          <w:strike w:val="false"/>
          <w:dstrike w:val="false"/>
          <w:color w:val="3F3F3F"/>
          <w:sz w:val="36"/>
          <w:u w:val="none"/>
          <w:effect w:val="none"/>
        </w:rPr>
      </w:pPr>
      <w:r>
        <w:rPr>
          <w:rFonts w:ascii="sans-serif" w:hAnsi="sans-serif"/>
          <w:b/>
          <w:i w:val="false"/>
          <w:caps w:val="false"/>
          <w:smallCaps w:val="false"/>
          <w:strike w:val="false"/>
          <w:dstrike w:val="false"/>
          <w:color w:val="3F3F3F"/>
          <w:sz w:val="36"/>
          <w:u w:val="none"/>
          <w:effect w:val="none"/>
        </w:rPr>
        <w:t xml:space="preserve">SCHEDULE 14A </w:t>
      </w:r>
    </w:p>
    <w:p>
      <w:pPr>
        <w:pStyle w:val="TextBody"/>
        <w:bidi w:val="0"/>
        <w:spacing w:lineRule="atLeast" w:line="240" w:before="0" w:after="0"/>
        <w:jc w:val="left"/>
        <w:rPr>
          <w:rFonts w:ascii="sans-serif" w:hAnsi="sans-serif"/>
          <w:b/>
          <w:i w:val="false"/>
          <w:caps w:val="false"/>
          <w:smallCaps w:val="false"/>
          <w:strike w:val="false"/>
          <w:dstrike w:val="false"/>
          <w:color w:val="3F3F3F"/>
          <w:sz w:val="24"/>
          <w:u w:val="none"/>
          <w:effect w:val="none"/>
        </w:rPr>
      </w:pPr>
      <w:r>
        <w:rPr>
          <w:rFonts w:ascii="sans-serif" w:hAnsi="sans-serif"/>
          <w:b/>
          <w:i w:val="false"/>
          <w:caps w:val="false"/>
          <w:smallCaps w:val="false"/>
          <w:strike w:val="false"/>
          <w:dstrike w:val="false"/>
          <w:color w:val="3F3F3F"/>
          <w:sz w:val="24"/>
          <w:u w:val="none"/>
          <w:effect w:val="none"/>
        </w:rPr>
        <w:t xml:space="preserve">Proxy Statement Pursuant to Section 14(a) of the </w:t>
      </w:r>
    </w:p>
    <w:p>
      <w:pPr>
        <w:pStyle w:val="TextBody"/>
        <w:bidi w:val="0"/>
        <w:spacing w:lineRule="atLeast" w:line="240" w:before="0" w:after="0"/>
        <w:jc w:val="left"/>
        <w:rPr>
          <w:rFonts w:ascii="sans-serif" w:hAnsi="sans-serif"/>
          <w:b/>
          <w:i w:val="false"/>
          <w:caps w:val="false"/>
          <w:smallCaps w:val="false"/>
          <w:strike w:val="false"/>
          <w:dstrike w:val="false"/>
          <w:color w:val="3F3F3F"/>
          <w:sz w:val="24"/>
          <w:u w:val="none"/>
          <w:effect w:val="none"/>
        </w:rPr>
      </w:pPr>
      <w:r>
        <w:rPr>
          <w:rFonts w:ascii="sans-serif" w:hAnsi="sans-serif"/>
          <w:b/>
          <w:i w:val="false"/>
          <w:caps w:val="false"/>
          <w:smallCaps w:val="false"/>
          <w:strike w:val="false"/>
          <w:dstrike w:val="false"/>
          <w:color w:val="3F3F3F"/>
          <w:sz w:val="24"/>
          <w:u w:val="none"/>
          <w:effect w:val="none"/>
        </w:rPr>
        <w:t xml:space="preserve">Securities Exchange Act of 1934 (Amendment No.    )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___________________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Filed by the Registrant  ☒                             Filed by a Party other than the Registrant ☐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Check the appropriate box: </w:t>
      </w:r>
    </w:p>
    <w:tbl>
      <w:tblPr>
        <w:tblW w:w="829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31"/>
        <w:gridCol w:w="7966"/>
      </w:tblGrid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☐</w:t>
            </w:r>
          </w:p>
        </w:tc>
        <w:tc>
          <w:tcPr>
            <w:tcW w:w="796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Preliminary Proxy Statement</w:t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☐</w:t>
            </w:r>
          </w:p>
        </w:tc>
        <w:tc>
          <w:tcPr>
            <w:tcW w:w="796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Confidential, for Use of the Commission Only (as permitted by Rule 14a-6(e)(2))</w:t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☒</w:t>
            </w:r>
          </w:p>
        </w:tc>
        <w:tc>
          <w:tcPr>
            <w:tcW w:w="796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Definitive Proxy Statement</w:t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☐</w:t>
            </w:r>
          </w:p>
        </w:tc>
        <w:tc>
          <w:tcPr>
            <w:tcW w:w="796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Definitive Additional Materials</w:t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☐</w:t>
            </w:r>
          </w:p>
        </w:tc>
        <w:tc>
          <w:tcPr>
            <w:tcW w:w="796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Soliciting Material under §240.14a-12</w:t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1718945" cy="455295"/>
            <wp:effectExtent l="0" t="0" r="0" b="0"/>
            <wp:docPr id="1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8945" cy="455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2" w:name="i-1"/>
      <w:bookmarkEnd w:id="2"/>
    </w:p>
    <w:p>
      <w:pPr>
        <w:pStyle w:val="TextBody"/>
        <w:bidi w:val="0"/>
        <w:spacing w:lineRule="atLeast" w:line="440" w:before="0" w:after="0"/>
        <w:jc w:val="left"/>
        <w:rPr>
          <w:sz w:val="24"/>
        </w:rPr>
      </w:pPr>
      <w:r>
        <w:rPr>
          <w:rFonts w:ascii="sans-serif" w:hAnsi="sans-serif"/>
          <w:b/>
          <w:i w:val="false"/>
          <w:caps w:val="false"/>
          <w:smallCaps w:val="false"/>
          <w:strike w:val="false"/>
          <w:dstrike w:val="false"/>
          <w:color w:val="3F3F3F"/>
          <w:sz w:val="44"/>
          <w:u w:val="none"/>
          <w:effect w:val="none"/>
        </w:rPr>
        <w:t>EXELIXIS, INC.</w:t>
      </w:r>
      <w:r>
        <w:rPr>
          <w:caps w:val="false"/>
          <w:smallCaps w:val="false"/>
          <w:strike w:val="false"/>
          <w:dstrike w:val="false"/>
          <w:color w:val="3F3F3F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(Name of registrant as specified in its charter) </w:t>
      </w:r>
    </w:p>
    <w:p>
      <w:pPr>
        <w:pStyle w:val="TextBody"/>
        <w:bidi w:val="0"/>
        <w:spacing w:lineRule="atLeast" w:line="160" w:before="0" w:after="0"/>
        <w:jc w:val="left"/>
        <w:rPr>
          <w:rFonts w:ascii="sans-serif" w:hAnsi="sans-serif"/>
          <w:b/>
          <w:i w:val="false"/>
          <w:caps w:val="false"/>
          <w:smallCaps w:val="false"/>
          <w:strike w:val="false"/>
          <w:dstrike w:val="false"/>
          <w:color w:val="3F3F3F"/>
          <w:sz w:val="16"/>
          <w:u w:val="none"/>
          <w:effect w:val="none"/>
        </w:rPr>
      </w:pPr>
      <w:r>
        <w:rPr>
          <w:rFonts w:ascii="sans-serif" w:hAnsi="sans-serif"/>
          <w:b/>
          <w:i w:val="false"/>
          <w:caps w:val="false"/>
          <w:smallCaps w:val="false"/>
          <w:strike w:val="false"/>
          <w:dstrike w:val="false"/>
          <w:color w:val="3F3F3F"/>
          <w:sz w:val="16"/>
          <w:u w:val="none"/>
          <w:effect w:val="none"/>
        </w:rPr>
        <w:t xml:space="preserve">(Name of Person(s) Filing Proxy Statement, if other than the Registrant)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Payment of Filing Fee (Check all boxes that apply): </w:t>
      </w: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31"/>
        <w:gridCol w:w="9874"/>
      </w:tblGrid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7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☒</w:t>
            </w:r>
          </w:p>
        </w:tc>
        <w:tc>
          <w:tcPr>
            <w:tcW w:w="9874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No fee required.</w:t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7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☐</w:t>
            </w:r>
          </w:p>
        </w:tc>
        <w:tc>
          <w:tcPr>
            <w:tcW w:w="9874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Fee paid previously with preliminary materials.</w:t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7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☐</w:t>
            </w:r>
          </w:p>
        </w:tc>
        <w:tc>
          <w:tcPr>
            <w:tcW w:w="9874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Fee computed on table in exhibit required by Item 25(b) per Exchange Act Rules 14a-6(i)(1) and 0-11.</w:t>
            </w:r>
          </w:p>
        </w:tc>
      </w:tr>
    </w:tbl>
    <w:tbl>
      <w:tblPr>
        <w:tblW w:w="169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69"/>
      </w:tblGrid>
      <w:tr>
        <w:trPr/>
        <w:tc>
          <w:tcPr>
            <w:tcW w:w="16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9" w:type="dxa"/>
            <w:tcBorders>
              <w:bottom w:val="doub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/>
      </w:pPr>
      <w:hyperlink w:anchor="i6d44722bfc2543dbbba9716d9e560c58_16">
        <w:r>
          <w:rPr>
            <w:rStyle w:val="InternetLink"/>
            <w:rFonts w:ascii="sans-serif" w:hAnsi="sans-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1718945" cy="455295"/>
            <wp:effectExtent l="0" t="0" r="0" b="0"/>
            <wp:docPr id="2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8945" cy="455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3" w:name="i-2"/>
      <w:bookmarkEnd w:id="3"/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1851 Harbor Bay Parkway   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Alameda, CA 94502  </w:t>
      </w:r>
    </w:p>
    <w:p>
      <w:pPr>
        <w:pStyle w:val="TextBody"/>
        <w:bidi w:val="0"/>
        <w:spacing w:lineRule="atLeast" w:line="36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F47521"/>
          <w:sz w:val="36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F47521"/>
          <w:sz w:val="36"/>
          <w:u w:val="none"/>
          <w:effect w:val="none"/>
        </w:rPr>
        <w:t>DEAR FELLOW STOCKHOLDERS,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404040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404040"/>
          <w:sz w:val="20"/>
          <w:u w:val="none"/>
          <w:effect w:val="none"/>
        </w:rPr>
        <w:t xml:space="preserve">Exelixis’ mission remains clear: to help cancer patients recover stronger and live longer. Guided by that mission, the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404040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404040"/>
          <w:sz w:val="20"/>
          <w:u w:val="none"/>
          <w:effect w:val="none"/>
        </w:rPr>
        <w:t>company continues to focus on building next-generation oncology franchises that can deliver sustainable long</w:t>
        <w:noBreakHyphen/>
        <w:t xml:space="preserve">term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404040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404040"/>
          <w:sz w:val="20"/>
          <w:u w:val="none"/>
          <w:effect w:val="none"/>
        </w:rPr>
        <w:t xml:space="preserve">value for patients and stockholders. Fiscal year 2025 was Exelixis’ ninth consecutive year of operating profitability and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404040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404040"/>
          <w:sz w:val="20"/>
          <w:u w:val="none"/>
          <w:effect w:val="none"/>
        </w:rPr>
        <w:t xml:space="preserve">another year of solid execution across the company’s commercial and research and development priorities. Total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404040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404040"/>
          <w:sz w:val="20"/>
          <w:u w:val="none"/>
          <w:effect w:val="none"/>
        </w:rPr>
        <w:t xml:space="preserve">revenues for the year were $2.32 billion, representing 7% growth year over year, reflecting the continued strength of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404040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404040"/>
          <w:sz w:val="20"/>
          <w:u w:val="none"/>
          <w:effect w:val="none"/>
        </w:rPr>
        <w:t xml:space="preserve">the cabozantinib franchise. The company presented pivotal data and subsequently filed its first New Drug Application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404040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404040"/>
          <w:sz w:val="20"/>
          <w:u w:val="none"/>
          <w:effect w:val="none"/>
        </w:rPr>
        <w:t xml:space="preserve">for zanzalintinib, which the FDA accepted for review in early 2026, initiated its third zanzalintinib pivotal trial, made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404040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404040"/>
          <w:sz w:val="20"/>
          <w:u w:val="none"/>
          <w:effect w:val="none"/>
        </w:rPr>
        <w:t xml:space="preserve">plans for further studies, and advanced its broader portfolio.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404040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404040"/>
          <w:sz w:val="20"/>
          <w:u w:val="none"/>
          <w:effect w:val="none"/>
        </w:rPr>
        <w:t xml:space="preserve">During this period of productivity, Exelixis remained focused on disciplined capital allocation and balance sheet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404040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404040"/>
          <w:sz w:val="20"/>
          <w:u w:val="none"/>
          <w:effect w:val="none"/>
        </w:rPr>
        <w:t xml:space="preserve">strength, supported by active Board oversight of the company’s strategy and risk profile. Throughout 2025, the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404040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404040"/>
          <w:sz w:val="20"/>
          <w:u w:val="none"/>
          <w:effect w:val="none"/>
        </w:rPr>
        <w:t xml:space="preserve">company returned capital to stockholders through its share repurchase programs, reflecting the Board’s ongoing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404040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404040"/>
          <w:sz w:val="20"/>
          <w:u w:val="none"/>
          <w:effect w:val="none"/>
        </w:rPr>
        <w:t xml:space="preserve">commitment to balancing investment in the business with the return of capital while maintaining financial flexibility to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404040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404040"/>
          <w:sz w:val="20"/>
          <w:u w:val="none"/>
          <w:effect w:val="none"/>
        </w:rPr>
        <w:t>support long</w:t>
        <w:noBreakHyphen/>
        <w:t xml:space="preserve">term strategic objectives. The Board also devoted significant time to overseeing the company’s pipeline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404040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404040"/>
          <w:sz w:val="20"/>
          <w:u w:val="none"/>
          <w:effect w:val="none"/>
        </w:rPr>
        <w:t>strategy and long</w:t>
        <w:noBreakHyphen/>
        <w:t>term planning, seeking to ensure appropriate balance between near</w:t>
        <w:noBreakHyphen/>
        <w:t xml:space="preserve">term performance and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404040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404040"/>
          <w:sz w:val="20"/>
          <w:u w:val="none"/>
          <w:effect w:val="none"/>
        </w:rPr>
        <w:t>investment in the future.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404040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404040"/>
          <w:sz w:val="20"/>
          <w:u w:val="none"/>
          <w:effect w:val="none"/>
        </w:rPr>
        <w:t xml:space="preserve">Recognizing the importance of 2025 as a pivotal year for the company’s ambitions to make zanzalintinib its second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404040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404040"/>
          <w:sz w:val="20"/>
          <w:u w:val="none"/>
          <w:effect w:val="none"/>
        </w:rPr>
        <w:t xml:space="preserve">oncology franchise, the Board and the Compensation Committee devoted significant attention to compensation and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404040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404040"/>
          <w:sz w:val="20"/>
          <w:u w:val="none"/>
          <w:effect w:val="none"/>
        </w:rPr>
        <w:t>human capital oversight during this period of strategic transition. In this context, the Board approved a one</w:t>
        <w:noBreakHyphen/>
        <w:t xml:space="preserve">time equity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404040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404040"/>
          <w:sz w:val="20"/>
          <w:u w:val="none"/>
          <w:effect w:val="none"/>
        </w:rPr>
        <w:t xml:space="preserve">award granted broadly to employees, designed to reinforce a culture of shared ownership, and to support employee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404040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404040"/>
          <w:sz w:val="20"/>
          <w:u w:val="none"/>
          <w:effect w:val="none"/>
        </w:rPr>
        <w:t>retention as Exelixis advances its long</w:t>
        <w:noBreakHyphen/>
        <w:t xml:space="preserve">term objectives. More broadly, the company’s executive compensation program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404040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404040"/>
          <w:sz w:val="20"/>
          <w:u w:val="none"/>
          <w:effect w:val="none"/>
        </w:rPr>
        <w:t>continues to emphasize pay</w:t>
        <w:noBreakHyphen/>
        <w:t>for</w:t>
        <w:noBreakHyphen/>
        <w:t>performance principles, alignment with stockholder interests, and long</w:t>
        <w:noBreakHyphen/>
        <w:t xml:space="preserve">term value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404040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404040"/>
          <w:sz w:val="20"/>
          <w:u w:val="none"/>
          <w:effect w:val="none"/>
        </w:rPr>
        <w:t>creation, as described in this proxy statement.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404040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404040"/>
          <w:sz w:val="20"/>
          <w:u w:val="none"/>
          <w:effect w:val="none"/>
        </w:rPr>
        <w:t xml:space="preserve">Looking ahead, the Board remains focused on supporting management as Exelixis executes against its strategic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404040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404040"/>
          <w:sz w:val="20"/>
          <w:u w:val="none"/>
          <w:effect w:val="none"/>
        </w:rPr>
        <w:t xml:space="preserve">priorities, including advancing its pipeline, building on the strength of its commercial portfolio and navigating an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404040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404040"/>
          <w:sz w:val="20"/>
          <w:u w:val="none"/>
          <w:effect w:val="none"/>
        </w:rPr>
        <w:t xml:space="preserve">evolving and competitive operating environment. We believe the company is well positioned to pursue its objectives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404040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404040"/>
          <w:sz w:val="20"/>
          <w:u w:val="none"/>
          <w:effect w:val="none"/>
        </w:rPr>
        <w:t>with financial discipline and a long</w:t>
        <w:noBreakHyphen/>
        <w:t>term perspective.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404040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404040"/>
          <w:sz w:val="20"/>
          <w:u w:val="none"/>
          <w:effect w:val="none"/>
        </w:rPr>
        <w:t xml:space="preserve">We appreciate your continued support and investment in Exelixis and encourage your participation in the company’s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404040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404040"/>
          <w:sz w:val="20"/>
          <w:u w:val="none"/>
          <w:effect w:val="none"/>
        </w:rPr>
        <w:t xml:space="preserve">2026 Annual Meeting of Stockholders. Please see the accompanying notice and proxy materials for additional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404040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404040"/>
          <w:sz w:val="20"/>
          <w:u w:val="none"/>
          <w:effect w:val="none"/>
        </w:rPr>
        <w:t>information on the meeting and the matters up for vote.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404040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404040"/>
          <w:sz w:val="20"/>
          <w:u w:val="none"/>
          <w:effect w:val="none"/>
        </w:rPr>
        <w:t>Thank you for your confidence in Exelixis.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Very truly yours, </w:t>
      </w:r>
    </w:p>
    <w:tbl>
      <w:tblPr>
        <w:tblW w:w="621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11"/>
        <w:gridCol w:w="3601"/>
      </w:tblGrid>
      <w:tr>
        <w:trPr/>
        <w:tc>
          <w:tcPr>
            <w:tcW w:w="26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61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209675" cy="504825"/>
                  <wp:effectExtent l="0" t="0" r="0" b="0"/>
                  <wp:docPr id="3" name="Image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9675" cy="504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4" w:name="i-3"/>
            <w:bookmarkEnd w:id="4"/>
          </w:p>
        </w:tc>
        <w:tc>
          <w:tcPr>
            <w:tcW w:w="360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666875" cy="647700"/>
                  <wp:effectExtent l="0" t="0" r="0" b="0"/>
                  <wp:docPr id="4" name="Image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6875" cy="647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5" w:name="i-4"/>
            <w:bookmarkEnd w:id="5"/>
          </w:p>
        </w:tc>
      </w:tr>
      <w:tr>
        <w:trPr/>
        <w:tc>
          <w:tcPr>
            <w:tcW w:w="261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Stelios Papadopoulos, Ph.D.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Chair of the Board</w:t>
            </w:r>
          </w:p>
        </w:tc>
        <w:tc>
          <w:tcPr>
            <w:tcW w:w="360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Julie Anne Smith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Chair of the Compensation Committee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/>
      </w:pPr>
      <w:hyperlink w:anchor="i6d44722bfc2543dbbba9716d9e560c58_16">
        <w:r>
          <w:rPr>
            <w:rStyle w:val="InternetLink"/>
            <w:rFonts w:ascii="sans-serif" w:hAnsi="sans-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1718945" cy="455295"/>
            <wp:effectExtent l="0" t="0" r="0" b="0"/>
            <wp:docPr id="5" name="Image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5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8945" cy="455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6" w:name="i-5"/>
      <w:bookmarkEnd w:id="6"/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1851 Harbor Bay Parkway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Alameda, CA 94502</w:t>
      </w:r>
    </w:p>
    <w:p>
      <w:pPr>
        <w:pStyle w:val="TextBody"/>
        <w:bidi w:val="0"/>
        <w:spacing w:lineRule="atLeast" w:line="36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53585B"/>
          <w:sz w:val="36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53585B"/>
          <w:sz w:val="36"/>
          <w:u w:val="none"/>
          <w:effect w:val="none"/>
        </w:rPr>
        <w:t xml:space="preserve">NOTICE OF ANNUAL MEETING </w:t>
      </w:r>
    </w:p>
    <w:p>
      <w:pPr>
        <w:pStyle w:val="TextBody"/>
        <w:bidi w:val="0"/>
        <w:spacing w:lineRule="atLeast" w:line="36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53585B"/>
          <w:sz w:val="36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53585B"/>
          <w:sz w:val="36"/>
          <w:u w:val="none"/>
          <w:effect w:val="none"/>
        </w:rPr>
        <w:t xml:space="preserve">OF STOCKHOLDERS </w:t>
      </w:r>
    </w:p>
    <w:p>
      <w:pPr>
        <w:pStyle w:val="TextBody"/>
        <w:bidi w:val="0"/>
        <w:spacing w:lineRule="atLeast" w:line="36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F47521"/>
          <w:sz w:val="36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F47521"/>
          <w:sz w:val="36"/>
          <w:u w:val="none"/>
          <w:effect w:val="none"/>
        </w:rPr>
        <w:t>TO BE HELD ON MAY 26, 2026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To the Stockholders of Exelixis, Inc.: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sans-serif" w:hAnsi="sans-serif"/>
          <w:b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NOTICE IS HEREBY GIVEN</w:t>
      </w:r>
      <w:r>
        <w:rPr>
          <w:caps w:val="false"/>
          <w:smallCaps w:val="false"/>
          <w:strike w:val="false"/>
          <w:dstrike w:val="false"/>
          <w:color w:val="3F3F3F"/>
          <w:sz w:val="24"/>
          <w:u w:val="none"/>
          <w:effect w:val="none"/>
        </w:rPr>
        <w:t xml:space="preserve">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that the 2026</w:t>
      </w:r>
      <w:r>
        <w:rPr>
          <w:caps w:val="false"/>
          <w:smallCaps w:val="false"/>
          <w:strike w:val="false"/>
          <w:dstrike w:val="false"/>
          <w:color w:val="3F3F3F"/>
          <w:sz w:val="24"/>
          <w:u w:val="none"/>
          <w:effect w:val="none"/>
        </w:rPr>
        <w:t xml:space="preserve">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Annual Meeting of Stockholders (Annual Meeting) of Exelixis, Inc., a Delaware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corporation (Exelixis), will be held on Tuesday, May 26, 2026, at 9:00 a.m., Pacific Time. The Annual Meeting will be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held virtually and conducted via live webcast. You will be able to attend the virtual Annual Meeting, submit your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questions and vote your shares online during the meeting by visiting </w:t>
      </w:r>
      <w:r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  <w:t>www.virtualshareholdermeeting.com/EXEL2026</w:t>
      </w:r>
      <w:r>
        <w:rPr>
          <w:caps w:val="false"/>
          <w:smallCaps w:val="false"/>
          <w:strike w:val="false"/>
          <w:dstrike w:val="false"/>
          <w:color w:val="3F3F3F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and using your 16-digit control number to enter the Annual Meeting. In addition, you may view a list of stockholders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entitled to vote at the Annual Meeting, submit your questions and vote your shares online in advance of the Annual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Meeting by visiting </w:t>
      </w:r>
      <w:r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  <w:t>www.proxyvote.com</w:t>
      </w:r>
      <w:r>
        <w:rPr>
          <w:caps w:val="false"/>
          <w:smallCaps w:val="false"/>
          <w:strike w:val="false"/>
          <w:dstrike w:val="false"/>
          <w:color w:val="3F3F3F"/>
          <w:u w:val="none"/>
          <w:effect w:val="none"/>
        </w:rPr>
        <w:t xml:space="preserve">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and using your 16-digit control number. The Annual Meeting will be held for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the following purposes.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The Annual Meeting will be held for the following purposes: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1.To elect the eleven nominees for director to hold office until the next annual meeting of stockholders and until his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or her successor is duly elected and qualified or until his or her earlier death, resignation or removal.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2.To ratify the selection by the Audit Committee of the Board of Directors of Ernst &amp; Young LLP as Exelixis’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independent registered public accounting firm for the fiscal year ending January 1, 2027.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3.To amend and restate the Exelixis, Inc. 2017 Equity Incentive Plan to, among other things, increase the number of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shares authorized for issuance by 2,000,000 shares.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4.To approve, on an advisory basis, the compensation of Exelixis’ Named Executive Officers, as disclosed in the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Proxy Statement accompanying this Notice of Annual Meeting (Say on Pay).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5.To conduct any other business properly brought before the meeting.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These items of business are more fully described in the Proxy Statement accompanying this Notice of Annual Meeting.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You will only be able to register your attendance and gain access to the virtual Annual Meeting by using your 16-digit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control number provided on your Notice of Internet Availability of Proxy Materials (Notice of Availability), your proxy </w:t>
      </w:r>
    </w:p>
    <w:p>
      <w:pPr>
        <w:pStyle w:val="TextBody"/>
        <w:bidi w:val="0"/>
        <w:spacing w:lineRule="atLeast" w:line="240" w:before="0" w:after="0"/>
        <w:jc w:val="left"/>
        <w:rPr/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card</w:t>
      </w:r>
      <w:r>
        <w:rPr>
          <w:caps w:val="false"/>
          <w:smallCaps w:val="false"/>
          <w:strike w:val="false"/>
          <w:dstrike w:val="false"/>
          <w:color w:val="3F3F3F"/>
          <w:u w:val="none"/>
          <w:effect w:val="none"/>
        </w:rPr>
        <w:t xml:space="preserve">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or your voting instruction form. It is, therefore, important to retain your Notice of Availability or a copy of your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proxy card or voting instruction form. If you are a beneficial owner of shares held in “street name” who did not receive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 16-digit control number via email or on your Notice of Availability or voting instruction form and you wish to attend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the Annual Meeting, please follow the specific instructions from your broker, bank or other stockholder of record,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including any requirement to obtain a valid legal proxy.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The list of stockholders of record entitled to vote at the virtual Annual Meeting will be available for inspection by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contacting our Corporate Secretary 10 days prior to the Annual Meeting during ordinary business hours at our principal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executive offices located at 1851 Harbor Bay Parkway, Alameda, California 94502.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6d44722bfc2543dbbba9716d9e560c58_16">
        <w:r>
          <w:rPr>
            <w:rStyle w:val="InternetLink"/>
            <w:rFonts w:ascii="sans-serif" w:hAnsi="sans-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Instead of sending a paper copy of our Proxy Statement and our Annual Report for the fiscal year ended January 2,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2026</w:t>
      </w:r>
      <w:r>
        <w:rPr>
          <w:caps w:val="false"/>
          <w:smallCaps w:val="false"/>
          <w:strike w:val="false"/>
          <w:dstrike w:val="false"/>
          <w:color w:val="3F3F3F"/>
          <w:sz w:val="24"/>
          <w:u w:val="none"/>
          <w:effect w:val="none"/>
        </w:rPr>
        <w:t xml:space="preserve">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(Annual Report) to all of our stockholders, we are mailing a Notice of Availability. The Notice of Availability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contains instructions on how to access those documents over the Internet. The Notice of Availability also contains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instructions on how to request a paper copy of our proxy materials, including this Proxy Statement, our Annual Report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and a form of proxy card or voting instruction form. Any stockholders who do not receive a Notice of Availability will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receive a paper copy of the proxy materials by mail. We believe that this approach permits us to provide our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stockholders with the pertinent information in a more timely manner, while reducing the environmental impact and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lowering the costs of printing and distributing our proxy materials.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The record date for the Annual Meeting is March 31, 2026. Only stockholders of record at the close of business on that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date may vote at the meeting or any postponement or adjournment thereof. </w:t>
      </w: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205" w:type="dxa"/>
            <w:tcBorders>
              <w:top w:val="single" w:sz="8" w:space="0" w:color="F47521"/>
              <w:left w:val="single" w:sz="8" w:space="0" w:color="F47521"/>
              <w:right w:val="single" w:sz="8" w:space="0" w:color="F47521"/>
            </w:tcBorders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205" w:type="dxa"/>
            <w:tcBorders>
              <w:left w:val="single" w:sz="8" w:space="0" w:color="F47521"/>
              <w:right w:val="single" w:sz="8" w:space="0" w:color="F47521"/>
            </w:tcBorders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Important notice regarding the availability of proxy materials for the 2026</w:t>
            </w:r>
            <w:r>
              <w:rPr>
                <w:caps w:val="false"/>
                <w:smallCaps w:val="false"/>
                <w:strike w:val="false"/>
                <w:dstrike w:val="false"/>
                <w:color w:val="3F3F3F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Annual Meeting of Stockholders to be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held on May 26, 2026, at 9:00 a.m., Pacific Time, via live webcast at </w:t>
            </w:r>
            <w:r>
              <w:rPr>
                <w:rFonts w:ascii="sans-serif" w:hAnsi="sans-serif"/>
                <w:b/>
                <w:i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www.virtualshareholdermeeting.com/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rFonts w:ascii="sans-serif" w:hAnsi="sans-serif"/>
                <w:b/>
                <w:i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EXEL2026</w:t>
            </w: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. You will need your 16-digit control number provided on your Notice of Internet Availability of Proxy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Materials, your proxy card or your voting instruction form to gain access to the virtual Annual Meeting.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The Proxy Statement and Annual Report to stockholders are available at </w:t>
            </w:r>
            <w:r>
              <w:rPr>
                <w:rFonts w:ascii="sans-serif" w:hAnsi="sans-serif"/>
                <w:b/>
                <w:i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www.exel-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rFonts w:ascii="sans-serif" w:hAnsi="sans-serif"/>
                <w:b/>
                <w:i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annualstockholdermeeting.com</w:t>
            </w: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.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The Board of Directors recommends that you vote “FOR” Proposal Nos. 1-4 identified above.</w:t>
            </w:r>
          </w:p>
        </w:tc>
      </w:tr>
      <w:tr>
        <w:trPr/>
        <w:tc>
          <w:tcPr>
            <w:tcW w:w="10205" w:type="dxa"/>
            <w:tcBorders>
              <w:left w:val="single" w:sz="8" w:space="0" w:color="F47521"/>
              <w:bottom w:val="single" w:sz="8" w:space="0" w:color="F47521"/>
              <w:right w:val="single" w:sz="8" w:space="0" w:color="F47521"/>
            </w:tcBorders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By Order of the Board of Directors </w:t>
      </w: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1188720" cy="526415"/>
            <wp:effectExtent l="0" t="0" r="0" b="0"/>
            <wp:docPr id="6" name="Image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6" descr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8720" cy="526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7" w:name="i-6"/>
      <w:bookmarkEnd w:id="7"/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BRENDA J. HEFTI, J.D., Ph.D.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Senior Vice President and General Counsel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Alameda, California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April 15, 2026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YOUR VOTE IS IMPORTANT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WHETHER OR NOT YOU PLAN TO ATTEND THE VIRTUAL ANNUAL MEETING, TO ENSURE THAT YOU ARE REPRESENTED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AT THE MEETING AND TO ENSURE THAT A QUORUM IS PRESENT, WE URGE YOU TO VOTE YOUR PROXY ONLINE, BY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TELEPHONE OR BY RETURNING A PROXY CARD BY MAIL AS INSTRUCTED IN THE PROXY MATERIALS. EVEN IF YOU HAVE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VOTED BY PROXY, YOU MAY STILL VOTE IF YOU ATTEND THE VIRTUAL ANNUAL MEETING. PLEASE NOTE, HOWEVER,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THAT IF YOU HOLD YOUR SHARES THROUGH A BROKER, BANK OR OTHER NOMINEE, THEN THAT ENTITY IS THE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STOCKHOLDER OF RECORD, AND YOU WILL NEED TO FOLLOW THE INSTRUCTIONS ON THE VOTING INSTRUCTION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FORM THEY SEND TO YOU, AND THEY WILL VOTE YOUR SHARES AS YOU DIRECT. 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6d44722bfc2543dbbba9716d9e560c58_16">
        <w:r>
          <w:rPr>
            <w:rStyle w:val="InternetLink"/>
            <w:rFonts w:ascii="sans-serif" w:hAnsi="sans-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36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53585B"/>
          <w:sz w:val="36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53585B"/>
          <w:sz w:val="36"/>
          <w:u w:val="none"/>
          <w:effect w:val="none"/>
        </w:rPr>
        <w:t xml:space="preserve">PROXY STATEMENT </w:t>
      </w:r>
    </w:p>
    <w:p>
      <w:pPr>
        <w:pStyle w:val="TextBody"/>
        <w:bidi w:val="0"/>
        <w:spacing w:lineRule="atLeast" w:line="36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F47521"/>
          <w:sz w:val="36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F47521"/>
          <w:sz w:val="36"/>
          <w:u w:val="none"/>
          <w:effect w:val="none"/>
        </w:rPr>
        <w:t xml:space="preserve">FOR THE 2026 ANNUAL MEETING OF STOCKHOLDERS </w:t>
      </w:r>
    </w:p>
    <w:p>
      <w:pPr>
        <w:pStyle w:val="TextBody"/>
        <w:bidi w:val="0"/>
        <w:spacing w:lineRule="atLeast" w:line="36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F47521"/>
          <w:sz w:val="36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F47521"/>
          <w:sz w:val="36"/>
          <w:u w:val="none"/>
          <w:effect w:val="none"/>
        </w:rPr>
        <w:t>May 26, 2026</w:t>
      </w:r>
    </w:p>
    <w:p>
      <w:pPr>
        <w:pStyle w:val="TextBody"/>
        <w:bidi w:val="0"/>
        <w:spacing w:lineRule="atLeast" w:line="280" w:before="0" w:after="0"/>
        <w:jc w:val="left"/>
        <w:rPr>
          <w:sz w:val="28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F47521"/>
          <w:sz w:val="28"/>
          <w:u w:val="none"/>
          <w:effect w:val="none"/>
        </w:rPr>
        <w:t>Proposals to be voted on at the 2026</w:t>
      </w:r>
      <w:r>
        <w:rPr>
          <w:caps w:val="false"/>
          <w:smallCaps w:val="false"/>
          <w:strike w:val="false"/>
          <w:dstrike w:val="false"/>
          <w:color w:val="F47521"/>
          <w:sz w:val="28"/>
          <w:u w:val="none"/>
          <w:effect w:val="none"/>
        </w:rPr>
        <w:t xml:space="preserve">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F47521"/>
          <w:sz w:val="28"/>
          <w:u w:val="none"/>
          <w:effect w:val="none"/>
        </w:rPr>
        <w:t xml:space="preserve">Annual Meeting of Stockholders </w:t>
      </w: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205" w:type="dxa"/>
            <w:tcBorders>
              <w:top w:val="single" w:sz="8" w:space="0" w:color="F47521"/>
            </w:tcBorders>
            <w:shd w:fill="E5E5E5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20"/>
                <w:u w:val="none"/>
                <w:effect w:val="none"/>
              </w:rPr>
              <w:t>1.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 xml:space="preserve">To elect the eleven nominees for director named in the Proxy Statement accompanying this Notice of Annual               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 xml:space="preserve">Meeting to hold office until the next annual meeting of stockholders and until his or her successor is duly elected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and qualified or until his or her death, resignation or removal.</w:t>
            </w:r>
          </w:p>
        </w:tc>
      </w:tr>
      <w:tr>
        <w:trPr/>
        <w:tc>
          <w:tcPr>
            <w:tcW w:w="10205" w:type="dxa"/>
            <w:tcBorders/>
            <w:shd w:fill="E5E5E5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20"/>
                <w:u w:val="none"/>
                <w:effect w:val="none"/>
              </w:rPr>
              <w:t>2.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 xml:space="preserve">To ratify the selection by the Audit Committee of the Board of Directors of Ernst &amp; Young LLP as Exelixis’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independent registered public accounting firm for the fiscal year ending January 1, 2027.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205" w:type="dxa"/>
            <w:tcBorders/>
            <w:shd w:fill="E5E5E5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205" w:type="dxa"/>
            <w:tcBorders/>
            <w:shd w:fill="E5E5E5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20"/>
                <w:u w:val="none"/>
                <w:effect w:val="none"/>
              </w:rPr>
              <w:t>3.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 xml:space="preserve">To amend and restate the Exelixis, Inc. 2017 Equity Incentive Plan to, among other things, increase the shares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authorized for issuance by 2,000,000 shares.</w:t>
            </w:r>
          </w:p>
        </w:tc>
      </w:tr>
      <w:tr>
        <w:trPr/>
        <w:tc>
          <w:tcPr>
            <w:tcW w:w="10205" w:type="dxa"/>
            <w:tcBorders/>
            <w:shd w:fill="E5E5E5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205" w:type="dxa"/>
            <w:tcBorders/>
            <w:shd w:fill="E5E5E5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20"/>
                <w:u w:val="none"/>
                <w:effect w:val="none"/>
              </w:rPr>
              <w:t>4.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 xml:space="preserve">To approve, on an advisory basis, the compensation of Exelixis’ Named Executive Officers, as disclosed in the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Proxy Statement accompanying this Notice of Annual Meeting.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205" w:type="dxa"/>
            <w:tcBorders/>
            <w:shd w:fill="E5E5E5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205" w:type="dxa"/>
            <w:tcBorders/>
            <w:shd w:fill="E5E5E5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20"/>
                <w:u w:val="none"/>
                <w:effect w:val="none"/>
              </w:rPr>
              <w:t>5.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To conduct any other business properly brought before the meeting.</w:t>
            </w:r>
          </w:p>
        </w:tc>
      </w:tr>
      <w:tr>
        <w:trPr/>
        <w:tc>
          <w:tcPr>
            <w:tcW w:w="10205" w:type="dxa"/>
            <w:tcBorders>
              <w:bottom w:val="single" w:sz="8" w:space="0" w:color="F47521"/>
            </w:tcBorders>
            <w:shd w:fill="E5E5E5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205" w:type="dxa"/>
            <w:tcBorders>
              <w:top w:val="single" w:sz="8" w:space="0" w:color="F47521"/>
              <w:left w:val="single" w:sz="8" w:space="0" w:color="F47521"/>
              <w:right w:val="single" w:sz="8" w:space="0" w:color="F47521"/>
            </w:tcBorders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205" w:type="dxa"/>
            <w:tcBorders>
              <w:left w:val="single" w:sz="8" w:space="0" w:color="F47521"/>
              <w:right w:val="single" w:sz="8" w:space="0" w:color="F47521"/>
            </w:tcBorders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Important notice regarding the availability of proxy materials for the 2026</w:t>
            </w:r>
            <w:r>
              <w:rPr>
                <w:caps w:val="false"/>
                <w:smallCaps w:val="false"/>
                <w:strike w:val="false"/>
                <w:dstrike w:val="false"/>
                <w:color w:val="3F3F3F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Annual Meeting of Stockholders to be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held on May 26, 2026, at 9:00 a.m., Pacific Time, via live webcast at</w:t>
            </w:r>
            <w:r>
              <w:rPr>
                <w:strike w:val="false"/>
                <w:dstrike w:val="false"/>
                <w:color w:val="3F3F3F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sans-serif" w:hAnsi="sans-serif"/>
                <w:b/>
                <w:i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www.virtualshareholdermeeting.com/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rFonts w:ascii="sans-serif" w:hAnsi="sans-serif"/>
                <w:b/>
                <w:i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EXEL2026</w:t>
            </w: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. You will need your 16-digit control number provided on your Notice of Internet Availability of Proxy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Materials, your proxy card or your voting instruction form to gain access to the virtual Annual Meeting.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The Proxy Statement and Annual Report to stockholders are available at </w:t>
            </w:r>
            <w:r>
              <w:rPr>
                <w:rFonts w:ascii="sans-serif" w:hAnsi="sans-serif"/>
                <w:b/>
                <w:i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www.exel-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rFonts w:ascii="sans-serif" w:hAnsi="sans-serif"/>
                <w:b/>
                <w:i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annualstockholdermeeting.com</w:t>
            </w: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.</w:t>
            </w:r>
          </w:p>
        </w:tc>
      </w:tr>
      <w:tr>
        <w:trPr/>
        <w:tc>
          <w:tcPr>
            <w:tcW w:w="10205" w:type="dxa"/>
            <w:tcBorders>
              <w:left w:val="single" w:sz="8" w:space="0" w:color="F47521"/>
              <w:bottom w:val="single" w:sz="8" w:space="0" w:color="F47521"/>
              <w:right w:val="single" w:sz="8" w:space="0" w:color="F47521"/>
            </w:tcBorders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We intend to mail the Notice of Internet Availability of Proxy Materials relating to the Annual Meeting on or about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April 15, 2026</w:t>
      </w:r>
      <w:r>
        <w:rPr>
          <w:caps w:val="false"/>
          <w:smallCaps w:val="false"/>
          <w:strike w:val="false"/>
          <w:dstrike w:val="false"/>
          <w:color w:val="3F3F3F"/>
          <w:sz w:val="24"/>
          <w:u w:val="none"/>
          <w:effect w:val="none"/>
        </w:rPr>
        <w:t xml:space="preserve">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to all stockholders of record entitled to vote at the Annual Meeting.</w:t>
      </w:r>
    </w:p>
    <w:tbl>
      <w:tblPr>
        <w:tblW w:w="156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81"/>
        <w:gridCol w:w="1381"/>
      </w:tblGrid>
      <w:tr>
        <w:trPr/>
        <w:tc>
          <w:tcPr>
            <w:tcW w:w="1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20"/>
                <w:u w:val="none"/>
                <w:effect w:val="none"/>
              </w:rPr>
              <w:t>i</w:t>
            </w:r>
          </w:p>
        </w:tc>
        <w:tc>
          <w:tcPr>
            <w:tcW w:w="138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Exelixis, Inc.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/>
      </w:pPr>
      <w:hyperlink w:anchor="i6d44722bfc2543dbbba9716d9e560c58_16">
        <w:r>
          <w:rPr>
            <w:rStyle w:val="InternetLink"/>
            <w:rFonts w:ascii="sans-serif" w:hAnsi="sans-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36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F47521"/>
          <w:sz w:val="36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F47521"/>
          <w:sz w:val="36"/>
          <w:u w:val="none"/>
          <w:effect w:val="none"/>
        </w:rPr>
        <w:t>TABLE OF CONTENTS</w:t>
      </w: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9649"/>
        <w:gridCol w:w="556"/>
      </w:tblGrid>
      <w:tr>
        <w:trPr/>
        <w:tc>
          <w:tcPr>
            <w:tcW w:w="964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649" w:type="dxa"/>
            <w:tcBorders>
              <w:bottom w:val="single" w:sz="4" w:space="0" w:color="B2B2B2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6d44722bfc2543dbbba9716d9e560c58_19">
              <w:r>
                <w:rPr>
                  <w:rStyle w:val="InternetLink"/>
                  <w:rFonts w:ascii="sans-serif" w:hAnsi="sans-serif"/>
                  <w:b/>
                  <w:i w:val="false"/>
                  <w:caps w:val="false"/>
                  <w:smallCaps w:val="false"/>
                  <w:color w:val="0000FF"/>
                  <w:sz w:val="20"/>
                  <w:u w:val="single"/>
                </w:rPr>
                <w:t>Questions and Answers About These Proxy Materials and Voting</w:t>
              </w:r>
            </w:hyperlink>
          </w:p>
        </w:tc>
        <w:tc>
          <w:tcPr>
            <w:tcW w:w="556" w:type="dxa"/>
            <w:tcBorders>
              <w:bottom w:val="single" w:sz="4" w:space="0" w:color="B2B2B2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6d44722bfc2543dbbba9716d9e560c58_19">
              <w:r>
                <w:rPr>
                  <w:rStyle w:val="InternetLink"/>
                  <w:rFonts w:ascii="sans-serif" w:hAnsi="sans-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20"/>
                  <w:u w:val="single"/>
                  <w:effect w:val="none"/>
                </w:rPr>
                <w:t>1</w:t>
              </w:r>
            </w:hyperlink>
          </w:p>
        </w:tc>
      </w:tr>
      <w:tr>
        <w:trPr/>
        <w:tc>
          <w:tcPr>
            <w:tcW w:w="9649" w:type="dxa"/>
            <w:tcBorders>
              <w:top w:val="single" w:sz="4" w:space="0" w:color="B2B2B2"/>
              <w:bottom w:val="single" w:sz="4" w:space="0" w:color="B2B2B2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6d44722bfc2543dbbba9716d9e560c58_49">
              <w:r>
                <w:rPr>
                  <w:rStyle w:val="InternetLink"/>
                  <w:rFonts w:ascii="sans-serif" w:hAnsi="sans-serif"/>
                  <w:b/>
                  <w:i w:val="false"/>
                  <w:caps w:val="false"/>
                  <w:smallCaps w:val="false"/>
                  <w:color w:val="0000FF"/>
                  <w:sz w:val="20"/>
                  <w:u w:val="single"/>
                </w:rPr>
                <w:t>Proposal 1: Election of Directors</w:t>
              </w:r>
            </w:hyperlink>
          </w:p>
        </w:tc>
        <w:tc>
          <w:tcPr>
            <w:tcW w:w="556" w:type="dxa"/>
            <w:tcBorders>
              <w:top w:val="single" w:sz="4" w:space="0" w:color="B2B2B2"/>
              <w:bottom w:val="single" w:sz="4" w:space="0" w:color="B2B2B2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6d44722bfc2543dbbba9716d9e560c58_49">
              <w:r>
                <w:rPr>
                  <w:rStyle w:val="InternetLink"/>
                  <w:rFonts w:ascii="sans-serif" w:hAnsi="sans-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20"/>
                  <w:u w:val="single"/>
                  <w:effect w:val="none"/>
                </w:rPr>
                <w:t>9</w:t>
              </w:r>
            </w:hyperlink>
          </w:p>
        </w:tc>
      </w:tr>
      <w:tr>
        <w:trPr/>
        <w:tc>
          <w:tcPr>
            <w:tcW w:w="9649" w:type="dxa"/>
            <w:tcBorders>
              <w:top w:val="single" w:sz="4" w:space="0" w:color="B2B2B2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 xml:space="preserve">    </w:t>
            </w:r>
            <w:hyperlink w:anchor="i6d44722bfc2543dbbba9716d9e560c58_55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color w:val="0000FF"/>
                  <w:sz w:val="20"/>
                  <w:u w:val="single"/>
                </w:rPr>
                <w:t>Director Nominees</w:t>
              </w:r>
            </w:hyperlink>
          </w:p>
        </w:tc>
        <w:tc>
          <w:tcPr>
            <w:tcW w:w="556" w:type="dxa"/>
            <w:tcBorders>
              <w:top w:val="single" w:sz="4" w:space="0" w:color="B2B2B2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6d44722bfc2543dbbba9716d9e560c58_55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20"/>
                  <w:u w:val="single"/>
                  <w:effect w:val="none"/>
                </w:rPr>
                <w:t>12</w:t>
              </w:r>
            </w:hyperlink>
          </w:p>
        </w:tc>
      </w:tr>
      <w:tr>
        <w:trPr/>
        <w:tc>
          <w:tcPr>
            <w:tcW w:w="9649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 xml:space="preserve">    </w:t>
            </w:r>
            <w:hyperlink w:anchor="i6d44722bfc2543dbbba9716d9e560c58_58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color w:val="0000FF"/>
                  <w:sz w:val="20"/>
                  <w:u w:val="single"/>
                </w:rPr>
                <w:t>Board Committees</w:t>
              </w:r>
            </w:hyperlink>
          </w:p>
        </w:tc>
        <w:tc>
          <w:tcPr>
            <w:tcW w:w="55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6d44722bfc2543dbbba9716d9e560c58_58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20"/>
                  <w:u w:val="single"/>
                  <w:effect w:val="none"/>
                </w:rPr>
                <w:t>20</w:t>
              </w:r>
            </w:hyperlink>
          </w:p>
        </w:tc>
      </w:tr>
      <w:tr>
        <w:trPr/>
        <w:tc>
          <w:tcPr>
            <w:tcW w:w="9649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 xml:space="preserve">          </w:t>
            </w:r>
            <w:hyperlink w:anchor="i6d44722bfc2543dbbba9716d9e560c58_61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color w:val="0000FF"/>
                  <w:sz w:val="20"/>
                  <w:u w:val="single"/>
                </w:rPr>
                <w:t>Audit Committee</w:t>
              </w:r>
            </w:hyperlink>
          </w:p>
        </w:tc>
        <w:tc>
          <w:tcPr>
            <w:tcW w:w="55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6d44722bfc2543dbbba9716d9e560c58_61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20"/>
                  <w:u w:val="single"/>
                  <w:effect w:val="none"/>
                </w:rPr>
                <w:t>20</w:t>
              </w:r>
            </w:hyperlink>
          </w:p>
        </w:tc>
      </w:tr>
      <w:tr>
        <w:trPr/>
        <w:tc>
          <w:tcPr>
            <w:tcW w:w="9649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 xml:space="preserve">          </w:t>
            </w:r>
            <w:hyperlink w:anchor="i6d44722bfc2543dbbba9716d9e560c58_64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color w:val="0000FF"/>
                  <w:sz w:val="20"/>
                  <w:u w:val="single"/>
                </w:rPr>
                <w:t>Compensation Committee</w:t>
              </w:r>
            </w:hyperlink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 xml:space="preserve"> </w:t>
            </w:r>
          </w:p>
        </w:tc>
        <w:tc>
          <w:tcPr>
            <w:tcW w:w="55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6d44722bfc2543dbbba9716d9e560c58_64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20"/>
                  <w:u w:val="single"/>
                  <w:effect w:val="none"/>
                </w:rPr>
                <w:t>21</w:t>
              </w:r>
            </w:hyperlink>
          </w:p>
        </w:tc>
      </w:tr>
      <w:tr>
        <w:trPr/>
        <w:tc>
          <w:tcPr>
            <w:tcW w:w="9649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 xml:space="preserve">          </w:t>
            </w:r>
            <w:hyperlink w:anchor="i6d44722bfc2543dbbba9716d9e560c58_67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color w:val="0000FF"/>
                  <w:sz w:val="20"/>
                  <w:u w:val="single"/>
                </w:rPr>
                <w:t xml:space="preserve">Governance Committee </w:t>
              </w:r>
            </w:hyperlink>
          </w:p>
        </w:tc>
        <w:tc>
          <w:tcPr>
            <w:tcW w:w="55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6d44722bfc2543dbbba9716d9e560c58_67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20"/>
                  <w:u w:val="single"/>
                  <w:effect w:val="none"/>
                </w:rPr>
                <w:t>22</w:t>
              </w:r>
            </w:hyperlink>
          </w:p>
        </w:tc>
      </w:tr>
      <w:tr>
        <w:trPr/>
        <w:tc>
          <w:tcPr>
            <w:tcW w:w="9649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 xml:space="preserve">          </w:t>
            </w:r>
            <w:hyperlink w:anchor="i6d44722bfc2543dbbba9716d9e560c58_70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color w:val="0000FF"/>
                  <w:sz w:val="20"/>
                  <w:u w:val="single"/>
                </w:rPr>
                <w:t>Research &amp; Development Committee</w:t>
              </w:r>
            </w:hyperlink>
          </w:p>
        </w:tc>
        <w:tc>
          <w:tcPr>
            <w:tcW w:w="55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6d44722bfc2543dbbba9716d9e560c58_70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20"/>
                  <w:u w:val="single"/>
                  <w:effect w:val="none"/>
                </w:rPr>
                <w:t>23</w:t>
              </w:r>
            </w:hyperlink>
          </w:p>
        </w:tc>
      </w:tr>
      <w:tr>
        <w:trPr/>
        <w:tc>
          <w:tcPr>
            <w:tcW w:w="9649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 xml:space="preserve">          </w:t>
            </w:r>
            <w:hyperlink w:anchor="i6d44722bfc2543dbbba9716d9e560c58_73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color w:val="0000FF"/>
                  <w:sz w:val="20"/>
                  <w:u w:val="single"/>
                </w:rPr>
                <w:t>Risk Committee</w:t>
              </w:r>
            </w:hyperlink>
          </w:p>
        </w:tc>
        <w:tc>
          <w:tcPr>
            <w:tcW w:w="55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6d44722bfc2543dbbba9716d9e560c58_73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20"/>
                  <w:u w:val="single"/>
                  <w:effect w:val="none"/>
                </w:rPr>
                <w:t>24</w:t>
              </w:r>
            </w:hyperlink>
          </w:p>
        </w:tc>
      </w:tr>
      <w:tr>
        <w:trPr/>
        <w:tc>
          <w:tcPr>
            <w:tcW w:w="9649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 xml:space="preserve">          </w:t>
            </w:r>
            <w:hyperlink w:anchor="i6d44722bfc2543dbbba9716d9e560c58_76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color w:val="0000FF"/>
                  <w:sz w:val="20"/>
                  <w:u w:val="single"/>
                </w:rPr>
                <w:t>Meetings and Attendance</w:t>
              </w:r>
            </w:hyperlink>
          </w:p>
        </w:tc>
        <w:tc>
          <w:tcPr>
            <w:tcW w:w="55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6d44722bfc2543dbbba9716d9e560c58_76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20"/>
                  <w:u w:val="single"/>
                  <w:effect w:val="none"/>
                </w:rPr>
                <w:t>24</w:t>
              </w:r>
            </w:hyperlink>
          </w:p>
        </w:tc>
      </w:tr>
      <w:tr>
        <w:trPr/>
        <w:tc>
          <w:tcPr>
            <w:tcW w:w="9649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 xml:space="preserve">    </w:t>
            </w:r>
            <w:hyperlink w:anchor="i6d44722bfc2543dbbba9716d9e560c58_79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color w:val="0000FF"/>
                  <w:sz w:val="20"/>
                  <w:u w:val="single"/>
                </w:rPr>
                <w:t>Corporate Governance</w:t>
              </w:r>
            </w:hyperlink>
          </w:p>
        </w:tc>
        <w:tc>
          <w:tcPr>
            <w:tcW w:w="55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6d44722bfc2543dbbba9716d9e560c58_79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20"/>
                  <w:u w:val="single"/>
                  <w:effect w:val="none"/>
                </w:rPr>
                <w:t>25</w:t>
              </w:r>
            </w:hyperlink>
          </w:p>
        </w:tc>
      </w:tr>
      <w:tr>
        <w:trPr/>
        <w:tc>
          <w:tcPr>
            <w:tcW w:w="9649" w:type="dxa"/>
            <w:tcBorders>
              <w:bottom w:val="single" w:sz="4" w:space="0" w:color="B2B2B2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6d44722bfc2543dbbba9716d9e560c58_82">
              <w:r>
                <w:rPr>
                  <w:rStyle w:val="InternetLink"/>
                  <w:rFonts w:ascii="sans-serif" w:hAnsi="sans-serif"/>
                  <w:b/>
                  <w:i w:val="false"/>
                  <w:caps w:val="false"/>
                  <w:smallCaps w:val="false"/>
                  <w:color w:val="0000FF"/>
                  <w:sz w:val="20"/>
                  <w:u w:val="single"/>
                </w:rPr>
                <w:t xml:space="preserve">Compensation of Directors </w:t>
              </w:r>
            </w:hyperlink>
          </w:p>
        </w:tc>
        <w:tc>
          <w:tcPr>
            <w:tcW w:w="556" w:type="dxa"/>
            <w:tcBorders>
              <w:bottom w:val="single" w:sz="4" w:space="0" w:color="B2B2B2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6d44722bfc2543dbbba9716d9e560c58_82">
              <w:r>
                <w:rPr>
                  <w:rStyle w:val="InternetLink"/>
                  <w:rFonts w:ascii="sans-serif" w:hAnsi="sans-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20"/>
                  <w:u w:val="single"/>
                  <w:effect w:val="none"/>
                </w:rPr>
                <w:t>31</w:t>
              </w:r>
            </w:hyperlink>
          </w:p>
        </w:tc>
      </w:tr>
      <w:tr>
        <w:trPr/>
        <w:tc>
          <w:tcPr>
            <w:tcW w:w="9649" w:type="dxa"/>
            <w:tcBorders>
              <w:top w:val="single" w:sz="4" w:space="0" w:color="B2B2B2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6d44722bfc2543dbbba9716d9e560c58_100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color w:val="0000FF"/>
                  <w:sz w:val="20"/>
                  <w:u w:val="single"/>
                </w:rPr>
                <w:t>Director Compensation Table</w:t>
              </w:r>
            </w:hyperlink>
          </w:p>
        </w:tc>
        <w:tc>
          <w:tcPr>
            <w:tcW w:w="556" w:type="dxa"/>
            <w:tcBorders>
              <w:top w:val="single" w:sz="4" w:space="0" w:color="B2B2B2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6d44722bfc2543dbbba9716d9e560c58_100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20"/>
                  <w:u w:val="single"/>
                  <w:effect w:val="none"/>
                </w:rPr>
                <w:t>33</w:t>
              </w:r>
            </w:hyperlink>
          </w:p>
        </w:tc>
      </w:tr>
      <w:tr>
        <w:trPr/>
        <w:tc>
          <w:tcPr>
            <w:tcW w:w="9649" w:type="dxa"/>
            <w:tcBorders>
              <w:bottom w:val="single" w:sz="4" w:space="0" w:color="B2B2B2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6d44722bfc2543dbbba9716d9e560c58_103">
              <w:r>
                <w:rPr>
                  <w:rStyle w:val="InternetLink"/>
                  <w:rFonts w:ascii="sans-serif" w:hAnsi="sans-serif"/>
                  <w:b/>
                  <w:i w:val="false"/>
                  <w:caps w:val="false"/>
                  <w:smallCaps w:val="false"/>
                  <w:color w:val="0000FF"/>
                  <w:sz w:val="20"/>
                  <w:u w:val="single"/>
                </w:rPr>
                <w:t>Proposal 2: Ratification of Selection of Independent Registered Public Accounting Firm</w:t>
              </w:r>
            </w:hyperlink>
          </w:p>
        </w:tc>
        <w:tc>
          <w:tcPr>
            <w:tcW w:w="556" w:type="dxa"/>
            <w:tcBorders>
              <w:bottom w:val="single" w:sz="4" w:space="0" w:color="B2B2B2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6d44722bfc2543dbbba9716d9e560c58_103">
              <w:r>
                <w:rPr>
                  <w:rStyle w:val="InternetLink"/>
                  <w:rFonts w:ascii="sans-serif" w:hAnsi="sans-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20"/>
                  <w:u w:val="single"/>
                  <w:effect w:val="none"/>
                </w:rPr>
                <w:t>35</w:t>
              </w:r>
            </w:hyperlink>
          </w:p>
        </w:tc>
      </w:tr>
      <w:tr>
        <w:trPr/>
        <w:tc>
          <w:tcPr>
            <w:tcW w:w="9649" w:type="dxa"/>
            <w:tcBorders>
              <w:top w:val="single" w:sz="4" w:space="0" w:color="B2B2B2"/>
              <w:bottom w:val="single" w:sz="4" w:space="0" w:color="B2B2B2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6d44722bfc2543dbbba9716d9e560c58_109">
              <w:r>
                <w:rPr>
                  <w:rStyle w:val="InternetLink"/>
                  <w:rFonts w:ascii="sans-serif" w:hAnsi="sans-serif"/>
                  <w:b/>
                  <w:i w:val="false"/>
                  <w:caps w:val="false"/>
                  <w:smallCaps w:val="false"/>
                  <w:color w:val="0000FF"/>
                  <w:sz w:val="20"/>
                  <w:u w:val="single"/>
                </w:rPr>
                <w:t>Report of the Audit Committee</w:t>
              </w:r>
            </w:hyperlink>
          </w:p>
        </w:tc>
        <w:tc>
          <w:tcPr>
            <w:tcW w:w="556" w:type="dxa"/>
            <w:tcBorders>
              <w:top w:val="single" w:sz="4" w:space="0" w:color="B2B2B2"/>
              <w:bottom w:val="single" w:sz="4" w:space="0" w:color="B2B2B2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6d44722bfc2543dbbba9716d9e560c58_109">
              <w:r>
                <w:rPr>
                  <w:rStyle w:val="InternetLink"/>
                  <w:rFonts w:ascii="sans-serif" w:hAnsi="sans-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20"/>
                  <w:u w:val="single"/>
                  <w:effect w:val="none"/>
                </w:rPr>
                <w:t>37</w:t>
              </w:r>
            </w:hyperlink>
          </w:p>
        </w:tc>
      </w:tr>
      <w:tr>
        <w:trPr/>
        <w:tc>
          <w:tcPr>
            <w:tcW w:w="9649" w:type="dxa"/>
            <w:tcBorders>
              <w:top w:val="single" w:sz="4" w:space="0" w:color="B2B2B2"/>
              <w:bottom w:val="single" w:sz="4" w:space="0" w:color="B2B2B2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6d44722bfc2543dbbba9716d9e560c58_1164">
              <w:r>
                <w:rPr>
                  <w:rStyle w:val="InternetLink"/>
                  <w:rFonts w:ascii="sans-serif" w:hAnsi="sans-serif"/>
                  <w:b/>
                  <w:i w:val="false"/>
                  <w:caps w:val="false"/>
                  <w:smallCaps w:val="false"/>
                  <w:color w:val="0000FF"/>
                  <w:sz w:val="20"/>
                  <w:u w:val="single"/>
                </w:rPr>
                <w:t>Proposal 3: Amendment and Restatement of the Exelixis, Inc., 2017 Equity Incentive Plan</w:t>
              </w:r>
            </w:hyperlink>
          </w:p>
        </w:tc>
        <w:tc>
          <w:tcPr>
            <w:tcW w:w="556" w:type="dxa"/>
            <w:tcBorders>
              <w:top w:val="single" w:sz="4" w:space="0" w:color="B2B2B2"/>
              <w:bottom w:val="single" w:sz="4" w:space="0" w:color="B2B2B2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6d44722bfc2543dbbba9716d9e560c58_1164">
              <w:r>
                <w:rPr>
                  <w:rStyle w:val="InternetLink"/>
                  <w:rFonts w:ascii="sans-serif" w:hAnsi="sans-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20"/>
                  <w:u w:val="single"/>
                  <w:effect w:val="none"/>
                </w:rPr>
                <w:t>38</w:t>
              </w:r>
            </w:hyperlink>
          </w:p>
        </w:tc>
      </w:tr>
      <w:tr>
        <w:trPr/>
        <w:tc>
          <w:tcPr>
            <w:tcW w:w="9649" w:type="dxa"/>
            <w:tcBorders>
              <w:top w:val="single" w:sz="4" w:space="0" w:color="B2B2B2"/>
              <w:bottom w:val="single" w:sz="4" w:space="0" w:color="B2B2B2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6d44722bfc2543dbbba9716d9e560c58_112">
              <w:r>
                <w:rPr>
                  <w:rStyle w:val="InternetLink"/>
                  <w:rFonts w:ascii="sans-serif" w:hAnsi="sans-serif"/>
                  <w:b/>
                  <w:i w:val="false"/>
                  <w:caps w:val="false"/>
                  <w:smallCaps w:val="false"/>
                  <w:color w:val="0000FF"/>
                  <w:sz w:val="20"/>
                  <w:u w:val="single"/>
                </w:rPr>
                <w:t>Proposal 4: Advisory Vote on the Compensation of the Named Executive Officers</w:t>
              </w:r>
            </w:hyperlink>
          </w:p>
        </w:tc>
        <w:tc>
          <w:tcPr>
            <w:tcW w:w="556" w:type="dxa"/>
            <w:tcBorders>
              <w:top w:val="single" w:sz="4" w:space="0" w:color="B2B2B2"/>
              <w:bottom w:val="single" w:sz="4" w:space="0" w:color="B2B2B2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6d44722bfc2543dbbba9716d9e560c58_112">
              <w:r>
                <w:rPr>
                  <w:rStyle w:val="InternetLink"/>
                  <w:rFonts w:ascii="sans-serif" w:hAnsi="sans-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20"/>
                  <w:u w:val="single"/>
                  <w:effect w:val="none"/>
                </w:rPr>
                <w:t>55</w:t>
              </w:r>
            </w:hyperlink>
          </w:p>
        </w:tc>
      </w:tr>
      <w:tr>
        <w:trPr/>
        <w:tc>
          <w:tcPr>
            <w:tcW w:w="9649" w:type="dxa"/>
            <w:tcBorders>
              <w:top w:val="single" w:sz="4" w:space="0" w:color="B2B2B2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 xml:space="preserve">      </w:t>
            </w:r>
            <w:hyperlink w:anchor="i6d44722bfc2543dbbba9716d9e560c58_115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color w:val="0000FF"/>
                  <w:sz w:val="20"/>
                  <w:u w:val="single"/>
                </w:rPr>
                <w:t xml:space="preserve">Required Vote and Board of Directors Recommendation </w:t>
              </w:r>
            </w:hyperlink>
          </w:p>
        </w:tc>
        <w:tc>
          <w:tcPr>
            <w:tcW w:w="556" w:type="dxa"/>
            <w:tcBorders>
              <w:top w:val="single" w:sz="4" w:space="0" w:color="B2B2B2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6d44722bfc2543dbbba9716d9e560c58_115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20"/>
                  <w:u w:val="single"/>
                  <w:effect w:val="none"/>
                </w:rPr>
                <w:t>55</w:t>
              </w:r>
            </w:hyperlink>
          </w:p>
        </w:tc>
      </w:tr>
      <w:tr>
        <w:trPr/>
        <w:tc>
          <w:tcPr>
            <w:tcW w:w="9649" w:type="dxa"/>
            <w:tcBorders>
              <w:bottom w:val="single" w:sz="4" w:space="0" w:color="B2B2B2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6d44722bfc2543dbbba9716d9e560c58_118">
              <w:r>
                <w:rPr>
                  <w:rStyle w:val="InternetLink"/>
                  <w:rFonts w:ascii="sans-serif" w:hAnsi="sans-serif"/>
                  <w:b/>
                  <w:i w:val="false"/>
                  <w:caps w:val="false"/>
                  <w:smallCaps w:val="false"/>
                  <w:color w:val="0000FF"/>
                  <w:sz w:val="20"/>
                  <w:u w:val="single"/>
                </w:rPr>
                <w:t>Security Ownership of Certain Beneficial Owners and Management</w:t>
              </w:r>
            </w:hyperlink>
          </w:p>
        </w:tc>
        <w:tc>
          <w:tcPr>
            <w:tcW w:w="556" w:type="dxa"/>
            <w:tcBorders>
              <w:bottom w:val="single" w:sz="4" w:space="0" w:color="B2B2B2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6d44722bfc2543dbbba9716d9e560c58_118">
              <w:r>
                <w:rPr>
                  <w:rStyle w:val="InternetLink"/>
                  <w:rFonts w:ascii="sans-serif" w:hAnsi="sans-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20"/>
                  <w:u w:val="single"/>
                  <w:effect w:val="none"/>
                </w:rPr>
                <w:t>56</w:t>
              </w:r>
            </w:hyperlink>
          </w:p>
        </w:tc>
      </w:tr>
      <w:tr>
        <w:trPr/>
        <w:tc>
          <w:tcPr>
            <w:tcW w:w="9649" w:type="dxa"/>
            <w:tcBorders>
              <w:top w:val="single" w:sz="4" w:space="0" w:color="B2B2B2"/>
              <w:bottom w:val="single" w:sz="4" w:space="0" w:color="B2B2B2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6d44722bfc2543dbbba9716d9e560c58_1310">
              <w:r>
                <w:rPr>
                  <w:rStyle w:val="InternetLink"/>
                  <w:rFonts w:ascii="sans-serif" w:hAnsi="sans-serif"/>
                  <w:b/>
                  <w:i w:val="false"/>
                  <w:caps w:val="false"/>
                  <w:smallCaps w:val="false"/>
                  <w:color w:val="0000FF"/>
                  <w:sz w:val="20"/>
                  <w:u w:val="single"/>
                </w:rPr>
                <w:t>Delinquent Section 16(a) Reports</w:t>
              </w:r>
            </w:hyperlink>
          </w:p>
        </w:tc>
        <w:tc>
          <w:tcPr>
            <w:tcW w:w="556" w:type="dxa"/>
            <w:tcBorders>
              <w:top w:val="single" w:sz="4" w:space="0" w:color="B2B2B2"/>
              <w:bottom w:val="single" w:sz="4" w:space="0" w:color="B2B2B2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6d44722bfc2543dbbba9716d9e560c58_1310">
              <w:r>
                <w:rPr>
                  <w:rStyle w:val="InternetLink"/>
                  <w:rFonts w:ascii="sans-serif" w:hAnsi="sans-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20"/>
                  <w:u w:val="single"/>
                  <w:effect w:val="none"/>
                </w:rPr>
                <w:t>58</w:t>
              </w:r>
            </w:hyperlink>
          </w:p>
        </w:tc>
      </w:tr>
      <w:tr>
        <w:trPr/>
        <w:tc>
          <w:tcPr>
            <w:tcW w:w="9649" w:type="dxa"/>
            <w:tcBorders>
              <w:top w:val="single" w:sz="4" w:space="0" w:color="B2B2B2"/>
              <w:bottom w:val="single" w:sz="4" w:space="0" w:color="B2B2B2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6d44722bfc2543dbbba9716d9e560c58_121">
              <w:r>
                <w:rPr>
                  <w:rStyle w:val="InternetLink"/>
                  <w:rFonts w:ascii="sans-serif" w:hAnsi="sans-serif"/>
                  <w:b/>
                  <w:i w:val="false"/>
                  <w:caps w:val="false"/>
                  <w:smallCaps w:val="false"/>
                  <w:color w:val="0000FF"/>
                  <w:sz w:val="20"/>
                  <w:u w:val="single"/>
                </w:rPr>
                <w:t>Information about our Executive Officers</w:t>
              </w:r>
            </w:hyperlink>
          </w:p>
        </w:tc>
        <w:tc>
          <w:tcPr>
            <w:tcW w:w="556" w:type="dxa"/>
            <w:tcBorders>
              <w:top w:val="single" w:sz="4" w:space="0" w:color="B2B2B2"/>
              <w:bottom w:val="single" w:sz="4" w:space="0" w:color="B2B2B2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6d44722bfc2543dbbba9716d9e560c58_121">
              <w:r>
                <w:rPr>
                  <w:rStyle w:val="InternetLink"/>
                  <w:rFonts w:ascii="sans-serif" w:hAnsi="sans-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20"/>
                  <w:u w:val="single"/>
                  <w:effect w:val="none"/>
                </w:rPr>
                <w:t>59</w:t>
              </w:r>
            </w:hyperlink>
          </w:p>
        </w:tc>
      </w:tr>
      <w:tr>
        <w:trPr/>
        <w:tc>
          <w:tcPr>
            <w:tcW w:w="9649" w:type="dxa"/>
            <w:tcBorders>
              <w:top w:val="single" w:sz="4" w:space="0" w:color="B2B2B2"/>
              <w:bottom w:val="single" w:sz="4" w:space="0" w:color="B2B2B2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6d44722bfc2543dbbba9716d9e560c58_124">
              <w:r>
                <w:rPr>
                  <w:rStyle w:val="InternetLink"/>
                  <w:rFonts w:ascii="sans-serif" w:hAnsi="sans-serif"/>
                  <w:b/>
                  <w:i w:val="false"/>
                  <w:caps w:val="false"/>
                  <w:smallCaps w:val="false"/>
                  <w:color w:val="0000FF"/>
                  <w:sz w:val="20"/>
                  <w:u w:val="single"/>
                </w:rPr>
                <w:t>Compensation of Executive Officers</w:t>
              </w:r>
            </w:hyperlink>
          </w:p>
        </w:tc>
        <w:tc>
          <w:tcPr>
            <w:tcW w:w="556" w:type="dxa"/>
            <w:tcBorders>
              <w:top w:val="single" w:sz="4" w:space="0" w:color="B2B2B2"/>
              <w:bottom w:val="single" w:sz="4" w:space="0" w:color="B2B2B2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6d44722bfc2543dbbba9716d9e560c58_124">
              <w:r>
                <w:rPr>
                  <w:rStyle w:val="InternetLink"/>
                  <w:rFonts w:ascii="sans-serif" w:hAnsi="sans-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20"/>
                  <w:u w:val="single"/>
                  <w:effect w:val="none"/>
                </w:rPr>
                <w:t>61</w:t>
              </w:r>
            </w:hyperlink>
          </w:p>
        </w:tc>
      </w:tr>
      <w:tr>
        <w:trPr/>
        <w:tc>
          <w:tcPr>
            <w:tcW w:w="9649" w:type="dxa"/>
            <w:tcBorders>
              <w:top w:val="single" w:sz="4" w:space="0" w:color="B2B2B2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 xml:space="preserve">    </w:t>
            </w:r>
            <w:hyperlink w:anchor="i6d44722bfc2543dbbba9716d9e560c58_127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color w:val="0000FF"/>
                  <w:sz w:val="20"/>
                  <w:u w:val="single"/>
                </w:rPr>
                <w:t>Compensation Discussion and Analysis</w:t>
              </w:r>
            </w:hyperlink>
          </w:p>
        </w:tc>
        <w:tc>
          <w:tcPr>
            <w:tcW w:w="556" w:type="dxa"/>
            <w:tcBorders>
              <w:top w:val="single" w:sz="4" w:space="0" w:color="B2B2B2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6d44722bfc2543dbbba9716d9e560c58_127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20"/>
                  <w:u w:val="single"/>
                  <w:effect w:val="none"/>
                </w:rPr>
                <w:t>61</w:t>
              </w:r>
            </w:hyperlink>
          </w:p>
        </w:tc>
      </w:tr>
      <w:tr>
        <w:trPr/>
        <w:tc>
          <w:tcPr>
            <w:tcW w:w="9649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 xml:space="preserve">          </w:t>
            </w:r>
            <w:hyperlink w:anchor="i6d44722bfc2543dbbba9716d9e560c58_130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color w:val="0000FF"/>
                  <w:sz w:val="20"/>
                  <w:u w:val="single"/>
                </w:rPr>
                <w:t>Executive Summary</w:t>
              </w:r>
            </w:hyperlink>
          </w:p>
        </w:tc>
        <w:tc>
          <w:tcPr>
            <w:tcW w:w="55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6d44722bfc2543dbbba9716d9e560c58_130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20"/>
                  <w:u w:val="single"/>
                  <w:effect w:val="none"/>
                </w:rPr>
                <w:t>61</w:t>
              </w:r>
            </w:hyperlink>
          </w:p>
        </w:tc>
      </w:tr>
      <w:tr>
        <w:trPr/>
        <w:tc>
          <w:tcPr>
            <w:tcW w:w="9649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 xml:space="preserve">          </w:t>
            </w:r>
            <w:hyperlink w:anchor="i6d44722bfc2543dbbba9716d9e560c58_133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color w:val="0000FF"/>
                  <w:sz w:val="20"/>
                  <w:u w:val="single"/>
                </w:rPr>
                <w:t>How We Determine Executive Compensation</w:t>
              </w:r>
            </w:hyperlink>
          </w:p>
        </w:tc>
        <w:tc>
          <w:tcPr>
            <w:tcW w:w="55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6d44722bfc2543dbbba9716d9e560c58_133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20"/>
                  <w:u w:val="single"/>
                  <w:effect w:val="none"/>
                </w:rPr>
                <w:t>67</w:t>
              </w:r>
            </w:hyperlink>
          </w:p>
        </w:tc>
      </w:tr>
      <w:tr>
        <w:trPr/>
        <w:tc>
          <w:tcPr>
            <w:tcW w:w="9649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 xml:space="preserve">          </w:t>
            </w:r>
            <w:hyperlink w:anchor="i6d44722bfc2543dbbba9716d9e560c58_139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color w:val="0000FF"/>
                  <w:sz w:val="20"/>
                  <w:u w:val="single"/>
                </w:rPr>
                <w:t>Compensation Elements</w:t>
              </w:r>
            </w:hyperlink>
          </w:p>
        </w:tc>
        <w:tc>
          <w:tcPr>
            <w:tcW w:w="55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6d44722bfc2543dbbba9716d9e560c58_139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20"/>
                  <w:u w:val="single"/>
                  <w:effect w:val="none"/>
                </w:rPr>
                <w:t>70</w:t>
              </w:r>
            </w:hyperlink>
          </w:p>
        </w:tc>
      </w:tr>
      <w:tr>
        <w:trPr/>
        <w:tc>
          <w:tcPr>
            <w:tcW w:w="9649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 xml:space="preserve">            </w:t>
            </w:r>
            <w:hyperlink w:anchor="i6d44722bfc2543dbbba9716d9e560c58_145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color w:val="0000FF"/>
                  <w:sz w:val="20"/>
                  <w:u w:val="single"/>
                </w:rPr>
                <w:t>Compensation Mix</w:t>
              </w:r>
            </w:hyperlink>
          </w:p>
        </w:tc>
        <w:tc>
          <w:tcPr>
            <w:tcW w:w="55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6d44722bfc2543dbbba9716d9e560c58_145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20"/>
                  <w:u w:val="single"/>
                  <w:effect w:val="none"/>
                </w:rPr>
                <w:t>72</w:t>
              </w:r>
            </w:hyperlink>
          </w:p>
        </w:tc>
      </w:tr>
      <w:tr>
        <w:trPr/>
        <w:tc>
          <w:tcPr>
            <w:tcW w:w="9649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 xml:space="preserve">          </w:t>
            </w:r>
            <w:hyperlink w:anchor="i6d44722bfc2543dbbba9716d9e560c58_148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color w:val="0000FF"/>
                  <w:sz w:val="20"/>
                  <w:u w:val="single"/>
                </w:rPr>
                <w:t>2025 Compensation Decisions</w:t>
              </w:r>
            </w:hyperlink>
          </w:p>
        </w:tc>
        <w:tc>
          <w:tcPr>
            <w:tcW w:w="55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6d44722bfc2543dbbba9716d9e560c58_148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20"/>
                  <w:u w:val="single"/>
                  <w:effect w:val="none"/>
                </w:rPr>
                <w:t>72</w:t>
              </w:r>
            </w:hyperlink>
          </w:p>
        </w:tc>
      </w:tr>
      <w:tr>
        <w:trPr/>
        <w:tc>
          <w:tcPr>
            <w:tcW w:w="9649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 xml:space="preserve">          </w:t>
            </w:r>
            <w:hyperlink w:anchor="i6d44722bfc2543dbbba9716d9e560c58_172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color w:val="0000FF"/>
                  <w:sz w:val="20"/>
                  <w:u w:val="single"/>
                </w:rPr>
                <w:t>Other Compensation Information</w:t>
              </w:r>
            </w:hyperlink>
          </w:p>
        </w:tc>
        <w:tc>
          <w:tcPr>
            <w:tcW w:w="55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6d44722bfc2543dbbba9716d9e560c58_172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20"/>
                  <w:u w:val="single"/>
                  <w:effect w:val="none"/>
                </w:rPr>
                <w:t>83</w:t>
              </w:r>
            </w:hyperlink>
          </w:p>
        </w:tc>
      </w:tr>
      <w:tr>
        <w:trPr/>
        <w:tc>
          <w:tcPr>
            <w:tcW w:w="9649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 xml:space="preserve">          </w:t>
            </w:r>
            <w:hyperlink w:anchor="i6d44722bfc2543dbbba9716d9e560c58_178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color w:val="0000FF"/>
                  <w:sz w:val="20"/>
                  <w:u w:val="single"/>
                </w:rPr>
                <w:t xml:space="preserve">Compensation Policies and Practices as They Relate to Risk Management </w:t>
              </w:r>
            </w:hyperlink>
          </w:p>
        </w:tc>
        <w:tc>
          <w:tcPr>
            <w:tcW w:w="55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6d44722bfc2543dbbba9716d9e560c58_178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20"/>
                  <w:u w:val="single"/>
                  <w:effect w:val="none"/>
                </w:rPr>
                <w:t>86</w:t>
              </w:r>
            </w:hyperlink>
          </w:p>
        </w:tc>
      </w:tr>
      <w:tr>
        <w:trPr/>
        <w:tc>
          <w:tcPr>
            <w:tcW w:w="9649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 xml:space="preserve">      </w:t>
            </w:r>
            <w:hyperlink w:anchor="i6d44722bfc2543dbbba9716d9e560c58_181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color w:val="0000FF"/>
                  <w:sz w:val="20"/>
                  <w:u w:val="single"/>
                </w:rPr>
                <w:t>Compensation Committee Report</w:t>
              </w:r>
            </w:hyperlink>
          </w:p>
        </w:tc>
        <w:tc>
          <w:tcPr>
            <w:tcW w:w="55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6d44722bfc2543dbbba9716d9e560c58_178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20"/>
                  <w:u w:val="single"/>
                  <w:effect w:val="none"/>
                </w:rPr>
                <w:t>86</w:t>
              </w:r>
            </w:hyperlink>
          </w:p>
        </w:tc>
      </w:tr>
      <w:tr>
        <w:trPr/>
        <w:tc>
          <w:tcPr>
            <w:tcW w:w="9649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 xml:space="preserve">    </w:t>
            </w:r>
            <w:hyperlink w:anchor="i6d44722bfc2543dbbba9716d9e560c58_184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color w:val="0000FF"/>
                  <w:sz w:val="20"/>
                  <w:u w:val="single"/>
                </w:rPr>
                <w:t>Summary of Compensation</w:t>
              </w:r>
            </w:hyperlink>
          </w:p>
        </w:tc>
        <w:tc>
          <w:tcPr>
            <w:tcW w:w="55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6d44722bfc2543dbbba9716d9e560c58_184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20"/>
                  <w:u w:val="single"/>
                  <w:effect w:val="none"/>
                </w:rPr>
                <w:t>88</w:t>
              </w:r>
            </w:hyperlink>
          </w:p>
        </w:tc>
      </w:tr>
      <w:tr>
        <w:trPr/>
        <w:tc>
          <w:tcPr>
            <w:tcW w:w="9649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 xml:space="preserve">    </w:t>
            </w:r>
            <w:hyperlink w:anchor="i6d44722bfc2543dbbba9716d9e560c58_190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color w:val="0000FF"/>
                  <w:sz w:val="20"/>
                  <w:u w:val="single"/>
                </w:rPr>
                <w:t>Grants of Plan-Based Awards</w:t>
              </w:r>
            </w:hyperlink>
          </w:p>
        </w:tc>
        <w:tc>
          <w:tcPr>
            <w:tcW w:w="55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6d44722bfc2543dbbba9716d9e560c58_190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20"/>
                  <w:u w:val="single"/>
                  <w:effect w:val="none"/>
                </w:rPr>
                <w:t>91</w:t>
              </w:r>
            </w:hyperlink>
          </w:p>
        </w:tc>
      </w:tr>
      <w:tr>
        <w:trPr/>
        <w:tc>
          <w:tcPr>
            <w:tcW w:w="9649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 xml:space="preserve">    </w:t>
            </w:r>
            <w:hyperlink w:anchor="i6d44722bfc2543dbbba9716d9e560c58_193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color w:val="0000FF"/>
                  <w:sz w:val="20"/>
                  <w:u w:val="single"/>
                </w:rPr>
                <w:t>Compensation Arrangements</w:t>
              </w:r>
            </w:hyperlink>
          </w:p>
        </w:tc>
        <w:tc>
          <w:tcPr>
            <w:tcW w:w="55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6d44722bfc2543dbbba9716d9e560c58_193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20"/>
                  <w:u w:val="single"/>
                  <w:effect w:val="none"/>
                </w:rPr>
                <w:t>93</w:t>
              </w:r>
            </w:hyperlink>
          </w:p>
        </w:tc>
      </w:tr>
      <w:tr>
        <w:trPr/>
        <w:tc>
          <w:tcPr>
            <w:tcW w:w="9649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 xml:space="preserve">    </w:t>
            </w:r>
            <w:hyperlink w:anchor="i6d44722bfc2543dbbba9716d9e560c58_196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color w:val="0000FF"/>
                  <w:sz w:val="20"/>
                  <w:u w:val="single"/>
                </w:rPr>
                <w:t>Outstanding Equity Awards at Fiscal Year-End</w:t>
              </w:r>
            </w:hyperlink>
          </w:p>
        </w:tc>
        <w:tc>
          <w:tcPr>
            <w:tcW w:w="55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6d44722bfc2543dbbba9716d9e560c58_196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20"/>
                  <w:u w:val="single"/>
                  <w:effect w:val="none"/>
                </w:rPr>
                <w:t>94</w:t>
              </w:r>
            </w:hyperlink>
          </w:p>
        </w:tc>
      </w:tr>
      <w:tr>
        <w:trPr/>
        <w:tc>
          <w:tcPr>
            <w:tcW w:w="9649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 xml:space="preserve">    </w:t>
            </w:r>
            <w:hyperlink w:anchor="i6d44722bfc2543dbbba9716d9e560c58_199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color w:val="0000FF"/>
                  <w:sz w:val="20"/>
                  <w:u w:val="single"/>
                </w:rPr>
                <w:t>Option Exercises and Stock Vested</w:t>
              </w:r>
            </w:hyperlink>
          </w:p>
        </w:tc>
        <w:tc>
          <w:tcPr>
            <w:tcW w:w="55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6d44722bfc2543dbbba9716d9e560c58_199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20"/>
                  <w:u w:val="single"/>
                  <w:effect w:val="none"/>
                </w:rPr>
                <w:t>97</w:t>
              </w:r>
            </w:hyperlink>
          </w:p>
        </w:tc>
      </w:tr>
      <w:tr>
        <w:trPr/>
        <w:tc>
          <w:tcPr>
            <w:tcW w:w="9649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 xml:space="preserve">    </w:t>
            </w:r>
            <w:hyperlink w:anchor="i6d44722bfc2543dbbba9716d9e560c58_202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color w:val="0000FF"/>
                  <w:sz w:val="20"/>
                  <w:u w:val="single"/>
                </w:rPr>
                <w:t>Potential Payments Upon Termination or Change in Control</w:t>
              </w:r>
            </w:hyperlink>
          </w:p>
        </w:tc>
        <w:tc>
          <w:tcPr>
            <w:tcW w:w="55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6d44722bfc2543dbbba9716d9e560c58_202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20"/>
                  <w:u w:val="single"/>
                  <w:effect w:val="none"/>
                </w:rPr>
                <w:t>97</w:t>
              </w:r>
            </w:hyperlink>
          </w:p>
        </w:tc>
      </w:tr>
      <w:tr>
        <w:trPr/>
        <w:tc>
          <w:tcPr>
            <w:tcW w:w="9649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 xml:space="preserve">    </w:t>
            </w:r>
            <w:hyperlink w:anchor="i6d44722bfc2543dbbba9716d9e560c58_205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color w:val="0000FF"/>
                  <w:sz w:val="20"/>
                  <w:u w:val="single"/>
                </w:rPr>
                <w:t>CEO Pay Ratio</w:t>
              </w:r>
            </w:hyperlink>
          </w:p>
        </w:tc>
        <w:tc>
          <w:tcPr>
            <w:tcW w:w="55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6d44722bfc2543dbbba9716d9e560c58_205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20"/>
                  <w:u w:val="single"/>
                  <w:effect w:val="none"/>
                </w:rPr>
                <w:t>102</w:t>
              </w:r>
            </w:hyperlink>
          </w:p>
        </w:tc>
      </w:tr>
      <w:tr>
        <w:trPr/>
        <w:tc>
          <w:tcPr>
            <w:tcW w:w="9649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 xml:space="preserve">    </w:t>
            </w:r>
            <w:hyperlink w:anchor="i6d44722bfc2543dbbba9716d9e560c58_208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color w:val="0000FF"/>
                  <w:sz w:val="20"/>
                  <w:u w:val="single"/>
                </w:rPr>
                <w:t>Pay Versus Performance</w:t>
              </w:r>
            </w:hyperlink>
          </w:p>
        </w:tc>
        <w:tc>
          <w:tcPr>
            <w:tcW w:w="55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6d44722bfc2543dbbba9716d9e560c58_208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20"/>
                  <w:u w:val="single"/>
                  <w:effect w:val="none"/>
                </w:rPr>
                <w:t>103</w:t>
              </w:r>
            </w:hyperlink>
          </w:p>
        </w:tc>
      </w:tr>
      <w:tr>
        <w:trPr/>
        <w:tc>
          <w:tcPr>
            <w:tcW w:w="9649" w:type="dxa"/>
            <w:tcBorders>
              <w:bottom w:val="single" w:sz="4" w:space="0" w:color="B2B2B2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6d44722bfc2543dbbba9716d9e560c58_211">
              <w:r>
                <w:rPr>
                  <w:rStyle w:val="InternetLink"/>
                  <w:rFonts w:ascii="sans-serif" w:hAnsi="sans-serif"/>
                  <w:b/>
                  <w:i w:val="false"/>
                  <w:caps w:val="false"/>
                  <w:smallCaps w:val="false"/>
                  <w:color w:val="0000FF"/>
                  <w:sz w:val="20"/>
                  <w:u w:val="single"/>
                </w:rPr>
                <w:t>Compensation Committee Interlocks and Insider Participation</w:t>
              </w:r>
            </w:hyperlink>
          </w:p>
        </w:tc>
        <w:tc>
          <w:tcPr>
            <w:tcW w:w="556" w:type="dxa"/>
            <w:tcBorders>
              <w:bottom w:val="single" w:sz="4" w:space="0" w:color="B2B2B2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6d44722bfc2543dbbba9716d9e560c58_211">
              <w:r>
                <w:rPr>
                  <w:rStyle w:val="InternetLink"/>
                  <w:rFonts w:ascii="sans-serif" w:hAnsi="sans-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20"/>
                  <w:u w:val="single"/>
                  <w:effect w:val="none"/>
                </w:rPr>
                <w:t>107</w:t>
              </w:r>
            </w:hyperlink>
          </w:p>
        </w:tc>
      </w:tr>
      <w:tr>
        <w:trPr/>
        <w:tc>
          <w:tcPr>
            <w:tcW w:w="9649" w:type="dxa"/>
            <w:tcBorders>
              <w:top w:val="single" w:sz="4" w:space="0" w:color="B2B2B2"/>
              <w:bottom w:val="single" w:sz="4" w:space="0" w:color="B2B2B2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6d44722bfc2543dbbba9716d9e560c58_214">
              <w:r>
                <w:rPr>
                  <w:rStyle w:val="InternetLink"/>
                  <w:rFonts w:ascii="sans-serif" w:hAnsi="sans-serif"/>
                  <w:b/>
                  <w:i w:val="false"/>
                  <w:caps w:val="false"/>
                  <w:smallCaps w:val="false"/>
                  <w:color w:val="0000FF"/>
                  <w:sz w:val="20"/>
                  <w:u w:val="single"/>
                </w:rPr>
                <w:t>Certain Relationships and Related Party Transactions</w:t>
              </w:r>
            </w:hyperlink>
          </w:p>
        </w:tc>
        <w:tc>
          <w:tcPr>
            <w:tcW w:w="556" w:type="dxa"/>
            <w:tcBorders>
              <w:top w:val="single" w:sz="4" w:space="0" w:color="B2B2B2"/>
              <w:bottom w:val="single" w:sz="4" w:space="0" w:color="B2B2B2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6d44722bfc2543dbbba9716d9e560c58_214">
              <w:r>
                <w:rPr>
                  <w:rStyle w:val="InternetLink"/>
                  <w:rFonts w:ascii="sans-serif" w:hAnsi="sans-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20"/>
                  <w:u w:val="single"/>
                  <w:effect w:val="none"/>
                </w:rPr>
                <w:t>107</w:t>
              </w:r>
            </w:hyperlink>
          </w:p>
        </w:tc>
      </w:tr>
      <w:tr>
        <w:trPr/>
        <w:tc>
          <w:tcPr>
            <w:tcW w:w="9649" w:type="dxa"/>
            <w:tcBorders>
              <w:top w:val="single" w:sz="4" w:space="0" w:color="B2B2B2"/>
              <w:bottom w:val="single" w:sz="4" w:space="0" w:color="B2B2B2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6d44722bfc2543dbbba9716d9e560c58_217">
              <w:r>
                <w:rPr>
                  <w:rStyle w:val="InternetLink"/>
                  <w:rFonts w:ascii="sans-serif" w:hAnsi="sans-serif"/>
                  <w:b/>
                  <w:i w:val="false"/>
                  <w:caps w:val="false"/>
                  <w:smallCaps w:val="false"/>
                  <w:color w:val="0000FF"/>
                  <w:sz w:val="20"/>
                  <w:u w:val="single"/>
                </w:rPr>
                <w:t>Householding of Proxy Materials</w:t>
              </w:r>
            </w:hyperlink>
          </w:p>
        </w:tc>
        <w:tc>
          <w:tcPr>
            <w:tcW w:w="556" w:type="dxa"/>
            <w:tcBorders>
              <w:top w:val="single" w:sz="4" w:space="0" w:color="B2B2B2"/>
              <w:bottom w:val="single" w:sz="4" w:space="0" w:color="B2B2B2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6d44722bfc2543dbbba9716d9e560c58_217">
              <w:r>
                <w:rPr>
                  <w:rStyle w:val="InternetLink"/>
                  <w:rFonts w:ascii="sans-serif" w:hAnsi="sans-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20"/>
                  <w:u w:val="single"/>
                  <w:effect w:val="none"/>
                </w:rPr>
                <w:t>107</w:t>
              </w:r>
            </w:hyperlink>
          </w:p>
        </w:tc>
      </w:tr>
      <w:tr>
        <w:trPr/>
        <w:tc>
          <w:tcPr>
            <w:tcW w:w="9649" w:type="dxa"/>
            <w:tcBorders>
              <w:top w:val="single" w:sz="4" w:space="0" w:color="B2B2B2"/>
              <w:bottom w:val="single" w:sz="4" w:space="0" w:color="B2B2B2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6d44722bfc2543dbbba9716d9e560c58_220">
              <w:r>
                <w:rPr>
                  <w:rStyle w:val="InternetLink"/>
                  <w:rFonts w:ascii="sans-serif" w:hAnsi="sans-serif"/>
                  <w:b/>
                  <w:i w:val="false"/>
                  <w:caps w:val="false"/>
                  <w:smallCaps w:val="false"/>
                  <w:color w:val="0000FF"/>
                  <w:sz w:val="20"/>
                  <w:u w:val="single"/>
                </w:rPr>
                <w:t>Annual Report on Form 10-K</w:t>
              </w:r>
            </w:hyperlink>
          </w:p>
        </w:tc>
        <w:tc>
          <w:tcPr>
            <w:tcW w:w="556" w:type="dxa"/>
            <w:tcBorders>
              <w:top w:val="single" w:sz="4" w:space="0" w:color="B2B2B2"/>
              <w:bottom w:val="single" w:sz="4" w:space="0" w:color="B2B2B2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6d44722bfc2543dbbba9716d9e560c58_220">
              <w:r>
                <w:rPr>
                  <w:rStyle w:val="InternetLink"/>
                  <w:rFonts w:ascii="sans-serif" w:hAnsi="sans-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20"/>
                  <w:u w:val="single"/>
                  <w:effect w:val="none"/>
                </w:rPr>
                <w:t>108</w:t>
              </w:r>
            </w:hyperlink>
          </w:p>
        </w:tc>
      </w:tr>
      <w:tr>
        <w:trPr/>
        <w:tc>
          <w:tcPr>
            <w:tcW w:w="9649" w:type="dxa"/>
            <w:tcBorders>
              <w:top w:val="single" w:sz="4" w:space="0" w:color="B2B2B2"/>
              <w:bottom w:val="single" w:sz="4" w:space="0" w:color="B2B2B2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6d44722bfc2543dbbba9716d9e560c58_223">
              <w:r>
                <w:rPr>
                  <w:rStyle w:val="InternetLink"/>
                  <w:rFonts w:ascii="sans-serif" w:hAnsi="sans-serif"/>
                  <w:b/>
                  <w:i w:val="false"/>
                  <w:caps w:val="false"/>
                  <w:smallCaps w:val="false"/>
                  <w:color w:val="0000FF"/>
                  <w:sz w:val="20"/>
                  <w:u w:val="single"/>
                </w:rPr>
                <w:t>Other Matters</w:t>
              </w:r>
            </w:hyperlink>
          </w:p>
        </w:tc>
        <w:tc>
          <w:tcPr>
            <w:tcW w:w="556" w:type="dxa"/>
            <w:tcBorders>
              <w:top w:val="single" w:sz="4" w:space="0" w:color="B2B2B2"/>
              <w:bottom w:val="single" w:sz="4" w:space="0" w:color="B2B2B2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6d44722bfc2543dbbba9716d9e560c58_223">
              <w:r>
                <w:rPr>
                  <w:rStyle w:val="InternetLink"/>
                  <w:rFonts w:ascii="sans-serif" w:hAnsi="sans-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20"/>
                  <w:u w:val="single"/>
                  <w:effect w:val="none"/>
                </w:rPr>
                <w:t>108</w:t>
              </w:r>
            </w:hyperlink>
          </w:p>
        </w:tc>
      </w:tr>
    </w:tbl>
    <w:tbl>
      <w:tblPr>
        <w:tblW w:w="244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176"/>
        <w:gridCol w:w="271"/>
      </w:tblGrid>
      <w:tr>
        <w:trPr/>
        <w:tc>
          <w:tcPr>
            <w:tcW w:w="21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7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40404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404040"/>
                <w:sz w:val="18"/>
                <w:u w:val="none"/>
                <w:effect w:val="none"/>
              </w:rPr>
              <w:t>2026 Proxy Statement</w:t>
            </w:r>
          </w:p>
        </w:tc>
        <w:tc>
          <w:tcPr>
            <w:tcW w:w="27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  <w:t>1</w:t>
            </w:r>
          </w:p>
        </w:tc>
      </w:tr>
    </w:tbl>
    <w:tbl>
      <w:tblPr>
        <w:tblW w:w="564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696"/>
        <w:gridCol w:w="3946"/>
      </w:tblGrid>
      <w:tr>
        <w:trPr/>
        <w:tc>
          <w:tcPr>
            <w:tcW w:w="16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9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6d44722bfc2543dbbba9716d9e560c58_16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color w:val="0000FF"/>
                  <w:sz w:val="18"/>
                  <w:u w:val="single"/>
                </w:rPr>
                <w:t>Table of Contents</w:t>
              </w:r>
            </w:hyperlink>
          </w:p>
        </w:tc>
        <w:tc>
          <w:tcPr>
            <w:tcW w:w="394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Proxy Statement 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C4C02"/>
                <w:sz w:val="18"/>
                <w:u w:val="none"/>
                <w:effect w:val="none"/>
              </w:rPr>
              <w:t>|</w:t>
            </w: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 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Questions and Answers</w:t>
            </w:r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36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F47521"/>
          <w:sz w:val="36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F47521"/>
          <w:sz w:val="36"/>
          <w:u w:val="none"/>
          <w:effect w:val="none"/>
        </w:rPr>
        <w:t xml:space="preserve">QUESTIONS AND ANSWERS ABOUT THESE PROXY MATERIALS </w:t>
      </w:r>
    </w:p>
    <w:p>
      <w:pPr>
        <w:pStyle w:val="TextBody"/>
        <w:bidi w:val="0"/>
        <w:spacing w:lineRule="atLeast" w:line="36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F47521"/>
          <w:sz w:val="36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F47521"/>
          <w:sz w:val="36"/>
          <w:u w:val="none"/>
          <w:effect w:val="none"/>
        </w:rPr>
        <w:t>AND VOTING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</w:pPr>
      <w:r>
        <w:rPr>
          <w:rFonts w:ascii="sans-serif" w:hAnsi="sans-serif"/>
          <w:b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  <w:t xml:space="preserve">Why am I receiving these materials?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We have made these materials available to you on the Internet or, upon your request, have delivered printed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versions of these materials to you by mail because the Board of Directors (the Board), of Exelixis, Inc. (sometimes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referred to as “we,” “us,” the “company” or “Exelixis”) is soliciting your proxy to vote at the 2026</w:t>
      </w:r>
      <w:r>
        <w:rPr>
          <w:caps w:val="false"/>
          <w:smallCaps w:val="false"/>
          <w:strike w:val="false"/>
          <w:dstrike w:val="false"/>
          <w:color w:val="3F3F3F"/>
          <w:sz w:val="24"/>
          <w:u w:val="none"/>
          <w:effect w:val="none"/>
        </w:rPr>
        <w:t xml:space="preserve">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Annual Meeting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of Stockholders (Annual Meeting), including at any adjournments or postponements of the meeting. The Annual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Meeting will be held virtually, on Tuesday, May 26, 2026, at 9:00 a.m., Pacific Time, via live webcast at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  <w:t>www.virtualshareholdermeeting.com/EXEL2026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. We invite you to attend the Annual Meeting to vote your shares on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the proposals described in this Proxy Statement, which will require your 16-digit control number provided on your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Notice of Internet Availability of Proxy Materials (described below), your proxy card or your voting instruction form.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Therefore, it is important to retain your Notice of Internet Availability of Proxy Materials or a copy of your proxy card or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voting instruction form. Alternatively, you may simply complete, sign and return a proxy card, or follow the instructions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below to vote your shares over the telephone or on the Internet.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We intend to send or make available these materials to stockholders on or about April 15, 2026.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</w:pPr>
      <w:r>
        <w:rPr>
          <w:rFonts w:ascii="sans-serif" w:hAnsi="sans-serif"/>
          <w:b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  <w:t xml:space="preserve">Why is the Annual Meeting being held as a virtual Annual Meeting?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Our virtual Annual Meeting is designed to ensure that our stockholders who attend virtually will be afforded the same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rights and opportunities to participate as they would at an in-person meeting. Accordingly, as a stockholder, you will be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able to listen, submit questions and vote your shares online from any location in the world and at no cost, at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w</w:t>
      </w:r>
      <w:r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  <w:t>ww.virtualshareholdermeeting.com/EXEL2026</w:t>
      </w:r>
      <w:r>
        <w:rPr>
          <w:caps w:val="false"/>
          <w:smallCaps w:val="false"/>
          <w:strike w:val="false"/>
          <w:dstrike w:val="false"/>
          <w:color w:val="3F3F3F"/>
          <w:u w:val="none"/>
          <w:effect w:val="none"/>
        </w:rPr>
        <w:t xml:space="preserve">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by using your 16-digit control number provided on your Notice of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Internet Availability of Proxy Materials, proxy card or voting instruction form that accompanied your proxy materials.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Alternatively, you may submit your questions and vote your shares online in advance of the meeting by visiting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www.proxyvote.com and using your 16-digit control number.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The live webcast will begin promptly on Tuesday, May 26, 2026, at 9:00 a.m., Pacific Time. We encourage you to access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the meeting prior to the start time to allow ample time for the check-in procedures.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</w:pPr>
      <w:r>
        <w:rPr>
          <w:rFonts w:ascii="sans-serif" w:hAnsi="sans-serif"/>
          <w:b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  <w:t xml:space="preserve">What is included in these proxy materials?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These proxy materials include: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3F3F3F"/>
          <w:u w:val="none"/>
          <w:effect w:val="none"/>
        </w:rPr>
        <w:t>›</w:t>
      </w:r>
      <w:r>
        <w:rPr>
          <w:caps w:val="false"/>
          <w:smallCaps w:val="false"/>
          <w:strike w:val="false"/>
          <w:dstrike w:val="false"/>
          <w:color w:val="FC7841"/>
          <w:u w:val="none"/>
          <w:effect w:val="none"/>
        </w:rPr>
        <w:t>›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The Notice of Annual Meeting;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3F3F3F"/>
          <w:u w:val="none"/>
          <w:effect w:val="none"/>
        </w:rPr>
        <w:t>›</w:t>
      </w:r>
      <w:r>
        <w:rPr>
          <w:caps w:val="false"/>
          <w:smallCaps w:val="false"/>
          <w:strike w:val="false"/>
          <w:dstrike w:val="false"/>
          <w:color w:val="FC7841"/>
          <w:u w:val="none"/>
          <w:effect w:val="none"/>
        </w:rPr>
        <w:t>›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The Proxy Statement for the Annual Meeting; and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3F3F3F"/>
          <w:u w:val="none"/>
          <w:effect w:val="none"/>
        </w:rPr>
        <w:t>›</w:t>
      </w:r>
      <w:r>
        <w:rPr>
          <w:caps w:val="false"/>
          <w:smallCaps w:val="false"/>
          <w:strike w:val="false"/>
          <w:dstrike w:val="false"/>
          <w:color w:val="FC7841"/>
          <w:u w:val="none"/>
          <w:effect w:val="none"/>
        </w:rPr>
        <w:t>›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Our Annual Report on Form 10-K for the fiscal year ended January 2, 2026, as filed with the Securities and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Exchange Commission (SEC) on February 10, 2026</w:t>
      </w:r>
      <w:r>
        <w:rPr>
          <w:caps w:val="false"/>
          <w:smallCaps w:val="false"/>
          <w:strike w:val="false"/>
          <w:dstrike w:val="false"/>
          <w:color w:val="3F3F3F"/>
          <w:sz w:val="24"/>
          <w:u w:val="none"/>
          <w:effect w:val="none"/>
        </w:rPr>
        <w:t xml:space="preserve">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(Annual Report).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If you requested printed versions by mail, these proxy materials also include the proxy card or voting instruction form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for the Annual Meeting.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</w:pPr>
      <w:r>
        <w:rPr>
          <w:rFonts w:ascii="sans-serif" w:hAnsi="sans-serif"/>
          <w:b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  <w:t xml:space="preserve">Why did I receive a notice in the mail regarding Internet availability of proxy materials instead of a full set of printed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</w:pPr>
      <w:r>
        <w:rPr>
          <w:rFonts w:ascii="sans-serif" w:hAnsi="sans-serif"/>
          <w:b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  <w:t xml:space="preserve">proxy materials?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Pursuant to rules adopted by the SEC, we have elected to use the Internet as the primary means of furnishing proxy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materials to our stockholders this year. Accordingly, we are sending a Notice of Internet Availability of Proxy Materials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(Notice of Availability) to our stockholders who have not asked us to provide proxy materials in printed form. This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method allows us to deliver the proxy materials to you more quickly, while lowering costs and conserving natural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resources. All stockholders receiving a Notice of Availability can request a printed set of proxy materials. Moreover, all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stockholders can access the proxy materials at </w:t>
      </w:r>
      <w:r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  <w:t>www.exel-annualstockholdermeeting.com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, irrespective of whether they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receive a Notice of Availability or a printed copy of the proxy materials. Instructions on how to access the proxy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materials on the Internet or how to request a printed copy may be found in the Notice of Availability and in this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Proxy Statement. </w:t>
      </w:r>
    </w:p>
    <w:tbl>
      <w:tblPr>
        <w:tblW w:w="162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41"/>
        <w:gridCol w:w="1381"/>
      </w:tblGrid>
      <w:tr>
        <w:trPr/>
        <w:tc>
          <w:tcPr>
            <w:tcW w:w="2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  <w:t>2</w:t>
            </w:r>
          </w:p>
        </w:tc>
        <w:tc>
          <w:tcPr>
            <w:tcW w:w="138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Exelixis, Inc.</w:t>
            </w:r>
          </w:p>
        </w:tc>
      </w:tr>
    </w:tbl>
    <w:tbl>
      <w:tblPr>
        <w:tblW w:w="1850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696"/>
        <w:gridCol w:w="154"/>
      </w:tblGrid>
      <w:tr>
        <w:trPr/>
        <w:tc>
          <w:tcPr>
            <w:tcW w:w="16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9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6d44722bfc2543dbbba9716d9e560c58_16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color w:val="0000FF"/>
                  <w:sz w:val="18"/>
                  <w:u w:val="single"/>
                </w:rPr>
                <w:t>Table of Contents</w:t>
              </w:r>
            </w:hyperlink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In addition, a stockholder may ask to receive proxy materials in printed form by mail or electronically by email on an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ongoing basis. We encourage stockholders to take advantage of the option to receive proxy materials electronically by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email to help reduce the environmental impact of our annual meeting and to reduce costs associated with the physical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printing and mailing of materials. If you choose to receive future proxy materials by email, you will receive an email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message next year with instructions containing a link to those materials and a link to the proxy voting website. Your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election to receive proxy materials by email will remain in effect until you terminate it.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</w:pPr>
      <w:r>
        <w:rPr>
          <w:rFonts w:ascii="sans-serif" w:hAnsi="sans-serif"/>
          <w:b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  <w:t xml:space="preserve">How can I access the list of stockholders of record?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The list of stockholders of record entitled to vote at the Annual Meeting will be available for 10 days prior to the Annual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Meeting for any purpose germane to the Annual Meeting, between the hours of 9:00 a.m. and 5:00 p.m., Pacific Time,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at our principal executive offices located at 1851 Harbor Bay Parkway, Alameda, California 94502 by contacting our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Corporate Secretary.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The list of stockholders of record will also be available via the virtual meeting website at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  <w:t xml:space="preserve">www.virtualshareholdermeeting.com/EXEL2026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prior to the Annual Meeting.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</w:pPr>
      <w:r>
        <w:rPr>
          <w:rFonts w:ascii="sans-serif" w:hAnsi="sans-serif"/>
          <w:b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  <w:t xml:space="preserve">Who may vote at the Annual Meeting?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Only stockholders of record at the close of business on March 31, 2026</w:t>
      </w:r>
      <w:r>
        <w:rPr>
          <w:caps w:val="false"/>
          <w:smallCaps w:val="false"/>
          <w:strike w:val="false"/>
          <w:dstrike w:val="false"/>
          <w:color w:val="3F3F3F"/>
          <w:sz w:val="24"/>
          <w:u w:val="none"/>
          <w:effect w:val="none"/>
        </w:rPr>
        <w:t xml:space="preserve">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(the Record Date) will be entitled to vote at the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Annual Meeting. On the Record Date, there were 254,008,174</w:t>
      </w:r>
      <w:r>
        <w:rPr>
          <w:caps w:val="false"/>
          <w:smallCaps w:val="false"/>
          <w:strike w:val="false"/>
          <w:dstrike w:val="false"/>
          <w:color w:val="3F3F3F"/>
          <w:sz w:val="24"/>
          <w:u w:val="none"/>
          <w:effect w:val="none"/>
        </w:rPr>
        <w:t xml:space="preserve">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shares of common stock outstanding and entitled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to vote.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4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F47521"/>
          <w:sz w:val="24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F47521"/>
          <w:sz w:val="24"/>
          <w:u w:val="none"/>
          <w:effect w:val="none"/>
        </w:rPr>
        <w:t>Stockholder of Record: Shares Registered in Your Name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If on the Record Date, your shares were registered directly in your name with our transfer agent, Computershare Trust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Company, N.A., then you are a stockholder of record. As a stockholder of record, you may vote at the Annual Meeting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or vote by proxy. Whether or not you plan to attend the Annual Meeting, we urge you to vote by proxy over the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telephone or on the Internet as instructed below, or complete and mail the proxy card if you received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printed materials.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4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F47521"/>
          <w:sz w:val="24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F47521"/>
          <w:sz w:val="24"/>
          <w:u w:val="none"/>
          <w:effect w:val="none"/>
        </w:rPr>
        <w:t xml:space="preserve">Beneficial Owner: Shares Registered in the Name of a Broker, Bank or Other Stockholder of Record </w:t>
      </w:r>
    </w:p>
    <w:p>
      <w:pPr>
        <w:pStyle w:val="TextBody"/>
        <w:bidi w:val="0"/>
        <w:spacing w:lineRule="atLeast" w:line="24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F47521"/>
          <w:sz w:val="24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F47521"/>
          <w:sz w:val="24"/>
          <w:u w:val="none"/>
          <w:effect w:val="none"/>
        </w:rPr>
        <w:t>(i.e., “Street Name”)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If on the Record Date, your shares were held in an account at a brokerage firm, bank, dealer, or other similar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organization, then you are the beneficial owner of shares held in “street name,” and these proxy materials are being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forwarded to you by that organization. The organization holding your shares is considered to be the stockholder of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record for purposes of voting at the Annual Meeting. As a beneficial owner, you have the right to direct your broker,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bank or other stockholder of record regarding how to vote the shares in your account, and we invite you to attend the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Annual Meeting. Many brokers, banks or stockholders of record will provide you with a 16-digit control number via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email or in your Notice of Availability or voting instruction form in order to attend and vote your shares at the Annual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Meeting. If you did not receive a 16-digit control number via email or on your Notice of Availability or voting instruction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form, you will be provided with other instructions from your broker, bank or other stockholder of record that must be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followed, including any requirement to obtain a valid legal proxy, in order for your broker, bank or other stockholder of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record to vote your shares per your instructions or to attend and vote your shares at the Annual Meeting. Many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brokers, banks or other stockholders of record allow a stockholder to obtain a valid legal proxy either online or by mail,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and we recommend that you contact your broker, bank or other stockholder of record to do so.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</w:pPr>
      <w:r>
        <w:rPr>
          <w:rFonts w:ascii="sans-serif" w:hAnsi="sans-serif"/>
          <w:b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  <w:t xml:space="preserve">What am I voting on?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The following four matters are scheduled for a vote at the Annual Meeting: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3F3F3F"/>
          <w:u w:val="none"/>
          <w:effect w:val="none"/>
        </w:rPr>
        <w:t>›</w:t>
      </w:r>
      <w:r>
        <w:rPr>
          <w:caps w:val="false"/>
          <w:smallCaps w:val="false"/>
          <w:strike w:val="false"/>
          <w:dstrike w:val="false"/>
          <w:color w:val="FC7841"/>
          <w:u w:val="none"/>
          <w:effect w:val="none"/>
        </w:rPr>
        <w:t>›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Election of the eleven nominees for director named herein to hold office until the next annual meeting of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stockholders and until his or her successor is duly elected and qualified or until his or her earlier death,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resignation or removal;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3F3F3F"/>
          <w:u w:val="none"/>
          <w:effect w:val="none"/>
        </w:rPr>
        <w:t>›</w:t>
      </w:r>
      <w:r>
        <w:rPr>
          <w:caps w:val="false"/>
          <w:smallCaps w:val="false"/>
          <w:strike w:val="false"/>
          <w:dstrike w:val="false"/>
          <w:color w:val="FC7841"/>
          <w:u w:val="none"/>
          <w:effect w:val="none"/>
        </w:rPr>
        <w:t>›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Ratification of Ernst &amp; Young LLP as our independent registered public accounting firm for the fiscal year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ending January 1, 2027;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3F3F3F"/>
          <w:u w:val="none"/>
          <w:effect w:val="none"/>
        </w:rPr>
        <w:t>›</w:t>
      </w:r>
      <w:r>
        <w:rPr>
          <w:caps w:val="false"/>
          <w:smallCaps w:val="false"/>
          <w:strike w:val="false"/>
          <w:dstrike w:val="false"/>
          <w:color w:val="FC7841"/>
          <w:u w:val="none"/>
          <w:effect w:val="none"/>
        </w:rPr>
        <w:t>›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Approval of the amendment and restatement of the Exelixis, Inc. 2017 Equity Incentive Plan (2017 Plan)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to, among other things, increase the number of shares authorized for issuance by 2,000,000 shares; and</w:t>
      </w:r>
    </w:p>
    <w:tbl>
      <w:tblPr>
        <w:tblW w:w="244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176"/>
        <w:gridCol w:w="271"/>
      </w:tblGrid>
      <w:tr>
        <w:trPr/>
        <w:tc>
          <w:tcPr>
            <w:tcW w:w="21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7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40404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404040"/>
                <w:sz w:val="18"/>
                <w:u w:val="none"/>
                <w:effect w:val="none"/>
              </w:rPr>
              <w:t>2026 Proxy Statement</w:t>
            </w:r>
          </w:p>
        </w:tc>
        <w:tc>
          <w:tcPr>
            <w:tcW w:w="27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  <w:t>3</w:t>
            </w:r>
          </w:p>
        </w:tc>
      </w:tr>
    </w:tbl>
    <w:tbl>
      <w:tblPr>
        <w:tblW w:w="564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696"/>
        <w:gridCol w:w="3946"/>
      </w:tblGrid>
      <w:tr>
        <w:trPr/>
        <w:tc>
          <w:tcPr>
            <w:tcW w:w="16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9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6d44722bfc2543dbbba9716d9e560c58_16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color w:val="0000FF"/>
                  <w:sz w:val="18"/>
                  <w:u w:val="single"/>
                </w:rPr>
                <w:t>Table of Contents</w:t>
              </w:r>
            </w:hyperlink>
          </w:p>
        </w:tc>
        <w:tc>
          <w:tcPr>
            <w:tcW w:w="394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Proxy Statement 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C4C02"/>
                <w:sz w:val="18"/>
                <w:u w:val="none"/>
                <w:effect w:val="none"/>
              </w:rPr>
              <w:t>|</w:t>
            </w: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 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Questions and Answers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3F3F3F"/>
          <w:u w:val="none"/>
          <w:effect w:val="none"/>
        </w:rPr>
        <w:t>›</w:t>
      </w:r>
      <w:r>
        <w:rPr>
          <w:caps w:val="false"/>
          <w:smallCaps w:val="false"/>
          <w:strike w:val="false"/>
          <w:dstrike w:val="false"/>
          <w:color w:val="FC7841"/>
          <w:u w:val="none"/>
          <w:effect w:val="none"/>
        </w:rPr>
        <w:t>›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Advisory approval of the compensation of our Named Executive Officers, as disclosed in this Proxy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Statement (Say on Pay).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</w:pPr>
      <w:r>
        <w:rPr>
          <w:rFonts w:ascii="sans-serif" w:hAnsi="sans-serif"/>
          <w:b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  <w:t xml:space="preserve">How do I vote?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Whether or not you plan to attend the Annual Meeting, we urge you to vote by proxy to ensure your vote is counted.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You may still attend the Annual Meeting and vote even if you have already voted by proxy.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4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F47521"/>
          <w:sz w:val="24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F47521"/>
          <w:sz w:val="24"/>
          <w:u w:val="none"/>
          <w:effect w:val="none"/>
        </w:rPr>
        <w:t xml:space="preserve">Stockholder of Record: Shares Registered in Your Name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As a stockholder of record, you have four ways to vote: </w:t>
      </w: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323"/>
        <w:gridCol w:w="8882"/>
      </w:tblGrid>
      <w:tr>
        <w:trPr/>
        <w:tc>
          <w:tcPr>
            <w:tcW w:w="13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8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323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356870" cy="308610"/>
                  <wp:effectExtent l="0" t="0" r="0" b="0"/>
                  <wp:docPr id="7" name="Image7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age7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6870" cy="3086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8" w:name="i-7"/>
            <w:bookmarkEnd w:id="8"/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At Virtual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Meeting</w:t>
            </w:r>
          </w:p>
        </w:tc>
        <w:tc>
          <w:tcPr>
            <w:tcW w:w="8882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›</w:t>
            </w:r>
            <w:r>
              <w:rPr>
                <w:caps w:val="false"/>
                <w:smallCaps w:val="false"/>
                <w:strike w:val="false"/>
                <w:dstrike w:val="false"/>
                <w:color w:val="FC4C02"/>
                <w:u w:val="none"/>
                <w:effect w:val="none"/>
              </w:rPr>
              <w:t>›</w:t>
            </w: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 xml:space="preserve">    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To vote at the Annual Meeting, follow the instructions at www.virtualshareholdermeeting.com/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EXEL2026. You will need your 16-digit control number provided on your Notice of Availability, your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proxy card or your voting instruction form to gain access to the Annual Meeting.</w:t>
            </w:r>
          </w:p>
        </w:tc>
      </w:tr>
      <w:tr>
        <w:trPr/>
        <w:tc>
          <w:tcPr>
            <w:tcW w:w="13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8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323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393065" cy="296545"/>
                  <wp:effectExtent l="0" t="0" r="0" b="0"/>
                  <wp:docPr id="8" name="Image8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8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3065" cy="2965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9" w:name="i-8"/>
            <w:bookmarkEnd w:id="9"/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Via Internet</w:t>
            </w:r>
          </w:p>
        </w:tc>
        <w:tc>
          <w:tcPr>
            <w:tcW w:w="8882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›</w:t>
            </w:r>
            <w:r>
              <w:rPr>
                <w:caps w:val="false"/>
                <w:smallCaps w:val="false"/>
                <w:strike w:val="false"/>
                <w:dstrike w:val="false"/>
                <w:color w:val="FC4C02"/>
                <w:u w:val="none"/>
                <w:effect w:val="none"/>
              </w:rPr>
              <w:t>›</w:t>
            </w: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 xml:space="preserve">    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To vote on the Internet, go to www.proxyvote.com and follow the instructions provided in the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Notice of Availability. You will need your 16-digit control number provided on your Notice of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Availability, your proxy card or your voting instruction form to vote your shares in advance of the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meeting. Your vote must be received by 11:59 p.m., Eastern Time, on May 25, 2026, to be counted.</w:t>
            </w:r>
          </w:p>
        </w:tc>
      </w:tr>
      <w:tr>
        <w:trPr/>
        <w:tc>
          <w:tcPr>
            <w:tcW w:w="13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8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323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276225" cy="304800"/>
                  <wp:effectExtent l="0" t="0" r="0" b="0"/>
                  <wp:docPr id="9" name="Image9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Image9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225" cy="304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0" w:name="i-9"/>
            <w:bookmarkEnd w:id="10"/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By Telephone</w:t>
            </w:r>
          </w:p>
        </w:tc>
        <w:tc>
          <w:tcPr>
            <w:tcW w:w="8882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›</w:t>
            </w:r>
            <w:r>
              <w:rPr>
                <w:caps w:val="false"/>
                <w:smallCaps w:val="false"/>
                <w:strike w:val="false"/>
                <w:dstrike w:val="false"/>
                <w:color w:val="FC4C02"/>
                <w:u w:val="none"/>
                <w:effect w:val="none"/>
              </w:rPr>
              <w:t>›</w:t>
            </w: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 xml:space="preserve">    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To vote by telephone, follow the instructions and call the number provided in the proxy materials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to transmit your voting instructions. Your vote must be received by 11:59 p.m. Eastern Time, on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May 25, 2026, to be counted.</w:t>
            </w:r>
          </w:p>
        </w:tc>
      </w:tr>
      <w:tr>
        <w:trPr/>
        <w:tc>
          <w:tcPr>
            <w:tcW w:w="13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8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323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530225" cy="243840"/>
                  <wp:effectExtent l="0" t="0" r="0" b="0"/>
                  <wp:docPr id="10" name="Image10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10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0225" cy="2438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1" w:name="i-10"/>
            <w:bookmarkEnd w:id="11"/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By Mail</w:t>
            </w:r>
          </w:p>
        </w:tc>
        <w:tc>
          <w:tcPr>
            <w:tcW w:w="8882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›</w:t>
            </w:r>
            <w:r>
              <w:rPr>
                <w:caps w:val="false"/>
                <w:smallCaps w:val="false"/>
                <w:strike w:val="false"/>
                <w:dstrike w:val="false"/>
                <w:color w:val="FC4C02"/>
                <w:u w:val="none"/>
                <w:effect w:val="none"/>
              </w:rPr>
              <w:t>›</w:t>
            </w: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 xml:space="preserve">    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To vote by mail, follow the instructions provided in the proxy materials, request a paper copy of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the proxy materials and then complete, sign and date the proxy card enclosed with the paper copy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of the proxy materials and return it promptly in the envelope that will be provided. If you return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your signed proxy card to us before the Annual Meeting, we will vote your shares as you direct.</w:t>
            </w:r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4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F47521"/>
          <w:sz w:val="24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F47521"/>
          <w:sz w:val="24"/>
          <w:u w:val="none"/>
          <w:effect w:val="none"/>
        </w:rPr>
        <w:t xml:space="preserve">Beneficial Owner: Shares Held in Street Name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If you are a beneficial owner of shares held in street name, you should have received the Notice of Availability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containing voting instructions from that organization rather than from us. You must follow these instructions for your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bank, broker or other stockholder of record to vote your shares per your instructions. Alternatively, many brokers and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banks provide the means to grant proxies or otherwise instruct them to vote your shares electronically, including by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providing you with a 16-digit control number via email or on your Notice of Availability or your voting instruction form.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If your shares are held in an account with a broker, bank or other stockholder of record providing such a service, you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may instruct them to vote your shares by telephone (by calling the number provided in the proxy materials) or over the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Internet as instructed by your broker, bank or other stockholder of record. If you did not receive a 16-digit control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number via email or on your Notice of Availability or voting instruction form, and you wish to vote prior to or at the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Annual Meeting, you must follow the instructions from your broker, bank or other stockholder of record, including any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requirement to obtain a valid legal proxy. Many brokers, banks and other stockholders of record allow a beneficial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owner to obtain a valid legal proxy either online or by mail, and we recommend that you contact your broker, bank or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other stockholder of record to do so. </w:t>
      </w: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205" w:type="dxa"/>
            <w:tcBorders>
              <w:top w:val="single" w:sz="8" w:space="0" w:color="F47521"/>
              <w:left w:val="single" w:sz="8" w:space="0" w:color="F47521"/>
              <w:right w:val="single" w:sz="8" w:space="0" w:color="F47521"/>
            </w:tcBorders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205" w:type="dxa"/>
            <w:tcBorders>
              <w:left w:val="single" w:sz="8" w:space="0" w:color="F47521"/>
              <w:right w:val="single" w:sz="8" w:space="0" w:color="F47521"/>
            </w:tcBorders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We provide Internet proxy voting to allow you to vote your shares online, with procedures designed to ensure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the authenticity and correctness of your proxy vote instructions. However, please be aware that you must bear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any costs associated with your Internet access, such as usage charges from Internet access providers and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telephone companies.</w:t>
            </w:r>
          </w:p>
        </w:tc>
      </w:tr>
      <w:tr>
        <w:trPr/>
        <w:tc>
          <w:tcPr>
            <w:tcW w:w="10205" w:type="dxa"/>
            <w:tcBorders>
              <w:left w:val="single" w:sz="8" w:space="0" w:color="F47521"/>
              <w:bottom w:val="single" w:sz="8" w:space="0" w:color="F47521"/>
              <w:right w:val="single" w:sz="8" w:space="0" w:color="F47521"/>
            </w:tcBorders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62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41"/>
        <w:gridCol w:w="1381"/>
      </w:tblGrid>
      <w:tr>
        <w:trPr/>
        <w:tc>
          <w:tcPr>
            <w:tcW w:w="2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  <w:t>4</w:t>
            </w:r>
          </w:p>
        </w:tc>
        <w:tc>
          <w:tcPr>
            <w:tcW w:w="138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Exelixis, Inc.</w:t>
            </w:r>
          </w:p>
        </w:tc>
      </w:tr>
    </w:tbl>
    <w:tbl>
      <w:tblPr>
        <w:tblW w:w="1850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696"/>
        <w:gridCol w:w="154"/>
      </w:tblGrid>
      <w:tr>
        <w:trPr/>
        <w:tc>
          <w:tcPr>
            <w:tcW w:w="16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9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6d44722bfc2543dbbba9716d9e560c58_16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color w:val="0000FF"/>
                  <w:sz w:val="18"/>
                  <w:u w:val="single"/>
                </w:rPr>
                <w:t>Table of Contents</w:t>
              </w:r>
            </w:hyperlink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</w:pPr>
      <w:r>
        <w:rPr>
          <w:rFonts w:ascii="sans-serif" w:hAnsi="sans-serif"/>
          <w:b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  <w:t xml:space="preserve">How many votes do I have?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On each matter to be voted upon, you have one vote for each share of common stock you own as of the March 31,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2026</w:t>
      </w:r>
      <w:r>
        <w:rPr>
          <w:caps w:val="false"/>
          <w:smallCaps w:val="false"/>
          <w:strike w:val="false"/>
          <w:dstrike w:val="false"/>
          <w:color w:val="3F3F3F"/>
          <w:sz w:val="24"/>
          <w:u w:val="none"/>
          <w:effect w:val="none"/>
        </w:rPr>
        <w:t xml:space="preserve">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Record Date.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</w:pPr>
      <w:r>
        <w:rPr>
          <w:rFonts w:ascii="sans-serif" w:hAnsi="sans-serif"/>
          <w:b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  <w:t xml:space="preserve">How are proxies voted?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All shares represented by valid proxies received prior to the taking of the vote at the Annual Meeting will be voted and,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where a stockholder specifies by means of a proxy a choice with respect to any matter to be acted upon, the shares will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be voted in accordance with the stockholder’s instructions.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</w:pPr>
      <w:r>
        <w:rPr>
          <w:rFonts w:ascii="sans-serif" w:hAnsi="sans-serif"/>
          <w:b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  <w:t xml:space="preserve">If I am a stockholder of record, what happens if I return a proxy card but do not make specific choices?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If you are a stockholder of record and you return a signed and dated proxy card without marking any voting selections,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your shares will be voted on the proposals as follows: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3F3F3F"/>
          <w:u w:val="none"/>
          <w:effect w:val="none"/>
        </w:rPr>
        <w:t>›</w:t>
      </w:r>
      <w:r>
        <w:rPr>
          <w:caps w:val="false"/>
          <w:smallCaps w:val="false"/>
          <w:strike w:val="false"/>
          <w:dstrike w:val="false"/>
          <w:color w:val="FC7841"/>
          <w:u w:val="none"/>
          <w:effect w:val="none"/>
        </w:rPr>
        <w:t>›</w:t>
      </w:r>
      <w:r>
        <w:rPr>
          <w:caps w:val="false"/>
          <w:smallCaps w:val="false"/>
          <w:strike w:val="false"/>
          <w:dstrike w:val="false"/>
          <w:color w:val="3F3F3F"/>
          <w:u w:val="none"/>
          <w:effect w:val="none"/>
        </w:rPr>
        <w:t>“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For” the election of the eleven nominees for director described in Proposal 1;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3F3F3F"/>
          <w:u w:val="none"/>
          <w:effect w:val="none"/>
        </w:rPr>
        <w:t>›</w:t>
      </w:r>
      <w:r>
        <w:rPr>
          <w:caps w:val="false"/>
          <w:smallCaps w:val="false"/>
          <w:strike w:val="false"/>
          <w:dstrike w:val="false"/>
          <w:color w:val="FC7841"/>
          <w:u w:val="none"/>
          <w:effect w:val="none"/>
        </w:rPr>
        <w:t>›</w:t>
      </w:r>
      <w:r>
        <w:rPr>
          <w:caps w:val="false"/>
          <w:smallCaps w:val="false"/>
          <w:strike w:val="false"/>
          <w:dstrike w:val="false"/>
          <w:color w:val="3F3F3F"/>
          <w:u w:val="none"/>
          <w:effect w:val="none"/>
        </w:rPr>
        <w:t>“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For” the ratification of our selection of Ernst &amp; Young LLP as our independent registered public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accounting firm for the fiscal year ending January 1, 2027, as described in Proposal 2;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3F3F3F"/>
          <w:u w:val="none"/>
          <w:effect w:val="none"/>
        </w:rPr>
        <w:t>›</w:t>
      </w:r>
      <w:r>
        <w:rPr>
          <w:caps w:val="false"/>
          <w:smallCaps w:val="false"/>
          <w:strike w:val="false"/>
          <w:dstrike w:val="false"/>
          <w:color w:val="FC7841"/>
          <w:u w:val="none"/>
          <w:effect w:val="none"/>
        </w:rPr>
        <w:t>›</w:t>
      </w:r>
      <w:r>
        <w:rPr>
          <w:caps w:val="false"/>
          <w:smallCaps w:val="false"/>
          <w:strike w:val="false"/>
          <w:dstrike w:val="false"/>
          <w:color w:val="3F3F3F"/>
          <w:u w:val="none"/>
          <w:effect w:val="none"/>
        </w:rPr>
        <w:t>“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For” the approval of the amendment and restatement of the 2017 Plan to, among other things, increase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the number of shares authorized for issuance by 2,000,000 shares, as described in Proposal 3; and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3F3F3F"/>
          <w:u w:val="none"/>
          <w:effect w:val="none"/>
        </w:rPr>
        <w:t>›</w:t>
      </w:r>
      <w:r>
        <w:rPr>
          <w:caps w:val="false"/>
          <w:smallCaps w:val="false"/>
          <w:strike w:val="false"/>
          <w:dstrike w:val="false"/>
          <w:color w:val="FC7841"/>
          <w:u w:val="none"/>
          <w:effect w:val="none"/>
        </w:rPr>
        <w:t>›</w:t>
      </w:r>
      <w:r>
        <w:rPr>
          <w:caps w:val="false"/>
          <w:smallCaps w:val="false"/>
          <w:strike w:val="false"/>
          <w:dstrike w:val="false"/>
          <w:color w:val="3F3F3F"/>
          <w:u w:val="none"/>
          <w:effect w:val="none"/>
        </w:rPr>
        <w:t>“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For” the advisory approval of the compensation of our Named Executive Officers (Say on Pay), as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described in Proposal 4.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If any other matter is properly presented at the Annual Meeting, your proxyholder (one of the individuals named on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your proxy card), if permitted, will vote your shares using his best judgment.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</w:pPr>
      <w:r>
        <w:rPr>
          <w:rFonts w:ascii="sans-serif" w:hAnsi="sans-serif"/>
          <w:b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  <w:t>Can I change my vote after submitting my proxy?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Yes. You can revoke your proxy at any time before the final vote at the Annual Meeting in the following ways: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4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F47521"/>
          <w:sz w:val="24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F47521"/>
          <w:sz w:val="24"/>
          <w:u w:val="none"/>
          <w:effect w:val="none"/>
        </w:rPr>
        <w:t xml:space="preserve">Stockholder of Record: Shares Registered in Your Name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3F3F3F"/>
          <w:u w:val="none"/>
          <w:effect w:val="none"/>
        </w:rPr>
        <w:t>›</w:t>
      </w:r>
      <w:r>
        <w:rPr>
          <w:caps w:val="false"/>
          <w:smallCaps w:val="false"/>
          <w:strike w:val="false"/>
          <w:dstrike w:val="false"/>
          <w:color w:val="FC7841"/>
          <w:u w:val="none"/>
          <w:effect w:val="none"/>
        </w:rPr>
        <w:t>›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Your proxy may be revoked by filing with the Secretary of Exelixis at our principal executive office, Exelixis,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Inc., 1851 Harbor Bay Parkway, Alameda, California 94502, either (1) a written notice of revocation or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(2) a duly executed proxy card bearing a later date.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3F3F3F"/>
          <w:u w:val="none"/>
          <w:effect w:val="none"/>
        </w:rPr>
        <w:t>›</w:t>
      </w:r>
      <w:r>
        <w:rPr>
          <w:caps w:val="false"/>
          <w:smallCaps w:val="false"/>
          <w:strike w:val="false"/>
          <w:dstrike w:val="false"/>
          <w:color w:val="FC7841"/>
          <w:u w:val="none"/>
          <w:effect w:val="none"/>
        </w:rPr>
        <w:t>›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Your proxy may also be revoked by granting a subsequent proxy by telephone or on the Internet (your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latest telephone or Internet proxy is the one that is counted).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3F3F3F"/>
          <w:u w:val="none"/>
          <w:effect w:val="none"/>
        </w:rPr>
        <w:t>›</w:t>
      </w:r>
      <w:r>
        <w:rPr>
          <w:caps w:val="false"/>
          <w:smallCaps w:val="false"/>
          <w:strike w:val="false"/>
          <w:dstrike w:val="false"/>
          <w:color w:val="FC7841"/>
          <w:u w:val="none"/>
          <w:effect w:val="none"/>
        </w:rPr>
        <w:t>›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Your proxy may also be revoked by attending the Annual Meeting and voting online via the live webcast.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Attendance at the Annual Meeting will not, by itself, revoke your proxy.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4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F47521"/>
          <w:sz w:val="24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F47521"/>
          <w:sz w:val="24"/>
          <w:u w:val="none"/>
          <w:effect w:val="none"/>
        </w:rPr>
        <w:t xml:space="preserve">Beneficial Owner: Shares Held in Street Name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3F3F3F"/>
          <w:u w:val="none"/>
          <w:effect w:val="none"/>
        </w:rPr>
        <w:t>›</w:t>
      </w:r>
      <w:r>
        <w:rPr>
          <w:caps w:val="false"/>
          <w:smallCaps w:val="false"/>
          <w:strike w:val="false"/>
          <w:dstrike w:val="false"/>
          <w:color w:val="FC7841"/>
          <w:u w:val="none"/>
          <w:effect w:val="none"/>
        </w:rPr>
        <w:t>›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If your shares are held by your broker or bank as nominee or agent, you should follow the instructions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provided by your broker or bank to revoke any prior voting instructions, which may include attending the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Annual Meeting and voting online via the live webcast.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</w:pPr>
      <w:r>
        <w:rPr>
          <w:rFonts w:ascii="sans-serif" w:hAnsi="sans-serif"/>
          <w:b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  <w:t xml:space="preserve">What is the quorum requirement for the Annual Meeting?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 majority of the outstanding shares entitled to vote at the Annual Meeting must be present or represented by proxy at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the Annual Meeting to hold a valid meeting. This is called a “quorum.” As this Annual Meeting is being held virtually,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holders of record attending via the live webcast will be deemed to be present at the Annual Meeting.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If you are a stockholder of record, your shares will be counted towards the quorum only if you vote at the Annual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Meeting or have properly voted by proxy on the Internet, by telephone or by submitting a proxy card by mail. You may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vote “For,” “Against” or “Abstain” with respect to Proposal Nos. 1, 2, 3 and 4. Abstentions will be counted towards the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number of shares considered to be present at the meeting for purposes of determining whether a quorum is present.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If you are a beneficial owner holding your shares in street name then only the broker, bank or other stockholder of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record can vote your shares unless you obtain a valid legal proxy from the broker, bank or other stockholder of record, </w:t>
      </w:r>
    </w:p>
    <w:tbl>
      <w:tblPr>
        <w:tblW w:w="244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176"/>
        <w:gridCol w:w="271"/>
      </w:tblGrid>
      <w:tr>
        <w:trPr/>
        <w:tc>
          <w:tcPr>
            <w:tcW w:w="21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7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40404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404040"/>
                <w:sz w:val="18"/>
                <w:u w:val="none"/>
                <w:effect w:val="none"/>
              </w:rPr>
              <w:t>2026 Proxy Statement</w:t>
            </w:r>
          </w:p>
        </w:tc>
        <w:tc>
          <w:tcPr>
            <w:tcW w:w="27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  <w:t>5</w:t>
            </w:r>
          </w:p>
        </w:tc>
      </w:tr>
    </w:tbl>
    <w:tbl>
      <w:tblPr>
        <w:tblW w:w="564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696"/>
        <w:gridCol w:w="3946"/>
      </w:tblGrid>
      <w:tr>
        <w:trPr/>
        <w:tc>
          <w:tcPr>
            <w:tcW w:w="16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9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6d44722bfc2543dbbba9716d9e560c58_16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color w:val="0000FF"/>
                  <w:sz w:val="18"/>
                  <w:u w:val="single"/>
                </w:rPr>
                <w:t>Table of Contents</w:t>
              </w:r>
            </w:hyperlink>
          </w:p>
        </w:tc>
        <w:tc>
          <w:tcPr>
            <w:tcW w:w="394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Proxy Statement 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C4C02"/>
                <w:sz w:val="18"/>
                <w:u w:val="none"/>
                <w:effect w:val="none"/>
              </w:rPr>
              <w:t>|</w:t>
            </w: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 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Questions and Answers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or are otherwise provided with a separate means to vote your shares (such as a 16-digit control number provided via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email or on your Notice of Availability or voting instruction form). Please see “</w:t>
      </w:r>
      <w:hyperlink w:anchor="i6d44722bfc2543dbbba9716d9e560c58_43">
        <w:r>
          <w:rPr>
            <w:rStyle w:val="InternetLink"/>
            <w:rFonts w:ascii="sans-serif" w:hAnsi="sans-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 xml:space="preserve">If I am a beneficial owner of shares held </w:t>
        </w:r>
      </w:hyperlink>
    </w:p>
    <w:p>
      <w:pPr>
        <w:pStyle w:val="TextBody"/>
        <w:bidi w:val="0"/>
        <w:spacing w:lineRule="atLeast" w:line="200" w:before="0" w:after="0"/>
        <w:jc w:val="left"/>
        <w:rPr/>
      </w:pPr>
      <w:hyperlink w:anchor="i6d44722bfc2543dbbba9716d9e560c58_43">
        <w:r>
          <w:rPr>
            <w:rStyle w:val="InternetLink"/>
            <w:rFonts w:ascii="sans-serif" w:hAnsi="sans-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in street name and I do not provide my broker or bank with voting instructions, what happens?</w:t>
        </w:r>
      </w:hyperlink>
      <w:r>
        <w:rPr>
          <w:caps w:val="false"/>
          <w:smallCaps w:val="false"/>
          <w:strike w:val="false"/>
          <w:dstrike w:val="false"/>
          <w:color w:val="3F3F3F"/>
          <w:u w:val="none"/>
          <w:effect w:val="none"/>
        </w:rPr>
        <w:t xml:space="preserve">”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above. Shares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represented by “broker non-votes” will be counted in determining whether there is a quorum present.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Votes will be counted by the inspector of election appointed for the Annual Meeting. If there is no quorum, either the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chairperson of the Annual Meeting or the holders of a majority of shares present or represented by proxy at the Annual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Meeting may adjourn the Annual Meeting to another date.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</w:pPr>
      <w:r>
        <w:rPr>
          <w:rFonts w:ascii="sans-serif" w:hAnsi="sans-serif"/>
          <w:b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  <w:t xml:space="preserve">How many votes are needed to approve each proposal, how are votes counted, and how are abstentions and broker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</w:pPr>
      <w:r>
        <w:rPr>
          <w:rFonts w:ascii="sans-serif" w:hAnsi="sans-serif"/>
          <w:b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  <w:t xml:space="preserve">non-votes treated?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3F3F3F"/>
          <w:u w:val="none"/>
          <w:effect w:val="none"/>
        </w:rPr>
        <w:t>›</w:t>
      </w:r>
      <w:r>
        <w:rPr>
          <w:caps w:val="false"/>
          <w:smallCaps w:val="false"/>
          <w:strike w:val="false"/>
          <w:dstrike w:val="false"/>
          <w:color w:val="FC7841"/>
          <w:u w:val="none"/>
          <w:effect w:val="none"/>
        </w:rPr>
        <w:t>›</w:t>
      </w:r>
      <w:r>
        <w:rPr>
          <w:rFonts w:ascii="sans-serif" w:hAnsi="sans-serif"/>
          <w:b/>
          <w:i/>
          <w:strike w:val="false"/>
          <w:dstrike w:val="false"/>
          <w:color w:val="3F3F3F"/>
          <w:sz w:val="20"/>
          <w:u w:val="none"/>
          <w:effect w:val="none"/>
        </w:rPr>
        <w:t>Proposal 1-Election of Directors:</w:t>
      </w:r>
      <w:r>
        <w:rPr>
          <w:caps w:val="false"/>
          <w:smallCaps w:val="false"/>
          <w:strike w:val="false"/>
          <w:dstrike w:val="false"/>
          <w:color w:val="3F3F3F"/>
          <w:u w:val="none"/>
          <w:effect w:val="none"/>
        </w:rPr>
        <w:t xml:space="preserve">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In an uncontested election such as this, directors are elected by a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majority of the votes cast. Accordingly, each of the eleven nominees must receive “For” votes from the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holders of a majority of the votes cast with respect to such director (i.e., the number of shares voted “For”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a director must exceed the number of shares voted “Against” that director). Abstentions and broker non-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votes are not counted for purposes of electing directors and will have no effect on the results of this vote.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If any nominee becomes unavailable for election as a result of an unexpected occurrence, your shares will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be voted for the election of such substitute nominee as the Board, after receiving the recommendation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of the Nominating and Corporate Governance Committee of the Board, may propose. Each person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nominated for election has agreed to serve if elected, and we have no reason to believe that any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nominee will be unable to serve.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3F3F3F"/>
          <w:u w:val="none"/>
          <w:effect w:val="none"/>
        </w:rPr>
        <w:t>›</w:t>
      </w:r>
      <w:r>
        <w:rPr>
          <w:caps w:val="false"/>
          <w:smallCaps w:val="false"/>
          <w:strike w:val="false"/>
          <w:dstrike w:val="false"/>
          <w:color w:val="FC7841"/>
          <w:u w:val="none"/>
          <w:effect w:val="none"/>
        </w:rPr>
        <w:t>›</w:t>
      </w:r>
      <w:r>
        <w:rPr>
          <w:rFonts w:ascii="sans-serif" w:hAnsi="sans-serif"/>
          <w:b/>
          <w:i/>
          <w:strike w:val="false"/>
          <w:dstrike w:val="false"/>
          <w:color w:val="3F3F3F"/>
          <w:sz w:val="20"/>
          <w:u w:val="none"/>
          <w:effect w:val="none"/>
        </w:rPr>
        <w:t>Proposal 2-Ratification of Ernst &amp; Young LLP:</w:t>
      </w:r>
      <w:r>
        <w:rPr>
          <w:strike w:val="false"/>
          <w:dstrike w:val="false"/>
          <w:color w:val="3F3F3F"/>
          <w:u w:val="none"/>
          <w:effect w:val="none"/>
        </w:rPr>
        <w:t xml:space="preserve">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The affirmative vote of a majority of shares present or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represented by proxy at the Annual Meeting and entitled to vote on the proposal is required to ratify the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selection of Ernst &amp; Young LLP as our independent registered public accounting firm for the fiscal year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ending January 1, 2027. Abstentions will be counted toward the tabulation of votes cast on the proposal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and will have the same effect as votes against the proposal.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3F3F3F"/>
          <w:u w:val="none"/>
          <w:effect w:val="none"/>
        </w:rPr>
        <w:t>›</w:t>
      </w:r>
      <w:r>
        <w:rPr>
          <w:caps w:val="false"/>
          <w:smallCaps w:val="false"/>
          <w:strike w:val="false"/>
          <w:dstrike w:val="false"/>
          <w:color w:val="FC7841"/>
          <w:u w:val="none"/>
          <w:effect w:val="none"/>
        </w:rPr>
        <w:t>›</w:t>
      </w:r>
      <w:r>
        <w:rPr>
          <w:rFonts w:ascii="sans-serif" w:hAnsi="sans-serif"/>
          <w:b/>
          <w:i/>
          <w:strike w:val="false"/>
          <w:dstrike w:val="false"/>
          <w:color w:val="3F3F3F"/>
          <w:sz w:val="20"/>
          <w:u w:val="none"/>
          <w:effect w:val="none"/>
        </w:rPr>
        <w:t xml:space="preserve">Proposal 3-Approval of the Amendment and Restatement of the 2017 Plan: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The affirmative vote of a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majority of shares present or represented by proxy at the Annual Meeting and entitled to vote on the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proposal is required to amend and restate the 2017 Plan to, among other things, increase the number of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shares authorized for issuance by 2,000,000 shares. Abstentions will be counted toward the tabulation of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votes cast on the proposal and will have the same effect as votes against this proposal. Broker non-votes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will have no effect and will not be counted towards the vote total.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3F3F3F"/>
          <w:u w:val="none"/>
          <w:effect w:val="none"/>
        </w:rPr>
        <w:t>›</w:t>
      </w:r>
      <w:r>
        <w:rPr>
          <w:caps w:val="false"/>
          <w:smallCaps w:val="false"/>
          <w:strike w:val="false"/>
          <w:dstrike w:val="false"/>
          <w:color w:val="FC7841"/>
          <w:u w:val="none"/>
          <w:effect w:val="none"/>
        </w:rPr>
        <w:t>›</w:t>
      </w:r>
      <w:r>
        <w:rPr>
          <w:rFonts w:ascii="sans-serif" w:hAnsi="sans-serif"/>
          <w:b/>
          <w:i/>
          <w:strike w:val="false"/>
          <w:dstrike w:val="false"/>
          <w:color w:val="3F3F3F"/>
          <w:sz w:val="20"/>
          <w:u w:val="none"/>
          <w:effect w:val="none"/>
        </w:rPr>
        <w:t xml:space="preserve">Proposal 4-Advisory Vote on Executive Compensation: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The affirmative vote of a majority of shares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present or by represented proxy at the Annual Meeting and entitled to vote on the proposal is required to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approve the non-binding, advisory vote on executive compensation. Abstentions will be counted toward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the tabulation of votes cast on the proposal and will have the same effect as votes against this proposal.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Broker non-votes will have no effect and will not be counted towards the vote total. Since the vote is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advisory, it is not binding on the Board or on us. Nevertheless, the views expressed by our stockholders,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whether through this vote or otherwise, are very important to the Board and the management team and,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accordingly, the Compensation Committee and Board intend to consider the results of this vote in making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determinations in the future regarding executive compensation arrangements. Your vote will serve as an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additional tool to guide the Compensation Committee and Board as they continue to improve the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alignment of our executive compensation programs with business objectives and performance and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with the interests of our stockholders.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</w:pPr>
      <w:r>
        <w:rPr>
          <w:rFonts w:ascii="sans-serif" w:hAnsi="sans-serif"/>
          <w:b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  <w:t xml:space="preserve">Do I have dissenters’ rights?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No. We are organized as a corporation under Delaware law. Under the Delaware General Corporation Law, our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stockholders are not entitled to dissenters’ rights with respect to any of the proposals set forth in this Proxy Statement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and we will not independently provide the stockholders with any such rights.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</w:pPr>
      <w:r>
        <w:rPr>
          <w:rFonts w:ascii="sans-serif" w:hAnsi="sans-serif"/>
          <w:b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  <w:t xml:space="preserve">How can I find out the results of the voting at the Annual Meeting?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We expect to announce preliminary voting results at the Annual Meeting. In addition, final voting results will be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published in a current report on Form 8-K that we expect to file within four business days after the Annual Meeting. If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final voting results are not available to us in time to file a Form 8-K within four business days after the Annual Meeting, </w:t>
      </w:r>
    </w:p>
    <w:tbl>
      <w:tblPr>
        <w:tblW w:w="162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41"/>
        <w:gridCol w:w="1381"/>
      </w:tblGrid>
      <w:tr>
        <w:trPr/>
        <w:tc>
          <w:tcPr>
            <w:tcW w:w="2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  <w:t>6</w:t>
            </w:r>
          </w:p>
        </w:tc>
        <w:tc>
          <w:tcPr>
            <w:tcW w:w="138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Exelixis, Inc.</w:t>
            </w:r>
          </w:p>
        </w:tc>
      </w:tr>
    </w:tbl>
    <w:tbl>
      <w:tblPr>
        <w:tblW w:w="1850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696"/>
        <w:gridCol w:w="154"/>
      </w:tblGrid>
      <w:tr>
        <w:trPr/>
        <w:tc>
          <w:tcPr>
            <w:tcW w:w="16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9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6d44722bfc2543dbbba9716d9e560c58_16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color w:val="0000FF"/>
                  <w:sz w:val="18"/>
                  <w:u w:val="single"/>
                </w:rPr>
                <w:t>Table of Contents</w:t>
              </w:r>
            </w:hyperlink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we intend to file a Form 8-K to publish preliminary results and, within four business days after the final results are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known to us, file an additional Form 8-K to publish the final results.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</w:pPr>
      <w:r>
        <w:rPr>
          <w:rFonts w:ascii="sans-serif" w:hAnsi="sans-serif"/>
          <w:b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  <w:t xml:space="preserve">Will other matters be voted on at the Annual Meeting?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We are not aware of any matters to be presented at the Annual Meeting other than those described in this Proxy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Statement. If any other matters not described in the Proxy Statement are properly presented at the meeting, proxies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will be voted in accordance with the best judgment of the proxyholders.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</w:pPr>
      <w:r>
        <w:rPr>
          <w:rFonts w:ascii="sans-serif" w:hAnsi="sans-serif"/>
          <w:b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  <w:t xml:space="preserve">What proxy materials are available on the Internet?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This Proxy Statement and our Annual Report are available at </w:t>
      </w:r>
      <w:r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  <w:t>www.exel-annualstockholdermeeting.com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.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</w:pPr>
      <w:r>
        <w:rPr>
          <w:rFonts w:ascii="sans-serif" w:hAnsi="sans-serif"/>
          <w:b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  <w:t xml:space="preserve">What is the deadline for submitting stockholder proposals for the 2027 Annual Meeting?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To be considered for inclusion in the 2027 proxy materials, your proposal must be submitted in writing by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December 16, 2026, to our Corporate Secretary at Exelixis, Inc., 1851 Harbor Bay Parkway, Alameda, California 94502,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and you must comply with all applicable requirements of Rule 14a-8 promulgated under the Securities Exchange Act of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1934, as amended (Exchange Act). However, if our 2027 Annual Meeting of Stockholders is held before April 26, 2027,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or after June 25, 2027, then the deadline will be a reasonable time prior to the time that we make our proxy materials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available to our stockholders, either online or in printed form.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If you wish to submit a proposal or nominate a director at the 2027 Annual Meeting of Stockholders, but you are not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requesting that your proposal or nomination be included in next year’s proxy materials, you must submit your proposal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in writing, in the manner set forth in our Bylaws, to our Corporate Secretary at Exelixis, Inc., 1851 Harbor Bay Parkway,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Alameda, California 94502, to be received no earlier than the open of business on January 26, 2027, and no later than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the close of business on February 25, 2027. However, if our 2027 Annual Meeting of Stockholders is held before May 1,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2027, or after June 20, 2027, then you must notify the Corporate Secretary, in writing, not earlier than the open of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business on the 120th day prior to the date of the 2027 Annual Meeting of Stockholders and not later than the close of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business on the later of (i) the 90th day prior to the date of the 2027 Annual Meeting of Stockholders or (ii) if we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publicly announce the date of the 2027 Annual Meeting of Stockholders fewer than 70 days prior to the date of the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2027 Annual Meeting of Stockholders, the 10th day following the day that we first make such public announcement of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the date of the 2027 Annual Meeting of Stockholders. In addition, stockholders who intend to solicit proxies in support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of director nominees other than the Exelixis nominees must comply with Rule 14a-19 under the Exchange Act. We also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advise you to review our Bylaws, which contain additional requirements about advance notice of stockholder proposals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and director nominations.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</w:pPr>
      <w:r>
        <w:rPr>
          <w:rFonts w:ascii="sans-serif" w:hAnsi="sans-serif"/>
          <w:b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  <w:t xml:space="preserve">How may I obtain a printed copy of the Proxy Materials?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Instructions on how to obtain a printed copy of the proxy materials are set forth in the Notice of Availability.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</w:pPr>
      <w:r>
        <w:rPr>
          <w:rFonts w:ascii="sans-serif" w:hAnsi="sans-serif"/>
          <w:b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  <w:t xml:space="preserve">If I am a holder of record and I do not vote, what happens?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If you are a holder of record and do not vote, then your shares will not be voted at the Annual Meeting.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</w:pPr>
      <w:r>
        <w:rPr>
          <w:rFonts w:ascii="sans-serif" w:hAnsi="sans-serif"/>
          <w:b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  <w:t xml:space="preserve">If I am a beneficial owner of shares held in street name and I do not provide my broker or bank with voting </w:t>
      </w:r>
      <w:bookmarkStart w:id="12" w:name="i7d5e9edee5f543e292dd8bba72b1dd9b_3304"/>
      <w:bookmarkEnd w:id="12"/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</w:pPr>
      <w:r>
        <w:rPr>
          <w:rFonts w:ascii="sans-serif" w:hAnsi="sans-serif"/>
          <w:b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  <w:t xml:space="preserve">instructions, what happens?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If you are a beneficial owner of shares held in street name and you do not provide the broker, bank or other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stockholder of record holding your shares with voting instructions, and your broker or bank has not provided you with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the means to vote your shares at the Annual Meeting, including by providing you with a 16-digit control number via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email or on your Notice of Availability or your voting instruction form, your broker, bank or other stockholder of record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will determine if it has the discretionary authority to vote on the particular matter.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3F3F3F"/>
          <w:u w:val="none"/>
          <w:effect w:val="none"/>
        </w:rPr>
        <w:t>›</w:t>
      </w:r>
      <w:r>
        <w:rPr>
          <w:caps w:val="false"/>
          <w:smallCaps w:val="false"/>
          <w:strike w:val="false"/>
          <w:dstrike w:val="false"/>
          <w:color w:val="FC7841"/>
          <w:u w:val="none"/>
          <w:effect w:val="none"/>
        </w:rPr>
        <w:t>›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Your shares will not be voted on any proposal on which the broker does not have discretionary authority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to vote. This is called a “broker non-vote.” In these cases, the broker can register your shares as being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present at the Annual Meeting for purposes of determining the presence of a quorum, but will not be able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to vote on those matters for which specific authorization is required under the rules of the New York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Stock Exchange (NYSE). Your broker does not have discretionary authority to vote on Proposal No. 1 </w:t>
      </w:r>
    </w:p>
    <w:tbl>
      <w:tblPr>
        <w:tblW w:w="244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176"/>
        <w:gridCol w:w="271"/>
      </w:tblGrid>
      <w:tr>
        <w:trPr/>
        <w:tc>
          <w:tcPr>
            <w:tcW w:w="21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7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40404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404040"/>
                <w:sz w:val="18"/>
                <w:u w:val="none"/>
                <w:effect w:val="none"/>
              </w:rPr>
              <w:t>2026 Proxy Statement</w:t>
            </w:r>
          </w:p>
        </w:tc>
        <w:tc>
          <w:tcPr>
            <w:tcW w:w="27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  <w:t>7</w:t>
            </w:r>
          </w:p>
        </w:tc>
      </w:tr>
    </w:tbl>
    <w:tbl>
      <w:tblPr>
        <w:tblW w:w="564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696"/>
        <w:gridCol w:w="3946"/>
      </w:tblGrid>
      <w:tr>
        <w:trPr/>
        <w:tc>
          <w:tcPr>
            <w:tcW w:w="16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9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6d44722bfc2543dbbba9716d9e560c58_16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color w:val="0000FF"/>
                  <w:sz w:val="18"/>
                  <w:u w:val="single"/>
                </w:rPr>
                <w:t>Table of Contents</w:t>
              </w:r>
            </w:hyperlink>
          </w:p>
        </w:tc>
        <w:tc>
          <w:tcPr>
            <w:tcW w:w="394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Proxy Statement 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C4C02"/>
                <w:sz w:val="18"/>
                <w:u w:val="none"/>
                <w:effect w:val="none"/>
              </w:rPr>
              <w:t>|</w:t>
            </w: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 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Questions and Answers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(election of directors), Proposal No. 3 (Amendment and Restatement of 2017 Plan) or Proposal No. 4 (Say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on Pay) without voting instructions from you, in which case a broker non-vote will occur, and your shares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will not be voted on these Proposals.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3F3F3F"/>
          <w:u w:val="none"/>
          <w:effect w:val="none"/>
        </w:rPr>
        <w:t>›</w:t>
      </w:r>
      <w:r>
        <w:rPr>
          <w:caps w:val="false"/>
          <w:smallCaps w:val="false"/>
          <w:strike w:val="false"/>
          <w:dstrike w:val="false"/>
          <w:color w:val="FC7841"/>
          <w:u w:val="none"/>
          <w:effect w:val="none"/>
        </w:rPr>
        <w:t>›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Your broker has discretionary voting authority under NYSE rules to vote your shares on Proposal No. 2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(the ratification of the appointment of Ernst &amp; Young LLP as our independent registered public accounting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firm for the fiscal year ending January 1, 2027), even if your broker does not receive voting instructions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from you.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</w:pPr>
      <w:r>
        <w:rPr>
          <w:rFonts w:ascii="sans-serif" w:hAnsi="sans-serif"/>
          <w:b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  <w:t xml:space="preserve">Who is paying for this proxy solicitation?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We are soliciting proxies and will bear the entire cost of soliciting proxies, including the preparation, printing and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mailing of the Notice of Availability, the Notice of Annual Meeting, the Proxy Statement, the proxy card and any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additional information furnished to stockholders. We have engaged Innisfree M&amp;A Incorporated, located at 501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Madison Avenue, 20th Floor, New York, NY 10022, to assist in the solicitation of proxies from shareholders for a fee of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$25,000 plus reimbursement of customary out-of-pocket expenses. Copies of solicitation materials will be furnished to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banks, brokerage houses, fiduciaries and custodians holding in their names shares of our common stock beneficially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owned by others to forward to such beneficial owners. We may reimburse persons representing beneficial owners of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our common stock for their costs of forwarding solicitation materials to such beneficial owners. Original solicitation of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proxies by mail may be supplemented by telephone, telegram or personal solicitation by our directors, officers or other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regular employees. No additional compensation will be paid to directors, officers or other regular employees for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such services.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</w:pPr>
      <w:r>
        <w:rPr>
          <w:rFonts w:ascii="sans-serif" w:hAnsi="sans-serif"/>
          <w:b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  <w:t xml:space="preserve">What does it mean if I receive more than one Notice of Availability or proxy card?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If you receive more than one Notice of Availability or proxy card, your shares are registered in more than one name or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are registered in different accounts. Please follow the instructions on each Notice of Availability or proxy card to ensure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that all of your shares are voted. </w:t>
      </w:r>
    </w:p>
    <w:tbl>
      <w:tblPr>
        <w:tblW w:w="162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41"/>
        <w:gridCol w:w="1381"/>
      </w:tblGrid>
      <w:tr>
        <w:trPr/>
        <w:tc>
          <w:tcPr>
            <w:tcW w:w="2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  <w:t>8</w:t>
            </w:r>
          </w:p>
        </w:tc>
        <w:tc>
          <w:tcPr>
            <w:tcW w:w="138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Exelixis, Inc.</w:t>
            </w:r>
          </w:p>
        </w:tc>
      </w:tr>
    </w:tbl>
    <w:tbl>
      <w:tblPr>
        <w:tblW w:w="1850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696"/>
        <w:gridCol w:w="154"/>
      </w:tblGrid>
      <w:tr>
        <w:trPr/>
        <w:tc>
          <w:tcPr>
            <w:tcW w:w="16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9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6d44722bfc2543dbbba9716d9e560c58_16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color w:val="0000FF"/>
                  <w:sz w:val="18"/>
                  <w:u w:val="single"/>
                </w:rPr>
                <w:t>Table of Contents</w:t>
              </w:r>
            </w:hyperlink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4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F47521"/>
          <w:sz w:val="24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F47521"/>
          <w:sz w:val="24"/>
          <w:u w:val="none"/>
          <w:effect w:val="none"/>
        </w:rPr>
        <w:t xml:space="preserve">Forward-Looking Statements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This Proxy Statement contains forward-looking statements, including, without limitation, statements related to: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Exelixis’ belief that its 2025 accomplishments have laid the groundwork for sustained momentum for cabozantinib’s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growth, preparing for future indications for zanzalintinib, and for unlocking the potential of its diverse, rapidly maturing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pipeline; Exelixis’ rapid buildout of its GI sales team to capture emerging cabozantinib opportunities and build a strong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foundation for zanzalintinib as Exelixis’ next potential oncology franchise in 2026; Exelixis’ commitment to improving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the standards of care for cancer patients through the discovery, development and introduction of new products with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first-in-class or clinical best-in-class potential; the Board’s commitment to responsible stewardship and responsiveness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to shareholder feedback and concerns, as well as to creating an environment where the Exelixis team can do its best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work and further the company’s mission to help cancer patients recover stronger and live longer; Exelixis’ expectation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that zanzalintinib will take center stage in 2026 as Exelixis’ next franchise opportunity that could improve standards of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care for patients with cancer; Exelixis’ anticipated timing for pivotal data milestones for the STELLAR-303 and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STELLAR-304 trials and plans to initiate additional zanzalintinib pivotal trials in 2026, including STELLAR-316 and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STELLAR-201; Exelixis’ expectations with respect to its clinical development collaboration with MSD International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Business GmbH, known as Merck within the United States and Canada (Merck); Exelixis’ key priorities and anticipated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milestones for 2026; the timing, amount, and completion of any stock repurchase programs; Exelixis’ commitment to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contributing to society at large and creating sustained value for all of its stakeholders by translating science into impact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for patients and all those it serves; Exelixis’ expectations that its employees and partners will commit to the highest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standards of ethical behavior and maintain values and principles that reflect both global awareness and sustainability;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Exelixis’ dedication to offering patients with cancer treatments of the highest quality and acceptable safety profile and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providing patients with access to Exelixis medicines; Exelixis’ commitment to fostering a culture of belonging; Exelixis’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commitment to conducting business in an environmentally and climate respectful way; Exelixis’ scientific pursuit to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create transformational treatments that give more patients hope for the future; and other statements that are not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historical facts. Any statements that refer to expectations, projections or other characterizations of future events or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circumstances are forward-looking statements and are based upon Exelixis’ current plans, assumptions, beliefs,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expectations, estimates and projections. Forward-looking statements involve risks and uncertainties. Actual results and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the timing of events could differ materially from those anticipated in the forward-looking statements as a result of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these risks and uncertainties, which include, without limitation: the degree of market acceptance of CABOMETYX and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other Exelixis products in the indications for which they are approved and in the territories where they are approved,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and Exelixis’ and its partners’ ability to obtain or maintain coverage and reimbursement for these products; the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effectiveness of CABOMETYX and other Exelixis products in comparison to competing products; complexities and the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unpredictability of the regulatory review and approval processes in the U.S. and elsewhere; the level of costs associated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with Exelixis’ commercialization, research and development, in-licensing or acquisition of product candidates, and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other activities; Exelixis’ ability to maintain and scale adequate sales, marketing, market access and product distribution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capabilities for its products or to enter into and maintain agreements with third parties to do so; the availability of data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at the referenced times; the potential failure of cabozantinib, zanzalintinib and other Exelixis product candidates, both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alone and in combination with other therapies, to demonstrate safety and/or efficacy in clinical testing; uncertainties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inherent in the drug discovery and product development process; Exelixis’ dependence on its relationships with its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collaboration partners, including their pursuit of regulatory approvals for partnered compounds in new indications,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their adherence to their obligations under relevant collaboration agreements and the level of their investment in the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resources necessary to complete clinical trials or successfully commercialize partnered compounds in the territories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where they are approved; Exelixis’ continuing compliance with applicable legal and regulatory requirements;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unexpected concerns that may arise as a result of the occurrence of adverse safety events or additional data analyses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of clinical trials evaluating cabozantinib, zanzalintinib and other Exelixis product candidates; Exelixis’ dependence on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third-party vendors for the development, manufacture and supply of its products and product candidates; Exelixis’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ability to protect its intellectual property rights; market competition, including the potential for competitors to obtain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approval for generic versions of Exelixis’ marketed products; changes in economic and business conditions, including as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 result of geopolitical events, the conflict in the Middle East, changing trade policies and tariffs and the related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uncertainty thereof; and other factors detailed from time to time under the caption “Risk Factors” in Exelixis’ most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recent Annual Report on Form 10-K and subsequent Quarterly Reports on Form 10-Q, and in Exelixis’ other future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filings with the SEC. All forward-looking statements in this Proxy Statement are based on information available to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Exelixis as of the date of this Proxy Statement, and Exelixis undertakes no obligation to update or revise any forward-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looking statements contained herein, except as required by law. </w:t>
      </w:r>
    </w:p>
    <w:tbl>
      <w:tblPr>
        <w:tblW w:w="244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176"/>
        <w:gridCol w:w="271"/>
      </w:tblGrid>
      <w:tr>
        <w:trPr/>
        <w:tc>
          <w:tcPr>
            <w:tcW w:w="21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7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40404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404040"/>
                <w:sz w:val="18"/>
                <w:u w:val="none"/>
                <w:effect w:val="none"/>
              </w:rPr>
              <w:t>2026 Proxy Statement</w:t>
            </w:r>
          </w:p>
        </w:tc>
        <w:tc>
          <w:tcPr>
            <w:tcW w:w="27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  <w:t>9</w:t>
            </w:r>
          </w:p>
        </w:tc>
      </w:tr>
    </w:tbl>
    <w:tbl>
      <w:tblPr>
        <w:tblW w:w="483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696"/>
        <w:gridCol w:w="3136"/>
      </w:tblGrid>
      <w:tr>
        <w:trPr/>
        <w:tc>
          <w:tcPr>
            <w:tcW w:w="16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9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6d44722bfc2543dbbba9716d9e560c58_16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color w:val="0000FF"/>
                  <w:sz w:val="18"/>
                  <w:u w:val="single"/>
                </w:rPr>
                <w:t>Table of Contents</w:t>
              </w:r>
            </w:hyperlink>
          </w:p>
        </w:tc>
        <w:tc>
          <w:tcPr>
            <w:tcW w:w="313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Proposal 1</w:t>
            </w:r>
            <w:r>
              <w:rPr>
                <w:caps w:val="false"/>
                <w:smallCaps w:val="false"/>
                <w:strike w:val="false"/>
                <w:dstrike w:val="false"/>
                <w:color w:val="F47521"/>
                <w:u w:val="none"/>
                <w:effect w:val="none"/>
              </w:rPr>
              <w:t> 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  <w:t>|</w:t>
            </w: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 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 xml:space="preserve">Election of Directors </w:t>
            </w:r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36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F47521"/>
          <w:sz w:val="36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F47521"/>
          <w:sz w:val="36"/>
          <w:u w:val="none"/>
          <w:effect w:val="none"/>
        </w:rPr>
        <w:t xml:space="preserve">PROPOSAL 1 </w:t>
      </w:r>
    </w:p>
    <w:p>
      <w:pPr>
        <w:pStyle w:val="TextBody"/>
        <w:bidi w:val="0"/>
        <w:spacing w:lineRule="atLeast" w:line="300" w:before="0" w:after="0"/>
        <w:jc w:val="left"/>
        <w:rPr/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30"/>
          <w:u w:val="none"/>
          <w:effect w:val="none"/>
        </w:rPr>
        <w:t>ELECTION OF DIRECTORS</w:t>
      </w:r>
      <w:r>
        <w:rPr>
          <w:caps w:val="false"/>
          <w:smallCaps w:val="false"/>
          <w:strike w:val="false"/>
          <w:dstrike w:val="false"/>
          <w:color w:val="3F3F3F"/>
          <w:u w:val="none"/>
          <w:effect w:val="none"/>
        </w:rPr>
        <w:t xml:space="preserve"> </w:t>
      </w: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205" w:type="dxa"/>
            <w:tcBorders>
              <w:top w:val="single" w:sz="8" w:space="0" w:color="F47521"/>
              <w:left w:val="single" w:sz="8" w:space="0" w:color="F47521"/>
              <w:right w:val="single" w:sz="8" w:space="0" w:color="F47521"/>
            </w:tcBorders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205" w:type="dxa"/>
            <w:tcBorders>
              <w:left w:val="single" w:sz="8" w:space="0" w:color="F47521"/>
              <w:right w:val="single" w:sz="8" w:space="0" w:color="F47521"/>
            </w:tcBorders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Proposal Snapshot – Item 1. Election of Directors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 xml:space="preserve">What is being voted on: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Election of 11 director nominees to our Board.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Board recommendation: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 xml:space="preserve">After a review of the individual qualifications and experience of each of our director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 xml:space="preserve">nominees and his or her contributions to our Board (as applicable), our Board determined unanimously to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recommend that shareholders vote FOR all of our director nominees.</w:t>
            </w:r>
          </w:p>
        </w:tc>
      </w:tr>
      <w:tr>
        <w:trPr/>
        <w:tc>
          <w:tcPr>
            <w:tcW w:w="10205" w:type="dxa"/>
            <w:tcBorders>
              <w:left w:val="single" w:sz="8" w:space="0" w:color="F47521"/>
              <w:bottom w:val="single" w:sz="8" w:space="0" w:color="F47521"/>
              <w:right w:val="single" w:sz="8" w:space="0" w:color="F47521"/>
            </w:tcBorders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F47521"/>
          <w:sz w:val="2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F47521"/>
          <w:sz w:val="28"/>
          <w:u w:val="none"/>
          <w:effect w:val="none"/>
        </w:rPr>
        <w:t>Our Directors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Our Certificate of Incorporation and Bylaws provide for the annual election of each director. The Board’s nominees for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director are: </w:t>
      </w:r>
    </w:p>
    <w:tbl>
      <w:tblPr>
        <w:tblW w:w="8314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106"/>
        <w:gridCol w:w="496"/>
        <w:gridCol w:w="3736"/>
        <w:gridCol w:w="976"/>
      </w:tblGrid>
      <w:tr>
        <w:trPr/>
        <w:tc>
          <w:tcPr>
            <w:tcW w:w="31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106" w:type="dxa"/>
            <w:tcBorders>
              <w:bottom w:val="single" w:sz="4" w:space="0" w:color="B6B6B6"/>
            </w:tcBorders>
            <w:shd w:fill="F47521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Director Nominees</w:t>
            </w:r>
          </w:p>
        </w:tc>
        <w:tc>
          <w:tcPr>
            <w:tcW w:w="496" w:type="dxa"/>
            <w:tcBorders>
              <w:bottom w:val="single" w:sz="4" w:space="0" w:color="B6B6B6"/>
            </w:tcBorders>
            <w:shd w:fill="F47521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Age</w:t>
            </w:r>
          </w:p>
        </w:tc>
        <w:tc>
          <w:tcPr>
            <w:tcW w:w="3736" w:type="dxa"/>
            <w:tcBorders>
              <w:bottom w:val="single" w:sz="4" w:space="0" w:color="B6B6B6"/>
            </w:tcBorders>
            <w:shd w:fill="F47521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Position</w:t>
            </w:r>
          </w:p>
        </w:tc>
        <w:tc>
          <w:tcPr>
            <w:tcW w:w="976" w:type="dxa"/>
            <w:tcBorders>
              <w:bottom w:val="single" w:sz="4" w:space="0" w:color="B6B6B6"/>
            </w:tcBorders>
            <w:shd w:fill="F47521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Director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Since</w:t>
            </w:r>
          </w:p>
        </w:tc>
      </w:tr>
      <w:tr>
        <w:trPr/>
        <w:tc>
          <w:tcPr>
            <w:tcW w:w="310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Mary C. Beckerle, Ph.D.</w:t>
            </w:r>
          </w:p>
        </w:tc>
        <w:tc>
          <w:tcPr>
            <w:tcW w:w="49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71</w:t>
            </w:r>
          </w:p>
        </w:tc>
        <w:tc>
          <w:tcPr>
            <w:tcW w:w="373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Independent Director</w:t>
            </w:r>
          </w:p>
        </w:tc>
        <w:tc>
          <w:tcPr>
            <w:tcW w:w="97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2024</w:t>
            </w:r>
          </w:p>
        </w:tc>
      </w:tr>
      <w:tr>
        <w:trPr/>
        <w:tc>
          <w:tcPr>
            <w:tcW w:w="310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S. Gail Eckhardt, M.D.</w:t>
            </w:r>
          </w:p>
        </w:tc>
        <w:tc>
          <w:tcPr>
            <w:tcW w:w="49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68</w:t>
            </w:r>
          </w:p>
        </w:tc>
        <w:tc>
          <w:tcPr>
            <w:tcW w:w="373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Independent Director</w:t>
            </w:r>
          </w:p>
        </w:tc>
        <w:tc>
          <w:tcPr>
            <w:tcW w:w="97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2024</w:t>
            </w:r>
          </w:p>
        </w:tc>
      </w:tr>
      <w:tr>
        <w:trPr/>
        <w:tc>
          <w:tcPr>
            <w:tcW w:w="310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Maria C. Freire, Ph.D.</w:t>
            </w:r>
          </w:p>
        </w:tc>
        <w:tc>
          <w:tcPr>
            <w:tcW w:w="49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71</w:t>
            </w:r>
          </w:p>
        </w:tc>
        <w:tc>
          <w:tcPr>
            <w:tcW w:w="373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Independent Director</w:t>
            </w:r>
          </w:p>
        </w:tc>
        <w:tc>
          <w:tcPr>
            <w:tcW w:w="97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2018</w:t>
            </w:r>
          </w:p>
        </w:tc>
      </w:tr>
      <w:tr>
        <w:trPr/>
        <w:tc>
          <w:tcPr>
            <w:tcW w:w="310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Tomas J. Heyman</w:t>
            </w:r>
          </w:p>
        </w:tc>
        <w:tc>
          <w:tcPr>
            <w:tcW w:w="49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70</w:t>
            </w:r>
          </w:p>
        </w:tc>
        <w:tc>
          <w:tcPr>
            <w:tcW w:w="373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Independent Director</w:t>
            </w:r>
          </w:p>
        </w:tc>
        <w:tc>
          <w:tcPr>
            <w:tcW w:w="97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2023</w:t>
            </w:r>
          </w:p>
        </w:tc>
      </w:tr>
      <w:tr>
        <w:trPr/>
        <w:tc>
          <w:tcPr>
            <w:tcW w:w="310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David E. Johnson</w:t>
            </w:r>
          </w:p>
        </w:tc>
        <w:tc>
          <w:tcPr>
            <w:tcW w:w="49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43</w:t>
            </w:r>
          </w:p>
        </w:tc>
        <w:tc>
          <w:tcPr>
            <w:tcW w:w="373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Independent Director</w:t>
            </w:r>
          </w:p>
        </w:tc>
        <w:tc>
          <w:tcPr>
            <w:tcW w:w="97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2023</w:t>
            </w:r>
          </w:p>
        </w:tc>
      </w:tr>
      <w:tr>
        <w:trPr/>
        <w:tc>
          <w:tcPr>
            <w:tcW w:w="310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Michael M. Morrissey, Ph.D.</w:t>
            </w:r>
          </w:p>
        </w:tc>
        <w:tc>
          <w:tcPr>
            <w:tcW w:w="49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65</w:t>
            </w:r>
          </w:p>
        </w:tc>
        <w:tc>
          <w:tcPr>
            <w:tcW w:w="373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President and Chief Executive Officer</w:t>
            </w:r>
          </w:p>
        </w:tc>
        <w:tc>
          <w:tcPr>
            <w:tcW w:w="97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2010</w:t>
            </w:r>
          </w:p>
        </w:tc>
      </w:tr>
      <w:tr>
        <w:trPr/>
        <w:tc>
          <w:tcPr>
            <w:tcW w:w="310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Robert L. Oliver, Jr.</w:t>
            </w:r>
          </w:p>
        </w:tc>
        <w:tc>
          <w:tcPr>
            <w:tcW w:w="49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67</w:t>
            </w:r>
          </w:p>
        </w:tc>
        <w:tc>
          <w:tcPr>
            <w:tcW w:w="373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Independent Director</w:t>
            </w:r>
          </w:p>
        </w:tc>
        <w:tc>
          <w:tcPr>
            <w:tcW w:w="97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2023</w:t>
            </w:r>
          </w:p>
        </w:tc>
      </w:tr>
      <w:tr>
        <w:trPr/>
        <w:tc>
          <w:tcPr>
            <w:tcW w:w="310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Stelios Papadopoulos, Ph.D.</w:t>
            </w:r>
          </w:p>
        </w:tc>
        <w:tc>
          <w:tcPr>
            <w:tcW w:w="49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77</w:t>
            </w:r>
          </w:p>
        </w:tc>
        <w:tc>
          <w:tcPr>
            <w:tcW w:w="373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Independent Chair of the Board</w:t>
            </w:r>
          </w:p>
        </w:tc>
        <w:tc>
          <w:tcPr>
            <w:tcW w:w="97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1994</w:t>
            </w:r>
          </w:p>
        </w:tc>
      </w:tr>
      <w:tr>
        <w:trPr/>
        <w:tc>
          <w:tcPr>
            <w:tcW w:w="310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George Poste, DVM, Ph.D., FRS</w:t>
            </w:r>
          </w:p>
        </w:tc>
        <w:tc>
          <w:tcPr>
            <w:tcW w:w="49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81</w:t>
            </w:r>
          </w:p>
        </w:tc>
        <w:tc>
          <w:tcPr>
            <w:tcW w:w="373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Independent Director</w:t>
            </w:r>
          </w:p>
        </w:tc>
        <w:tc>
          <w:tcPr>
            <w:tcW w:w="97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2004</w:t>
            </w:r>
          </w:p>
        </w:tc>
      </w:tr>
      <w:tr>
        <w:trPr/>
        <w:tc>
          <w:tcPr>
            <w:tcW w:w="310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Julie Anne Smith</w:t>
            </w:r>
          </w:p>
        </w:tc>
        <w:tc>
          <w:tcPr>
            <w:tcW w:w="49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55</w:t>
            </w:r>
          </w:p>
        </w:tc>
        <w:tc>
          <w:tcPr>
            <w:tcW w:w="373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Independent Director</w:t>
            </w:r>
          </w:p>
        </w:tc>
        <w:tc>
          <w:tcPr>
            <w:tcW w:w="97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2016</w:t>
            </w:r>
          </w:p>
        </w:tc>
      </w:tr>
      <w:tr>
        <w:trPr/>
        <w:tc>
          <w:tcPr>
            <w:tcW w:w="3106" w:type="dxa"/>
            <w:tcBorders>
              <w:top w:val="single" w:sz="4" w:space="0" w:color="B6B6B6"/>
              <w:bottom w:val="single" w:sz="8" w:space="0" w:color="F47521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Jack L. Wyszomierski</w:t>
            </w:r>
          </w:p>
        </w:tc>
        <w:tc>
          <w:tcPr>
            <w:tcW w:w="496" w:type="dxa"/>
            <w:tcBorders>
              <w:top w:val="single" w:sz="4" w:space="0" w:color="B6B6B6"/>
              <w:bottom w:val="single" w:sz="8" w:space="0" w:color="F47521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70</w:t>
            </w:r>
          </w:p>
        </w:tc>
        <w:tc>
          <w:tcPr>
            <w:tcW w:w="3736" w:type="dxa"/>
            <w:tcBorders>
              <w:top w:val="single" w:sz="4" w:space="0" w:color="B6B6B6"/>
              <w:bottom w:val="single" w:sz="8" w:space="0" w:color="F47521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Independent Director</w:t>
            </w:r>
          </w:p>
        </w:tc>
        <w:tc>
          <w:tcPr>
            <w:tcW w:w="976" w:type="dxa"/>
            <w:tcBorders>
              <w:top w:val="single" w:sz="4" w:space="0" w:color="B6B6B6"/>
              <w:bottom w:val="single" w:sz="8" w:space="0" w:color="F47521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2004 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If elected at the Annual Meeting, each of these director nominees will serve for a one-year term expiring at our next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annual meeting of stockholders in 2027. Each director will hold office until his or her successor has been elected and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qualified, or until the director’s earlier death, resignation or removal. </w:t>
      </w:r>
    </w:p>
    <w:p>
      <w:pPr>
        <w:pStyle w:val="TextBody"/>
        <w:bidi w:val="0"/>
        <w:spacing w:lineRule="atLeast" w:line="24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F47521"/>
          <w:sz w:val="24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F47521"/>
          <w:sz w:val="24"/>
          <w:u w:val="none"/>
          <w:effect w:val="none"/>
        </w:rPr>
        <w:t xml:space="preserve">Majority Voting Standard and Resignation Policy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As this is an uncontested election, each director must be elected by a majority of the votes cast. This means that the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number of shares voted “for” a director must exceed the number of votes cast “against” that director. Our Corporate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Governance Guidelines require that all director nominees set forth in this Proxy Statement have tendered an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irrevocable resignation as a director conditioned upon: (i) such director failing to receive a majority of “for” votes; and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(ii) acceptance by the Board of such resignation. If a director fails to receive a majority of “for” votes, then our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Governance Committee will determine whether to recommend to the Board that it accept such director’s resignation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by evaluating the best interests of the company and its stockholders and considering all relevant factors and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information. Our Board will act on the Governance Committee’s recommendation within ninety days following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certification of the stockholder vote. If the Board determines not to accept the conditional resignation of a director, the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Board will promptly disclose its decision-making process and decision to reject the conditional resignation in a Form 8-K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furnished to the SEC. </w:t>
      </w:r>
    </w:p>
    <w:tbl>
      <w:tblPr>
        <w:tblW w:w="174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61"/>
        <w:gridCol w:w="1381"/>
      </w:tblGrid>
      <w:tr>
        <w:trPr/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  <w:t>10</w:t>
            </w:r>
          </w:p>
        </w:tc>
        <w:tc>
          <w:tcPr>
            <w:tcW w:w="138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Exelixis, Inc.</w:t>
            </w:r>
          </w:p>
        </w:tc>
      </w:tr>
    </w:tbl>
    <w:tbl>
      <w:tblPr>
        <w:tblW w:w="1741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741"/>
      </w:tblGrid>
      <w:tr>
        <w:trPr/>
        <w:tc>
          <w:tcPr>
            <w:tcW w:w="17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4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6d44722bfc2543dbbba9716d9e560c58_16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color w:val="0000FF"/>
                  <w:sz w:val="18"/>
                  <w:u w:val="single"/>
                </w:rPr>
                <w:t>Table of Contents</w:t>
              </w:r>
            </w:hyperlink>
          </w:p>
        </w:tc>
      </w:tr>
    </w:tbl>
    <w:p>
      <w:pPr>
        <w:pStyle w:val="TextBody"/>
        <w:bidi w:val="0"/>
        <w:spacing w:lineRule="atLeast" w:line="24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F47521"/>
          <w:sz w:val="24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F47521"/>
          <w:sz w:val="24"/>
          <w:u w:val="none"/>
          <w:effect w:val="none"/>
        </w:rPr>
        <w:t xml:space="preserve">Board Independence, Qualifications and Skills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The Board regularly evaluates the skills and experiences that it believes are desirable to be represented on the Board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and best align with our strategic vision and business and operations. Below are certain qualifications, skills and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experiences of our director nominees that contribute to the Board’s effectiveness as a whole. </w:t>
      </w:r>
    </w:p>
    <w:tbl>
      <w:tblPr>
        <w:tblW w:w="8134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325"/>
        <w:gridCol w:w="4216"/>
        <w:gridCol w:w="109"/>
        <w:gridCol w:w="109"/>
        <w:gridCol w:w="109"/>
        <w:gridCol w:w="2266"/>
      </w:tblGrid>
      <w:tr>
        <w:trPr/>
        <w:tc>
          <w:tcPr>
            <w:tcW w:w="13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325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16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66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541" w:type="dxa"/>
            <w:gridSpan w:val="2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  <w:t>Board Independence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84" w:type="dxa"/>
            <w:gridSpan w:val="3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  <w:t>Board Tenure</w:t>
            </w:r>
          </w:p>
        </w:tc>
      </w:tr>
      <w:tr>
        <w:trPr/>
        <w:tc>
          <w:tcPr>
            <w:tcW w:w="1325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16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66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3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325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777240" cy="777240"/>
                  <wp:effectExtent l="0" t="0" r="0" b="0"/>
                  <wp:docPr id="11" name="Image1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Image1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7240" cy="777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3" w:name="i-11"/>
            <w:bookmarkEnd w:id="13"/>
          </w:p>
        </w:tc>
        <w:tc>
          <w:tcPr>
            <w:tcW w:w="4216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lineRule="atLeast" w:line="44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44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44"/>
                <w:u w:val="none"/>
                <w:effect w:val="none"/>
              </w:rPr>
              <w:t>91%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(10/11) are “independent” within the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meaning of applicable SEC rules and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Regulations and the Nasdaq listing standards</w:t>
            </w:r>
          </w:p>
        </w:tc>
        <w:tc>
          <w:tcPr>
            <w:tcW w:w="109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6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325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4216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266" w:type="dxa"/>
            <w:tcBorders/>
            <w:shd w:fill="E5E5E5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Over half of our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board members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have a tenure of</w:t>
            </w: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440" w:before="0" w:after="0"/>
              <w:jc w:val="left"/>
              <w:rPr/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44"/>
                <w:u w:val="none"/>
                <w:effect w:val="none"/>
              </w:rPr>
              <w:t>8</w:t>
            </w:r>
            <w:r>
              <w:rPr>
                <w:caps w:val="false"/>
                <w:smallCaps w:val="false"/>
                <w:strike w:val="false"/>
                <w:dstrike w:val="false"/>
                <w:color w:val="F47521"/>
                <w:u w:val="none"/>
                <w:effect w:val="none"/>
              </w:rPr>
              <w:t xml:space="preserve"> </w:t>
            </w: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24"/>
                <w:u w:val="none"/>
                <w:effect w:val="none"/>
              </w:rPr>
              <w:t>years or less</w:t>
            </w:r>
          </w:p>
        </w:tc>
      </w:tr>
      <w:tr>
        <w:trPr/>
        <w:tc>
          <w:tcPr>
            <w:tcW w:w="13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66" w:type="dxa"/>
            <w:tcBorders/>
            <w:shd w:fill="E5E5E5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  <w:shd w:fill="auto" w:val="clear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  <w:shd w:fill="auto" w:val="clear"/>
        </w:rPr>
        <w:t>0-5 Years:</w:t>
      </w:r>
    </w:p>
    <w:p>
      <w:pPr>
        <w:pStyle w:val="TextBody"/>
        <w:bidi w:val="0"/>
        <w:spacing w:before="0" w:after="0"/>
        <w:jc w:val="left"/>
        <w:rPr>
          <w:shd w:fill="auto" w:val="clear"/>
        </w:rPr>
      </w:pPr>
      <w:r>
        <w:rPr>
          <w:shd w:fill="auto" w:val="clear"/>
        </w:rPr>
        <w:drawing>
          <wp:inline distT="0" distB="0" distL="0" distR="0">
            <wp:extent cx="1152525" cy="565150"/>
            <wp:effectExtent l="0" t="0" r="0" b="0"/>
            <wp:docPr id="12" name="Image1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12" descr="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565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14" w:name="i-12"/>
      <w:bookmarkEnd w:id="14"/>
    </w:p>
    <w:tbl>
      <w:tblPr>
        <w:tblW w:w="28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86"/>
      </w:tblGrid>
      <w:tr>
        <w:trPr/>
        <w:tc>
          <w:tcPr>
            <w:tcW w:w="2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  <w:t>5</w:t>
            </w:r>
          </w:p>
        </w:tc>
      </w:tr>
      <w:tr>
        <w:trPr/>
        <w:tc>
          <w:tcPr>
            <w:tcW w:w="2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  <w:t>2</w:t>
            </w:r>
          </w:p>
        </w:tc>
      </w:tr>
      <w:tr>
        <w:trPr/>
        <w:tc>
          <w:tcPr>
            <w:tcW w:w="2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  <w:t>4</w:t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  <w:shd w:fill="auto" w:val="clear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  <w:shd w:fill="auto" w:val="clear"/>
        </w:rPr>
        <w:t>5-10 Years: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  <w:shd w:fill="auto" w:val="clear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  <w:shd w:fill="auto" w:val="clear"/>
        </w:rPr>
        <w:t>10+ Years:</w:t>
      </w:r>
    </w:p>
    <w:tbl>
      <w:tblPr>
        <w:tblW w:w="13044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821"/>
        <w:gridCol w:w="1786"/>
        <w:gridCol w:w="931"/>
        <w:gridCol w:w="931"/>
        <w:gridCol w:w="616"/>
        <w:gridCol w:w="856"/>
        <w:gridCol w:w="826"/>
        <w:gridCol w:w="946"/>
        <w:gridCol w:w="676"/>
        <w:gridCol w:w="1351"/>
        <w:gridCol w:w="586"/>
        <w:gridCol w:w="646"/>
        <w:gridCol w:w="1321"/>
        <w:gridCol w:w="751"/>
      </w:tblGrid>
      <w:tr>
        <w:trPr/>
        <w:tc>
          <w:tcPr>
            <w:tcW w:w="8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3044" w:type="dxa"/>
            <w:gridSpan w:val="14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3044" w:type="dxa"/>
            <w:gridSpan w:val="14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  <w:t>Board Skills</w:t>
            </w:r>
          </w:p>
        </w:tc>
      </w:tr>
      <w:tr>
        <w:trPr/>
        <w:tc>
          <w:tcPr>
            <w:tcW w:w="13044" w:type="dxa"/>
            <w:gridSpan w:val="14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86" w:type="dxa"/>
            <w:tcBorders>
              <w:right w:val="single" w:sz="2" w:space="0" w:color="3F3F3F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86" w:type="dxa"/>
            <w:gridSpan w:val="11"/>
            <w:tcBorders>
              <w:left w:val="single" w:sz="2" w:space="0" w:color="3F3F3F"/>
              <w:bottom w:val="single" w:sz="2" w:space="0" w:color="3F3F3F"/>
              <w:right w:val="single" w:sz="2" w:space="0" w:color="3F3F3F"/>
            </w:tcBorders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Board Member</w:t>
            </w:r>
          </w:p>
        </w:tc>
        <w:tc>
          <w:tcPr>
            <w:tcW w:w="751" w:type="dxa"/>
            <w:tcBorders>
              <w:left w:val="single" w:sz="2" w:space="0" w:color="3F3F3F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21" w:type="dxa"/>
            <w:tcBorders>
              <w:bottom w:val="single" w:sz="4" w:space="0" w:color="3F3F3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86" w:type="dxa"/>
            <w:tcBorders>
              <w:bottom w:val="single" w:sz="4" w:space="0" w:color="3F3F3F"/>
              <w:right w:val="single" w:sz="2" w:space="0" w:color="3F3F3F"/>
            </w:tcBorders>
            <w:tcMar>
              <w:top w:w="0" w:type="dxa"/>
              <w:lef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>
              <w:top w:val="single" w:sz="2" w:space="0" w:color="3F3F3F"/>
              <w:left w:val="single" w:sz="2" w:space="0" w:color="3F3F3F"/>
              <w:bottom w:val="single" w:sz="4" w:space="0" w:color="3F3F3F"/>
              <w:right w:val="single" w:sz="2" w:space="0" w:color="3F3F3F"/>
            </w:tcBorders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Beckerle </w:t>
            </w:r>
          </w:p>
        </w:tc>
        <w:tc>
          <w:tcPr>
            <w:tcW w:w="931" w:type="dxa"/>
            <w:tcBorders>
              <w:top w:val="single" w:sz="2" w:space="0" w:color="3F3F3F"/>
              <w:left w:val="single" w:sz="2" w:space="0" w:color="3F3F3F"/>
              <w:bottom w:val="single" w:sz="4" w:space="0" w:color="3F3F3F"/>
              <w:right w:val="single" w:sz="2" w:space="0" w:color="3F3F3F"/>
            </w:tcBorders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Eckhardt</w:t>
            </w:r>
          </w:p>
        </w:tc>
        <w:tc>
          <w:tcPr>
            <w:tcW w:w="616" w:type="dxa"/>
            <w:tcBorders>
              <w:top w:val="single" w:sz="2" w:space="0" w:color="3F3F3F"/>
              <w:left w:val="single" w:sz="2" w:space="0" w:color="3F3F3F"/>
              <w:bottom w:val="single" w:sz="4" w:space="0" w:color="3F3F3F"/>
              <w:right w:val="single" w:sz="2" w:space="0" w:color="3F3F3F"/>
            </w:tcBorders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Freire</w:t>
            </w:r>
          </w:p>
        </w:tc>
        <w:tc>
          <w:tcPr>
            <w:tcW w:w="856" w:type="dxa"/>
            <w:tcBorders>
              <w:top w:val="single" w:sz="2" w:space="0" w:color="3F3F3F"/>
              <w:left w:val="single" w:sz="2" w:space="0" w:color="3F3F3F"/>
              <w:bottom w:val="single" w:sz="4" w:space="0" w:color="3F3F3F"/>
              <w:right w:val="single" w:sz="2" w:space="0" w:color="3F3F3F"/>
            </w:tcBorders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Heyman</w:t>
            </w:r>
          </w:p>
        </w:tc>
        <w:tc>
          <w:tcPr>
            <w:tcW w:w="826" w:type="dxa"/>
            <w:tcBorders>
              <w:top w:val="single" w:sz="2" w:space="0" w:color="3F3F3F"/>
              <w:left w:val="single" w:sz="2" w:space="0" w:color="3F3F3F"/>
              <w:bottom w:val="single" w:sz="4" w:space="0" w:color="3F3F3F"/>
              <w:right w:val="single" w:sz="2" w:space="0" w:color="3F3F3F"/>
            </w:tcBorders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Johnson</w:t>
            </w:r>
          </w:p>
        </w:tc>
        <w:tc>
          <w:tcPr>
            <w:tcW w:w="946" w:type="dxa"/>
            <w:tcBorders>
              <w:top w:val="single" w:sz="2" w:space="0" w:color="3F3F3F"/>
              <w:left w:val="single" w:sz="2" w:space="0" w:color="3F3F3F"/>
              <w:bottom w:val="single" w:sz="4" w:space="0" w:color="3F3F3F"/>
              <w:right w:val="single" w:sz="2" w:space="0" w:color="3F3F3F"/>
            </w:tcBorders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Morrissey</w:t>
            </w:r>
          </w:p>
        </w:tc>
        <w:tc>
          <w:tcPr>
            <w:tcW w:w="676" w:type="dxa"/>
            <w:tcBorders>
              <w:top w:val="single" w:sz="2" w:space="0" w:color="3F3F3F"/>
              <w:left w:val="single" w:sz="2" w:space="0" w:color="3F3F3F"/>
              <w:bottom w:val="single" w:sz="4" w:space="0" w:color="3F3F3F"/>
              <w:right w:val="single" w:sz="2" w:space="0" w:color="3F3F3F"/>
            </w:tcBorders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Oliver, Jr.</w:t>
            </w:r>
          </w:p>
        </w:tc>
        <w:tc>
          <w:tcPr>
            <w:tcW w:w="1351" w:type="dxa"/>
            <w:tcBorders>
              <w:top w:val="single" w:sz="2" w:space="0" w:color="3F3F3F"/>
              <w:left w:val="single" w:sz="2" w:space="0" w:color="3F3F3F"/>
              <w:bottom w:val="single" w:sz="4" w:space="0" w:color="3F3F3F"/>
              <w:right w:val="single" w:sz="2" w:space="0" w:color="3F3F3F"/>
            </w:tcBorders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Papadopoulos</w:t>
            </w:r>
          </w:p>
        </w:tc>
        <w:tc>
          <w:tcPr>
            <w:tcW w:w="586" w:type="dxa"/>
            <w:tcBorders>
              <w:top w:val="single" w:sz="2" w:space="0" w:color="3F3F3F"/>
              <w:left w:val="single" w:sz="2" w:space="0" w:color="3F3F3F"/>
              <w:bottom w:val="single" w:sz="4" w:space="0" w:color="3F3F3F"/>
              <w:right w:val="single" w:sz="2" w:space="0" w:color="3F3F3F"/>
            </w:tcBorders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Poste</w:t>
            </w:r>
          </w:p>
        </w:tc>
        <w:tc>
          <w:tcPr>
            <w:tcW w:w="646" w:type="dxa"/>
            <w:tcBorders>
              <w:top w:val="single" w:sz="2" w:space="0" w:color="3F3F3F"/>
              <w:left w:val="single" w:sz="2" w:space="0" w:color="3F3F3F"/>
              <w:bottom w:val="single" w:sz="4" w:space="0" w:color="3F3F3F"/>
              <w:right w:val="single" w:sz="2" w:space="0" w:color="3F3F3F"/>
            </w:tcBorders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Smith</w:t>
            </w:r>
          </w:p>
        </w:tc>
        <w:tc>
          <w:tcPr>
            <w:tcW w:w="1321" w:type="dxa"/>
            <w:tcBorders>
              <w:top w:val="single" w:sz="2" w:space="0" w:color="3F3F3F"/>
              <w:left w:val="single" w:sz="2" w:space="0" w:color="3F3F3F"/>
              <w:bottom w:val="single" w:sz="4" w:space="0" w:color="3F3F3F"/>
              <w:right w:val="single" w:sz="2" w:space="0" w:color="3F3F3F"/>
            </w:tcBorders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Wyszomierski</w:t>
            </w:r>
          </w:p>
        </w:tc>
        <w:tc>
          <w:tcPr>
            <w:tcW w:w="751" w:type="dxa"/>
            <w:tcBorders>
              <w:left w:val="single" w:sz="2" w:space="0" w:color="3F3F3F"/>
              <w:bottom w:val="single" w:sz="4" w:space="0" w:color="3F3F3F"/>
            </w:tcBorders>
            <w:tcMar>
              <w:top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21" w:type="dxa"/>
            <w:tcBorders>
              <w:top w:val="single" w:sz="4" w:space="0" w:color="3F3F3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457200" cy="454025"/>
                  <wp:effectExtent l="0" t="0" r="0" b="0"/>
                  <wp:docPr id="13" name="Image1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Image1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454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5" w:name="i-13"/>
            <w:bookmarkEnd w:id="15"/>
          </w:p>
        </w:tc>
        <w:tc>
          <w:tcPr>
            <w:tcW w:w="1786" w:type="dxa"/>
            <w:tcBorders>
              <w:top w:val="single" w:sz="4" w:space="0" w:color="3F3F3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  <w:t>Financial Expertise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 xml:space="preserve">Experience or expertise in financial accounting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 xml:space="preserve">and reporting or the financial management of a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major organization</w:t>
            </w:r>
          </w:p>
        </w:tc>
        <w:tc>
          <w:tcPr>
            <w:tcW w:w="931" w:type="dxa"/>
            <w:tcBorders>
              <w:top w:val="single" w:sz="4" w:space="0" w:color="3F3F3F"/>
            </w:tcBorders>
            <w:shd w:fill="E5E5E5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91440" cy="91440"/>
                  <wp:effectExtent l="0" t="0" r="0" b="0"/>
                  <wp:docPr id="14" name="Image1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mage1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" cy="91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6" w:name="i-14"/>
            <w:bookmarkEnd w:id="16"/>
          </w:p>
        </w:tc>
        <w:tc>
          <w:tcPr>
            <w:tcW w:w="931" w:type="dxa"/>
            <w:tcBorders>
              <w:top w:val="single" w:sz="4" w:space="0" w:color="3F3F3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91440" cy="91440"/>
                  <wp:effectExtent l="0" t="0" r="0" b="0"/>
                  <wp:docPr id="15" name="Image1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Image1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" cy="91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7" w:name="i-15"/>
            <w:bookmarkEnd w:id="17"/>
          </w:p>
        </w:tc>
        <w:tc>
          <w:tcPr>
            <w:tcW w:w="616" w:type="dxa"/>
            <w:tcBorders>
              <w:top w:val="single" w:sz="4" w:space="0" w:color="3F3F3F"/>
            </w:tcBorders>
            <w:shd w:fill="E5E5E5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91440" cy="91440"/>
                  <wp:effectExtent l="0" t="0" r="0" b="0"/>
                  <wp:docPr id="16" name="Image1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Image1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" cy="91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8" w:name="i-16"/>
            <w:bookmarkEnd w:id="18"/>
          </w:p>
        </w:tc>
        <w:tc>
          <w:tcPr>
            <w:tcW w:w="856" w:type="dxa"/>
            <w:tcBorders>
              <w:top w:val="single" w:sz="4" w:space="0" w:color="3F3F3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91440" cy="91440"/>
                  <wp:effectExtent l="0" t="0" r="0" b="0"/>
                  <wp:docPr id="17" name="Image17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Image17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" cy="91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9" w:name="i-17"/>
            <w:bookmarkEnd w:id="19"/>
          </w:p>
        </w:tc>
        <w:tc>
          <w:tcPr>
            <w:tcW w:w="826" w:type="dxa"/>
            <w:tcBorders>
              <w:top w:val="single" w:sz="4" w:space="0" w:color="3F3F3F"/>
            </w:tcBorders>
            <w:shd w:fill="E5E5E5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91440" cy="91440"/>
                  <wp:effectExtent l="0" t="0" r="0" b="0"/>
                  <wp:docPr id="18" name="Image18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Image18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" cy="91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0" w:name="i-18"/>
            <w:bookmarkEnd w:id="20"/>
          </w:p>
        </w:tc>
        <w:tc>
          <w:tcPr>
            <w:tcW w:w="946" w:type="dxa"/>
            <w:tcBorders>
              <w:top w:val="single" w:sz="4" w:space="0" w:color="3F3F3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91440" cy="91440"/>
                  <wp:effectExtent l="0" t="0" r="0" b="0"/>
                  <wp:docPr id="19" name="Image19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Image19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" cy="91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1" w:name="i-19"/>
            <w:bookmarkEnd w:id="21"/>
          </w:p>
        </w:tc>
        <w:tc>
          <w:tcPr>
            <w:tcW w:w="676" w:type="dxa"/>
            <w:tcBorders>
              <w:top w:val="single" w:sz="4" w:space="0" w:color="3F3F3F"/>
            </w:tcBorders>
            <w:shd w:fill="E5E5E5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91440" cy="91440"/>
                  <wp:effectExtent l="0" t="0" r="0" b="0"/>
                  <wp:docPr id="20" name="Image20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Image20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" cy="91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2" w:name="i-20"/>
            <w:bookmarkEnd w:id="22"/>
          </w:p>
        </w:tc>
        <w:tc>
          <w:tcPr>
            <w:tcW w:w="1351" w:type="dxa"/>
            <w:tcBorders>
              <w:top w:val="single" w:sz="4" w:space="0" w:color="3F3F3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91440" cy="91440"/>
                  <wp:effectExtent l="0" t="0" r="0" b="0"/>
                  <wp:docPr id="21" name="Image2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Image2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" cy="91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3" w:name="i-21"/>
            <w:bookmarkEnd w:id="23"/>
          </w:p>
        </w:tc>
        <w:tc>
          <w:tcPr>
            <w:tcW w:w="586" w:type="dxa"/>
            <w:tcBorders>
              <w:top w:val="single" w:sz="4" w:space="0" w:color="3F3F3F"/>
            </w:tcBorders>
            <w:shd w:fill="E5E5E5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>
              <w:top w:val="single" w:sz="4" w:space="0" w:color="3F3F3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91440" cy="91440"/>
                  <wp:effectExtent l="0" t="0" r="0" b="0"/>
                  <wp:docPr id="22" name="Image2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Image2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" cy="91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4" w:name="i-22"/>
            <w:bookmarkEnd w:id="24"/>
          </w:p>
        </w:tc>
        <w:tc>
          <w:tcPr>
            <w:tcW w:w="1321" w:type="dxa"/>
            <w:tcBorders>
              <w:top w:val="single" w:sz="4" w:space="0" w:color="3F3F3F"/>
            </w:tcBorders>
            <w:shd w:fill="E5E5E5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91440" cy="91440"/>
                  <wp:effectExtent l="0" t="0" r="0" b="0"/>
                  <wp:docPr id="23" name="Image2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mage2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" cy="91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5" w:name="i-23"/>
            <w:bookmarkEnd w:id="25"/>
          </w:p>
        </w:tc>
        <w:tc>
          <w:tcPr>
            <w:tcW w:w="751" w:type="dxa"/>
            <w:tcBorders>
              <w:top w:val="single" w:sz="4" w:space="0" w:color="3F3F3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20"/>
                <w:u w:val="none"/>
                <w:effect w:val="none"/>
              </w:rPr>
              <w:t>91% (10/11)</w:t>
            </w:r>
          </w:p>
        </w:tc>
      </w:tr>
      <w:tr>
        <w:trPr/>
        <w:tc>
          <w:tcPr>
            <w:tcW w:w="821" w:type="dxa"/>
            <w:tcBorders>
              <w:bottom w:val="single" w:sz="4" w:space="0" w:color="3F3F3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86" w:type="dxa"/>
            <w:tcBorders>
              <w:bottom w:val="single" w:sz="4" w:space="0" w:color="3F3F3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>
              <w:bottom w:val="single" w:sz="4" w:space="0" w:color="3F3F3F"/>
            </w:tcBorders>
            <w:shd w:fill="E5E5E5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>
              <w:bottom w:val="single" w:sz="4" w:space="0" w:color="3F3F3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bottom w:val="single" w:sz="4" w:space="0" w:color="3F3F3F"/>
            </w:tcBorders>
            <w:shd w:fill="E5E5E5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6" w:type="dxa"/>
            <w:tcBorders>
              <w:bottom w:val="single" w:sz="4" w:space="0" w:color="3F3F3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>
              <w:bottom w:val="single" w:sz="4" w:space="0" w:color="3F3F3F"/>
            </w:tcBorders>
            <w:shd w:fill="E5E5E5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tcBorders>
              <w:bottom w:val="single" w:sz="4" w:space="0" w:color="3F3F3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6" w:type="dxa"/>
            <w:tcBorders>
              <w:bottom w:val="single" w:sz="4" w:space="0" w:color="3F3F3F"/>
            </w:tcBorders>
            <w:shd w:fill="E5E5E5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51" w:type="dxa"/>
            <w:tcBorders>
              <w:bottom w:val="single" w:sz="4" w:space="0" w:color="3F3F3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86" w:type="dxa"/>
            <w:tcBorders>
              <w:bottom w:val="single" w:sz="4" w:space="0" w:color="3F3F3F"/>
            </w:tcBorders>
            <w:shd w:fill="E5E5E5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>
              <w:bottom w:val="single" w:sz="4" w:space="0" w:color="3F3F3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1" w:type="dxa"/>
            <w:tcBorders>
              <w:bottom w:val="single" w:sz="4" w:space="0" w:color="3F3F3F"/>
            </w:tcBorders>
            <w:shd w:fill="E5E5E5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1" w:type="dxa"/>
            <w:tcBorders>
              <w:bottom w:val="single" w:sz="4" w:space="0" w:color="3F3F3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21" w:type="dxa"/>
            <w:tcBorders>
              <w:top w:val="single" w:sz="4" w:space="0" w:color="3F3F3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86" w:type="dxa"/>
            <w:tcBorders>
              <w:top w:val="single" w:sz="4" w:space="0" w:color="3F3F3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>
              <w:top w:val="single" w:sz="4" w:space="0" w:color="3F3F3F"/>
            </w:tcBorders>
            <w:shd w:fill="E5E5E5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>
              <w:top w:val="single" w:sz="4" w:space="0" w:color="3F3F3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top w:val="single" w:sz="4" w:space="0" w:color="3F3F3F"/>
            </w:tcBorders>
            <w:shd w:fill="E5E5E5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6" w:type="dxa"/>
            <w:tcBorders>
              <w:top w:val="single" w:sz="4" w:space="0" w:color="3F3F3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>
              <w:top w:val="single" w:sz="4" w:space="0" w:color="3F3F3F"/>
            </w:tcBorders>
            <w:shd w:fill="E5E5E5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tcBorders>
              <w:top w:val="single" w:sz="4" w:space="0" w:color="3F3F3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6" w:type="dxa"/>
            <w:tcBorders>
              <w:top w:val="single" w:sz="4" w:space="0" w:color="3F3F3F"/>
            </w:tcBorders>
            <w:shd w:fill="E5E5E5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51" w:type="dxa"/>
            <w:tcBorders>
              <w:top w:val="single" w:sz="4" w:space="0" w:color="3F3F3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86" w:type="dxa"/>
            <w:tcBorders>
              <w:top w:val="single" w:sz="4" w:space="0" w:color="3F3F3F"/>
            </w:tcBorders>
            <w:shd w:fill="E5E5E5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>
              <w:top w:val="single" w:sz="4" w:space="0" w:color="3F3F3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1" w:type="dxa"/>
            <w:tcBorders>
              <w:top w:val="single" w:sz="4" w:space="0" w:color="3F3F3F"/>
            </w:tcBorders>
            <w:shd w:fill="E5E5E5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1" w:type="dxa"/>
            <w:tcBorders>
              <w:top w:val="single" w:sz="4" w:space="0" w:color="3F3F3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2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457200" cy="454025"/>
                  <wp:effectExtent l="0" t="0" r="0" b="0"/>
                  <wp:docPr id="24" name="Image2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Image2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454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6" w:name="i-24"/>
            <w:bookmarkEnd w:id="26"/>
          </w:p>
        </w:tc>
        <w:tc>
          <w:tcPr>
            <w:tcW w:w="17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  <w:t>Commercial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 xml:space="preserve">Understanding of financial, operational, regulatory and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 xml:space="preserve">strategic issues related to the sales of pharmaceutical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or biotechnology products</w:t>
            </w:r>
          </w:p>
        </w:tc>
        <w:tc>
          <w:tcPr>
            <w:tcW w:w="931" w:type="dxa"/>
            <w:tcBorders/>
            <w:shd w:fill="E5E5E5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91440" cy="91440"/>
                  <wp:effectExtent l="0" t="0" r="0" b="0"/>
                  <wp:docPr id="25" name="Image2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Image2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" cy="91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7" w:name="i-25"/>
            <w:bookmarkEnd w:id="27"/>
          </w:p>
        </w:tc>
        <w:tc>
          <w:tcPr>
            <w:tcW w:w="616" w:type="dxa"/>
            <w:tcBorders/>
            <w:shd w:fill="E5E5E5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91440" cy="91440"/>
                  <wp:effectExtent l="0" t="0" r="0" b="0"/>
                  <wp:docPr id="26" name="Image2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Image2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" cy="91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8" w:name="i-26"/>
            <w:bookmarkEnd w:id="28"/>
          </w:p>
        </w:tc>
        <w:tc>
          <w:tcPr>
            <w:tcW w:w="826" w:type="dxa"/>
            <w:tcBorders/>
            <w:shd w:fill="E5E5E5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91440" cy="91440"/>
                  <wp:effectExtent l="0" t="0" r="0" b="0"/>
                  <wp:docPr id="27" name="Image27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Image27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" cy="91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9" w:name="i-27"/>
            <w:bookmarkEnd w:id="29"/>
          </w:p>
        </w:tc>
        <w:tc>
          <w:tcPr>
            <w:tcW w:w="676" w:type="dxa"/>
            <w:tcBorders/>
            <w:shd w:fill="E5E5E5" w:val="clear"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91440" cy="91440"/>
                  <wp:effectExtent l="0" t="0" r="0" b="0"/>
                  <wp:docPr id="28" name="Image28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Image28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" cy="91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30" w:name="i-28"/>
            <w:bookmarkEnd w:id="30"/>
          </w:p>
        </w:tc>
        <w:tc>
          <w:tcPr>
            <w:tcW w:w="135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91440" cy="91440"/>
                  <wp:effectExtent l="0" t="0" r="0" b="0"/>
                  <wp:docPr id="29" name="Image29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Image29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" cy="91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31" w:name="i-29"/>
            <w:bookmarkEnd w:id="31"/>
          </w:p>
        </w:tc>
        <w:tc>
          <w:tcPr>
            <w:tcW w:w="586" w:type="dxa"/>
            <w:tcBorders/>
            <w:shd w:fill="E5E5E5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91440" cy="91440"/>
                  <wp:effectExtent l="0" t="0" r="0" b="0"/>
                  <wp:docPr id="30" name="Image30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Image30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" cy="91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32" w:name="i-30"/>
            <w:bookmarkEnd w:id="32"/>
          </w:p>
        </w:tc>
        <w:tc>
          <w:tcPr>
            <w:tcW w:w="1321" w:type="dxa"/>
            <w:tcBorders/>
            <w:shd w:fill="E5E5E5" w:val="clear"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91440" cy="91440"/>
                  <wp:effectExtent l="0" t="0" r="0" b="0"/>
                  <wp:docPr id="31" name="Image3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Image3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" cy="91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33" w:name="i-31"/>
            <w:bookmarkEnd w:id="33"/>
          </w:p>
        </w:tc>
        <w:tc>
          <w:tcPr>
            <w:tcW w:w="75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20"/>
                <w:u w:val="none"/>
                <w:effect w:val="none"/>
              </w:rPr>
              <w:t>64% (7/11)</w:t>
            </w:r>
          </w:p>
        </w:tc>
      </w:tr>
      <w:tr>
        <w:trPr/>
        <w:tc>
          <w:tcPr>
            <w:tcW w:w="821" w:type="dxa"/>
            <w:tcBorders>
              <w:bottom w:val="single" w:sz="4" w:space="0" w:color="3F3F3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86" w:type="dxa"/>
            <w:tcBorders>
              <w:bottom w:val="single" w:sz="4" w:space="0" w:color="3F3F3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>
              <w:bottom w:val="single" w:sz="4" w:space="0" w:color="3F3F3F"/>
            </w:tcBorders>
            <w:shd w:fill="E5E5E5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>
              <w:bottom w:val="single" w:sz="4" w:space="0" w:color="3F3F3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bottom w:val="single" w:sz="4" w:space="0" w:color="3F3F3F"/>
            </w:tcBorders>
            <w:shd w:fill="E5E5E5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6" w:type="dxa"/>
            <w:tcBorders>
              <w:bottom w:val="single" w:sz="4" w:space="0" w:color="3F3F3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>
              <w:bottom w:val="single" w:sz="4" w:space="0" w:color="3F3F3F"/>
            </w:tcBorders>
            <w:shd w:fill="E5E5E5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tcBorders>
              <w:bottom w:val="single" w:sz="4" w:space="0" w:color="3F3F3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6" w:type="dxa"/>
            <w:tcBorders>
              <w:bottom w:val="single" w:sz="4" w:space="0" w:color="3F3F3F"/>
            </w:tcBorders>
            <w:shd w:fill="E5E5E5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51" w:type="dxa"/>
            <w:tcBorders>
              <w:bottom w:val="single" w:sz="4" w:space="0" w:color="3F3F3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86" w:type="dxa"/>
            <w:tcBorders>
              <w:bottom w:val="single" w:sz="4" w:space="0" w:color="3F3F3F"/>
            </w:tcBorders>
            <w:shd w:fill="E5E5E5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>
              <w:bottom w:val="single" w:sz="4" w:space="0" w:color="3F3F3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1" w:type="dxa"/>
            <w:tcBorders>
              <w:bottom w:val="single" w:sz="4" w:space="0" w:color="3F3F3F"/>
            </w:tcBorders>
            <w:shd w:fill="E5E5E5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1" w:type="dxa"/>
            <w:tcBorders>
              <w:bottom w:val="single" w:sz="4" w:space="0" w:color="3F3F3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21" w:type="dxa"/>
            <w:tcBorders>
              <w:top w:val="single" w:sz="4" w:space="0" w:color="3F3F3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86" w:type="dxa"/>
            <w:tcBorders>
              <w:top w:val="single" w:sz="4" w:space="0" w:color="3F3F3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>
              <w:top w:val="single" w:sz="4" w:space="0" w:color="3F3F3F"/>
            </w:tcBorders>
            <w:shd w:fill="E5E5E5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>
              <w:top w:val="single" w:sz="4" w:space="0" w:color="3F3F3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top w:val="single" w:sz="4" w:space="0" w:color="3F3F3F"/>
            </w:tcBorders>
            <w:shd w:fill="E5E5E5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6" w:type="dxa"/>
            <w:tcBorders>
              <w:top w:val="single" w:sz="4" w:space="0" w:color="3F3F3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>
              <w:top w:val="single" w:sz="4" w:space="0" w:color="3F3F3F"/>
            </w:tcBorders>
            <w:shd w:fill="E5E5E5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tcBorders>
              <w:top w:val="single" w:sz="4" w:space="0" w:color="3F3F3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6" w:type="dxa"/>
            <w:tcBorders>
              <w:top w:val="single" w:sz="4" w:space="0" w:color="3F3F3F"/>
            </w:tcBorders>
            <w:shd w:fill="E5E5E5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51" w:type="dxa"/>
            <w:tcBorders>
              <w:top w:val="single" w:sz="4" w:space="0" w:color="3F3F3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86" w:type="dxa"/>
            <w:tcBorders>
              <w:top w:val="single" w:sz="4" w:space="0" w:color="3F3F3F"/>
            </w:tcBorders>
            <w:shd w:fill="E5E5E5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>
              <w:top w:val="single" w:sz="4" w:space="0" w:color="3F3F3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1" w:type="dxa"/>
            <w:tcBorders>
              <w:top w:val="single" w:sz="4" w:space="0" w:color="3F3F3F"/>
            </w:tcBorders>
            <w:shd w:fill="E5E5E5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1" w:type="dxa"/>
            <w:tcBorders>
              <w:top w:val="single" w:sz="4" w:space="0" w:color="3F3F3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2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457200" cy="454025"/>
                  <wp:effectExtent l="0" t="0" r="0" b="0"/>
                  <wp:docPr id="32" name="Image3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Image3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454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34" w:name="i-32"/>
            <w:bookmarkEnd w:id="34"/>
          </w:p>
        </w:tc>
        <w:tc>
          <w:tcPr>
            <w:tcW w:w="17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  <w:t>Public Company Governance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 xml:space="preserve">Multiple years of experience as a board member of a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 xml:space="preserve">publicly traded company and familiarity with key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corporate governance matters</w:t>
            </w:r>
          </w:p>
        </w:tc>
        <w:tc>
          <w:tcPr>
            <w:tcW w:w="931" w:type="dxa"/>
            <w:tcBorders/>
            <w:shd w:fill="E5E5E5" w:val="clear"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91440" cy="91440"/>
                  <wp:effectExtent l="0" t="0" r="0" b="0"/>
                  <wp:docPr id="33" name="Image3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" name="Image3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" cy="91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35" w:name="i-33"/>
            <w:bookmarkEnd w:id="35"/>
          </w:p>
        </w:tc>
        <w:tc>
          <w:tcPr>
            <w:tcW w:w="9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91440" cy="91440"/>
                  <wp:effectExtent l="0" t="0" r="0" b="0"/>
                  <wp:docPr id="34" name="Image3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Image3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" cy="91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36" w:name="i-34"/>
            <w:bookmarkEnd w:id="36"/>
          </w:p>
        </w:tc>
        <w:tc>
          <w:tcPr>
            <w:tcW w:w="616" w:type="dxa"/>
            <w:tcBorders/>
            <w:shd w:fill="E5E5E5" w:val="clear"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91440" cy="91440"/>
                  <wp:effectExtent l="0" t="0" r="0" b="0"/>
                  <wp:docPr id="35" name="Image3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Image3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" cy="91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37" w:name="i-35"/>
            <w:bookmarkEnd w:id="37"/>
          </w:p>
        </w:tc>
        <w:tc>
          <w:tcPr>
            <w:tcW w:w="85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91440" cy="91440"/>
                  <wp:effectExtent l="0" t="0" r="0" b="0"/>
                  <wp:docPr id="36" name="Image3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Image3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" cy="91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38" w:name="i-36"/>
            <w:bookmarkEnd w:id="38"/>
          </w:p>
        </w:tc>
        <w:tc>
          <w:tcPr>
            <w:tcW w:w="826" w:type="dxa"/>
            <w:tcBorders/>
            <w:shd w:fill="E5E5E5" w:val="clear"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91440" cy="91440"/>
                  <wp:effectExtent l="0" t="0" r="0" b="0"/>
                  <wp:docPr id="37" name="Image37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" name="Image37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" cy="91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39" w:name="i-37"/>
            <w:bookmarkEnd w:id="39"/>
          </w:p>
        </w:tc>
        <w:tc>
          <w:tcPr>
            <w:tcW w:w="94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91440" cy="91440"/>
                  <wp:effectExtent l="0" t="0" r="0" b="0"/>
                  <wp:docPr id="38" name="Image38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" name="Image38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" cy="91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40" w:name="i-38"/>
            <w:bookmarkEnd w:id="40"/>
          </w:p>
        </w:tc>
        <w:tc>
          <w:tcPr>
            <w:tcW w:w="676" w:type="dxa"/>
            <w:tcBorders/>
            <w:shd w:fill="E5E5E5" w:val="clear"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91440" cy="91440"/>
                  <wp:effectExtent l="0" t="0" r="0" b="0"/>
                  <wp:docPr id="39" name="Image39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" name="Image39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" cy="91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41" w:name="i-39"/>
            <w:bookmarkEnd w:id="41"/>
          </w:p>
        </w:tc>
        <w:tc>
          <w:tcPr>
            <w:tcW w:w="135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91440" cy="91440"/>
                  <wp:effectExtent l="0" t="0" r="0" b="0"/>
                  <wp:docPr id="40" name="Image40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Image40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" cy="91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42" w:name="i-40"/>
            <w:bookmarkEnd w:id="42"/>
          </w:p>
        </w:tc>
        <w:tc>
          <w:tcPr>
            <w:tcW w:w="586" w:type="dxa"/>
            <w:tcBorders/>
            <w:shd w:fill="E5E5E5" w:val="clear"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91440" cy="91440"/>
                  <wp:effectExtent l="0" t="0" r="0" b="0"/>
                  <wp:docPr id="41" name="Image4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" name="Image4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" cy="91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43" w:name="i-41"/>
            <w:bookmarkEnd w:id="43"/>
          </w:p>
        </w:tc>
        <w:tc>
          <w:tcPr>
            <w:tcW w:w="64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91440" cy="91440"/>
                  <wp:effectExtent l="0" t="0" r="0" b="0"/>
                  <wp:docPr id="42" name="Image4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Image4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" cy="91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44" w:name="i-42"/>
            <w:bookmarkEnd w:id="44"/>
          </w:p>
        </w:tc>
        <w:tc>
          <w:tcPr>
            <w:tcW w:w="1321" w:type="dxa"/>
            <w:tcBorders/>
            <w:shd w:fill="E5E5E5" w:val="clear"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91440" cy="91440"/>
                  <wp:effectExtent l="0" t="0" r="0" b="0"/>
                  <wp:docPr id="43" name="Image4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" name="Image4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" cy="91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45" w:name="i-43"/>
            <w:bookmarkEnd w:id="45"/>
          </w:p>
        </w:tc>
        <w:tc>
          <w:tcPr>
            <w:tcW w:w="75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20"/>
                <w:u w:val="none"/>
                <w:effect w:val="none"/>
              </w:rPr>
              <w:t>100% (11/11)</w:t>
            </w:r>
          </w:p>
        </w:tc>
      </w:tr>
      <w:tr>
        <w:trPr/>
        <w:tc>
          <w:tcPr>
            <w:tcW w:w="821" w:type="dxa"/>
            <w:tcBorders>
              <w:bottom w:val="single" w:sz="4" w:space="0" w:color="3F3F3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86" w:type="dxa"/>
            <w:tcBorders>
              <w:bottom w:val="single" w:sz="4" w:space="0" w:color="3F3F3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>
              <w:bottom w:val="single" w:sz="4" w:space="0" w:color="3F3F3F"/>
            </w:tcBorders>
            <w:shd w:fill="E5E5E5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>
              <w:bottom w:val="single" w:sz="4" w:space="0" w:color="3F3F3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bottom w:val="single" w:sz="4" w:space="0" w:color="3F3F3F"/>
            </w:tcBorders>
            <w:shd w:fill="E5E5E5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6" w:type="dxa"/>
            <w:tcBorders>
              <w:bottom w:val="single" w:sz="4" w:space="0" w:color="3F3F3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>
              <w:bottom w:val="single" w:sz="4" w:space="0" w:color="3F3F3F"/>
            </w:tcBorders>
            <w:shd w:fill="E5E5E5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tcBorders>
              <w:bottom w:val="single" w:sz="4" w:space="0" w:color="3F3F3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6" w:type="dxa"/>
            <w:tcBorders>
              <w:bottom w:val="single" w:sz="4" w:space="0" w:color="3F3F3F"/>
            </w:tcBorders>
            <w:shd w:fill="E5E5E5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51" w:type="dxa"/>
            <w:tcBorders>
              <w:bottom w:val="single" w:sz="4" w:space="0" w:color="3F3F3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86" w:type="dxa"/>
            <w:tcBorders>
              <w:bottom w:val="single" w:sz="4" w:space="0" w:color="3F3F3F"/>
            </w:tcBorders>
            <w:shd w:fill="E5E5E5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>
              <w:bottom w:val="single" w:sz="4" w:space="0" w:color="3F3F3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1" w:type="dxa"/>
            <w:tcBorders>
              <w:bottom w:val="single" w:sz="4" w:space="0" w:color="3F3F3F"/>
            </w:tcBorders>
            <w:shd w:fill="E5E5E5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1" w:type="dxa"/>
            <w:tcBorders>
              <w:bottom w:val="single" w:sz="4" w:space="0" w:color="3F3F3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21" w:type="dxa"/>
            <w:tcBorders>
              <w:top w:val="single" w:sz="4" w:space="0" w:color="3F3F3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86" w:type="dxa"/>
            <w:tcBorders>
              <w:top w:val="single" w:sz="4" w:space="0" w:color="3F3F3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>
              <w:top w:val="single" w:sz="4" w:space="0" w:color="3F3F3F"/>
            </w:tcBorders>
            <w:shd w:fill="E5E5E5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>
              <w:top w:val="single" w:sz="4" w:space="0" w:color="3F3F3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top w:val="single" w:sz="4" w:space="0" w:color="3F3F3F"/>
            </w:tcBorders>
            <w:shd w:fill="E5E5E5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6" w:type="dxa"/>
            <w:tcBorders>
              <w:top w:val="single" w:sz="4" w:space="0" w:color="3F3F3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>
              <w:top w:val="single" w:sz="4" w:space="0" w:color="3F3F3F"/>
            </w:tcBorders>
            <w:shd w:fill="E5E5E5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tcBorders>
              <w:top w:val="single" w:sz="4" w:space="0" w:color="3F3F3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6" w:type="dxa"/>
            <w:tcBorders>
              <w:top w:val="single" w:sz="4" w:space="0" w:color="3F3F3F"/>
            </w:tcBorders>
            <w:shd w:fill="E5E5E5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51" w:type="dxa"/>
            <w:tcBorders>
              <w:top w:val="single" w:sz="4" w:space="0" w:color="3F3F3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86" w:type="dxa"/>
            <w:tcBorders>
              <w:top w:val="single" w:sz="4" w:space="0" w:color="3F3F3F"/>
            </w:tcBorders>
            <w:shd w:fill="E5E5E5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>
              <w:top w:val="single" w:sz="4" w:space="0" w:color="3F3F3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1" w:type="dxa"/>
            <w:tcBorders>
              <w:top w:val="single" w:sz="4" w:space="0" w:color="3F3F3F"/>
            </w:tcBorders>
            <w:shd w:fill="E5E5E5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1" w:type="dxa"/>
            <w:tcBorders>
              <w:top w:val="single" w:sz="4" w:space="0" w:color="3F3F3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2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457200" cy="454025"/>
                  <wp:effectExtent l="0" t="0" r="0" b="0"/>
                  <wp:docPr id="44" name="Image4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" name="Image4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454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46" w:name="i-44"/>
            <w:bookmarkEnd w:id="46"/>
          </w:p>
        </w:tc>
        <w:tc>
          <w:tcPr>
            <w:tcW w:w="17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  <w:t>CEO Leadership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 xml:space="preserve">Experience as Chief Executive Officer or equivalent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 xml:space="preserve">management position of a large or growing business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or non-profit organization</w:t>
            </w:r>
          </w:p>
        </w:tc>
        <w:tc>
          <w:tcPr>
            <w:tcW w:w="931" w:type="dxa"/>
            <w:tcBorders/>
            <w:shd w:fill="E5E5E5" w:val="clear"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91440" cy="91440"/>
                  <wp:effectExtent l="0" t="0" r="0" b="0"/>
                  <wp:docPr id="45" name="Image4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" name="Image4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" cy="91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47" w:name="i-45"/>
            <w:bookmarkEnd w:id="47"/>
          </w:p>
        </w:tc>
        <w:tc>
          <w:tcPr>
            <w:tcW w:w="9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91440" cy="91440"/>
                  <wp:effectExtent l="0" t="0" r="0" b="0"/>
                  <wp:docPr id="46" name="Image4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Image4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" cy="91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48" w:name="i-46"/>
            <w:bookmarkEnd w:id="48"/>
          </w:p>
        </w:tc>
        <w:tc>
          <w:tcPr>
            <w:tcW w:w="616" w:type="dxa"/>
            <w:tcBorders/>
            <w:shd w:fill="E5E5E5" w:val="clear"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91440" cy="91440"/>
                  <wp:effectExtent l="0" t="0" r="0" b="0"/>
                  <wp:docPr id="47" name="Image47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" name="Image47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" cy="91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49" w:name="i-47"/>
            <w:bookmarkEnd w:id="49"/>
          </w:p>
        </w:tc>
        <w:tc>
          <w:tcPr>
            <w:tcW w:w="85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91440" cy="91440"/>
                  <wp:effectExtent l="0" t="0" r="0" b="0"/>
                  <wp:docPr id="48" name="Image48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" name="Image48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" cy="91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50" w:name="i-48"/>
            <w:bookmarkEnd w:id="50"/>
          </w:p>
        </w:tc>
        <w:tc>
          <w:tcPr>
            <w:tcW w:w="826" w:type="dxa"/>
            <w:tcBorders/>
            <w:shd w:fill="E5E5E5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91440" cy="91440"/>
                  <wp:effectExtent l="0" t="0" r="0" b="0"/>
                  <wp:docPr id="49" name="Image49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" name="Image49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" cy="91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51" w:name="i-49"/>
            <w:bookmarkEnd w:id="51"/>
          </w:p>
        </w:tc>
        <w:tc>
          <w:tcPr>
            <w:tcW w:w="676" w:type="dxa"/>
            <w:tcBorders/>
            <w:shd w:fill="E5E5E5" w:val="clear"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91440" cy="91440"/>
                  <wp:effectExtent l="0" t="0" r="0" b="0"/>
                  <wp:docPr id="50" name="Image50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" name="Image50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" cy="91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52" w:name="i-50"/>
            <w:bookmarkEnd w:id="52"/>
          </w:p>
        </w:tc>
        <w:tc>
          <w:tcPr>
            <w:tcW w:w="13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86" w:type="dxa"/>
            <w:tcBorders/>
            <w:shd w:fill="E5E5E5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91440" cy="91440"/>
                  <wp:effectExtent l="0" t="0" r="0" b="0"/>
                  <wp:docPr id="51" name="Image5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" name="Image5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" cy="91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53" w:name="i-51"/>
            <w:bookmarkEnd w:id="53"/>
          </w:p>
        </w:tc>
        <w:tc>
          <w:tcPr>
            <w:tcW w:w="1321" w:type="dxa"/>
            <w:tcBorders/>
            <w:shd w:fill="E5E5E5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20"/>
                <w:u w:val="none"/>
                <w:effect w:val="none"/>
              </w:rPr>
              <w:t>64% (7/11)</w:t>
            </w:r>
          </w:p>
        </w:tc>
      </w:tr>
      <w:tr>
        <w:trPr/>
        <w:tc>
          <w:tcPr>
            <w:tcW w:w="821" w:type="dxa"/>
            <w:tcBorders>
              <w:bottom w:val="single" w:sz="4" w:space="0" w:color="3F3F3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86" w:type="dxa"/>
            <w:tcBorders>
              <w:bottom w:val="single" w:sz="4" w:space="0" w:color="3F3F3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>
              <w:bottom w:val="single" w:sz="4" w:space="0" w:color="3F3F3F"/>
            </w:tcBorders>
            <w:shd w:fill="E5E5E5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>
              <w:bottom w:val="single" w:sz="4" w:space="0" w:color="3F3F3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bottom w:val="single" w:sz="4" w:space="0" w:color="3F3F3F"/>
            </w:tcBorders>
            <w:shd w:fill="E5E5E5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6" w:type="dxa"/>
            <w:tcBorders>
              <w:bottom w:val="single" w:sz="4" w:space="0" w:color="3F3F3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>
              <w:bottom w:val="single" w:sz="4" w:space="0" w:color="3F3F3F"/>
            </w:tcBorders>
            <w:shd w:fill="E5E5E5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tcBorders>
              <w:bottom w:val="single" w:sz="4" w:space="0" w:color="3F3F3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6" w:type="dxa"/>
            <w:tcBorders>
              <w:bottom w:val="single" w:sz="4" w:space="0" w:color="3F3F3F"/>
            </w:tcBorders>
            <w:shd w:fill="E5E5E5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51" w:type="dxa"/>
            <w:tcBorders>
              <w:bottom w:val="single" w:sz="4" w:space="0" w:color="3F3F3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86" w:type="dxa"/>
            <w:tcBorders>
              <w:bottom w:val="single" w:sz="4" w:space="0" w:color="3F3F3F"/>
            </w:tcBorders>
            <w:shd w:fill="E5E5E5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>
              <w:bottom w:val="single" w:sz="4" w:space="0" w:color="3F3F3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1" w:type="dxa"/>
            <w:tcBorders>
              <w:bottom w:val="single" w:sz="4" w:space="0" w:color="3F3F3F"/>
            </w:tcBorders>
            <w:shd w:fill="E5E5E5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1" w:type="dxa"/>
            <w:tcBorders>
              <w:bottom w:val="single" w:sz="4" w:space="0" w:color="3F3F3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21" w:type="dxa"/>
            <w:tcBorders>
              <w:top w:val="single" w:sz="4" w:space="0" w:color="3F3F3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86" w:type="dxa"/>
            <w:tcBorders>
              <w:top w:val="single" w:sz="4" w:space="0" w:color="3F3F3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>
              <w:top w:val="single" w:sz="4" w:space="0" w:color="3F3F3F"/>
            </w:tcBorders>
            <w:shd w:fill="E5E5E5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>
              <w:top w:val="single" w:sz="4" w:space="0" w:color="3F3F3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top w:val="single" w:sz="4" w:space="0" w:color="3F3F3F"/>
            </w:tcBorders>
            <w:shd w:fill="E5E5E5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6" w:type="dxa"/>
            <w:tcBorders>
              <w:top w:val="single" w:sz="4" w:space="0" w:color="3F3F3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>
              <w:top w:val="single" w:sz="4" w:space="0" w:color="3F3F3F"/>
            </w:tcBorders>
            <w:shd w:fill="E5E5E5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tcBorders>
              <w:top w:val="single" w:sz="4" w:space="0" w:color="3F3F3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6" w:type="dxa"/>
            <w:tcBorders>
              <w:top w:val="single" w:sz="4" w:space="0" w:color="3F3F3F"/>
            </w:tcBorders>
            <w:shd w:fill="E5E5E5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51" w:type="dxa"/>
            <w:tcBorders>
              <w:top w:val="single" w:sz="4" w:space="0" w:color="3F3F3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86" w:type="dxa"/>
            <w:tcBorders>
              <w:top w:val="single" w:sz="4" w:space="0" w:color="3F3F3F"/>
            </w:tcBorders>
            <w:shd w:fill="E5E5E5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>
              <w:top w:val="single" w:sz="4" w:space="0" w:color="3F3F3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1" w:type="dxa"/>
            <w:tcBorders>
              <w:top w:val="single" w:sz="4" w:space="0" w:color="3F3F3F"/>
            </w:tcBorders>
            <w:shd w:fill="E5E5E5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1" w:type="dxa"/>
            <w:tcBorders>
              <w:top w:val="single" w:sz="4" w:space="0" w:color="3F3F3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2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457200" cy="457200"/>
                  <wp:effectExtent l="0" t="0" r="0" b="0"/>
                  <wp:docPr id="52" name="Image5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" name="Image5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457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54" w:name="i-52"/>
            <w:bookmarkEnd w:id="54"/>
          </w:p>
        </w:tc>
        <w:tc>
          <w:tcPr>
            <w:tcW w:w="17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  <w:t xml:space="preserve">Research &amp; Development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Experience or expertise in discovery, biotechnology/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 xml:space="preserve">biochemistry or clinical development of pharmaceutical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 xml:space="preserve">products, including familiarity with FDA regulations and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ethical practices</w:t>
            </w:r>
          </w:p>
        </w:tc>
        <w:tc>
          <w:tcPr>
            <w:tcW w:w="931" w:type="dxa"/>
            <w:tcBorders/>
            <w:shd w:fill="E5E5E5" w:val="clear"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91440" cy="91440"/>
                  <wp:effectExtent l="0" t="0" r="0" b="0"/>
                  <wp:docPr id="53" name="Image5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" name="Image5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" cy="91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55" w:name="i-53"/>
            <w:bookmarkEnd w:id="55"/>
          </w:p>
        </w:tc>
        <w:tc>
          <w:tcPr>
            <w:tcW w:w="9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91440" cy="91440"/>
                  <wp:effectExtent l="0" t="0" r="0" b="0"/>
                  <wp:docPr id="54" name="Image5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" name="Image5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" cy="91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56" w:name="i-54"/>
            <w:bookmarkEnd w:id="56"/>
          </w:p>
        </w:tc>
        <w:tc>
          <w:tcPr>
            <w:tcW w:w="616" w:type="dxa"/>
            <w:tcBorders/>
            <w:shd w:fill="E5E5E5" w:val="clear"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91440" cy="91440"/>
                  <wp:effectExtent l="0" t="0" r="0" b="0"/>
                  <wp:docPr id="55" name="Image5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" name="Image5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" cy="91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57" w:name="i-55"/>
            <w:bookmarkEnd w:id="57"/>
          </w:p>
        </w:tc>
        <w:tc>
          <w:tcPr>
            <w:tcW w:w="8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E5E5E5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91440" cy="91440"/>
                  <wp:effectExtent l="0" t="0" r="0" b="0"/>
                  <wp:docPr id="56" name="Image5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" name="Image5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" cy="91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58" w:name="i-56"/>
            <w:bookmarkEnd w:id="58"/>
          </w:p>
        </w:tc>
        <w:tc>
          <w:tcPr>
            <w:tcW w:w="676" w:type="dxa"/>
            <w:tcBorders/>
            <w:shd w:fill="E5E5E5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5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91440" cy="91440"/>
                  <wp:effectExtent l="0" t="0" r="0" b="0"/>
                  <wp:docPr id="57" name="Image57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" name="Image57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" cy="91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59" w:name="i-57"/>
            <w:bookmarkEnd w:id="59"/>
          </w:p>
        </w:tc>
        <w:tc>
          <w:tcPr>
            <w:tcW w:w="586" w:type="dxa"/>
            <w:tcBorders/>
            <w:shd w:fill="E5E5E5" w:val="clear"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91440" cy="91440"/>
                  <wp:effectExtent l="0" t="0" r="0" b="0"/>
                  <wp:docPr id="58" name="Image58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" name="Image58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" cy="91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60" w:name="i-58"/>
            <w:bookmarkEnd w:id="60"/>
          </w:p>
        </w:tc>
        <w:tc>
          <w:tcPr>
            <w:tcW w:w="6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1" w:type="dxa"/>
            <w:tcBorders/>
            <w:shd w:fill="E5E5E5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20"/>
                <w:u w:val="none"/>
                <w:effect w:val="none"/>
              </w:rPr>
              <w:t>55% (6/11)</w:t>
            </w:r>
          </w:p>
        </w:tc>
      </w:tr>
      <w:tr>
        <w:trPr/>
        <w:tc>
          <w:tcPr>
            <w:tcW w:w="821" w:type="dxa"/>
            <w:tcBorders>
              <w:bottom w:val="single" w:sz="4" w:space="0" w:color="3F3F3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86" w:type="dxa"/>
            <w:tcBorders>
              <w:bottom w:val="single" w:sz="4" w:space="0" w:color="3F3F3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>
              <w:bottom w:val="single" w:sz="4" w:space="0" w:color="3F3F3F"/>
            </w:tcBorders>
            <w:shd w:fill="E5E5E5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>
              <w:bottom w:val="single" w:sz="4" w:space="0" w:color="3F3F3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bottom w:val="single" w:sz="4" w:space="0" w:color="3F3F3F"/>
            </w:tcBorders>
            <w:shd w:fill="E5E5E5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6" w:type="dxa"/>
            <w:tcBorders>
              <w:bottom w:val="single" w:sz="4" w:space="0" w:color="3F3F3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>
              <w:bottom w:val="single" w:sz="4" w:space="0" w:color="3F3F3F"/>
            </w:tcBorders>
            <w:shd w:fill="E5E5E5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tcBorders>
              <w:bottom w:val="single" w:sz="4" w:space="0" w:color="3F3F3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6" w:type="dxa"/>
            <w:tcBorders>
              <w:bottom w:val="single" w:sz="4" w:space="0" w:color="3F3F3F"/>
            </w:tcBorders>
            <w:shd w:fill="E5E5E5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51" w:type="dxa"/>
            <w:tcBorders>
              <w:bottom w:val="single" w:sz="4" w:space="0" w:color="3F3F3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86" w:type="dxa"/>
            <w:tcBorders>
              <w:bottom w:val="single" w:sz="4" w:space="0" w:color="3F3F3F"/>
            </w:tcBorders>
            <w:shd w:fill="E5E5E5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>
              <w:bottom w:val="single" w:sz="4" w:space="0" w:color="3F3F3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1" w:type="dxa"/>
            <w:tcBorders>
              <w:bottom w:val="single" w:sz="4" w:space="0" w:color="3F3F3F"/>
            </w:tcBorders>
            <w:shd w:fill="E5E5E5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1" w:type="dxa"/>
            <w:tcBorders>
              <w:bottom w:val="single" w:sz="4" w:space="0" w:color="3F3F3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21" w:type="dxa"/>
            <w:tcBorders>
              <w:top w:val="single" w:sz="4" w:space="0" w:color="3F3F3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86" w:type="dxa"/>
            <w:tcBorders>
              <w:top w:val="single" w:sz="4" w:space="0" w:color="3F3F3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>
              <w:top w:val="single" w:sz="4" w:space="0" w:color="3F3F3F"/>
            </w:tcBorders>
            <w:shd w:fill="E5E5E5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>
              <w:top w:val="single" w:sz="4" w:space="0" w:color="3F3F3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top w:val="single" w:sz="4" w:space="0" w:color="3F3F3F"/>
            </w:tcBorders>
            <w:shd w:fill="E5E5E5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6" w:type="dxa"/>
            <w:tcBorders>
              <w:top w:val="single" w:sz="4" w:space="0" w:color="3F3F3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>
              <w:top w:val="single" w:sz="4" w:space="0" w:color="3F3F3F"/>
            </w:tcBorders>
            <w:shd w:fill="E5E5E5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tcBorders>
              <w:top w:val="single" w:sz="4" w:space="0" w:color="3F3F3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6" w:type="dxa"/>
            <w:tcBorders>
              <w:top w:val="single" w:sz="4" w:space="0" w:color="3F3F3F"/>
            </w:tcBorders>
            <w:shd w:fill="E5E5E5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51" w:type="dxa"/>
            <w:tcBorders>
              <w:top w:val="single" w:sz="4" w:space="0" w:color="3F3F3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86" w:type="dxa"/>
            <w:tcBorders>
              <w:top w:val="single" w:sz="4" w:space="0" w:color="3F3F3F"/>
            </w:tcBorders>
            <w:shd w:fill="E5E5E5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>
              <w:top w:val="single" w:sz="4" w:space="0" w:color="3F3F3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1" w:type="dxa"/>
            <w:tcBorders>
              <w:top w:val="single" w:sz="4" w:space="0" w:color="3F3F3F"/>
            </w:tcBorders>
            <w:shd w:fill="E5E5E5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1" w:type="dxa"/>
            <w:tcBorders>
              <w:top w:val="single" w:sz="4" w:space="0" w:color="3F3F3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2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457200" cy="454025"/>
                  <wp:effectExtent l="0" t="0" r="0" b="0"/>
                  <wp:docPr id="59" name="Image59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" name="Image59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454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61" w:name="i-59"/>
            <w:bookmarkEnd w:id="61"/>
          </w:p>
        </w:tc>
        <w:tc>
          <w:tcPr>
            <w:tcW w:w="17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  <w:t xml:space="preserve">Strategic Initiatives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 xml:space="preserve">Experience driving strategic direction and growth of a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 xml:space="preserve">large, complex business or nongovernmental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 xml:space="preserve">organization, including expertise with acquisitions,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licensing and other development activities</w:t>
            </w:r>
          </w:p>
        </w:tc>
        <w:tc>
          <w:tcPr>
            <w:tcW w:w="931" w:type="dxa"/>
            <w:tcBorders/>
            <w:shd w:fill="E5E5E5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91440" cy="91440"/>
                  <wp:effectExtent l="0" t="0" r="0" b="0"/>
                  <wp:docPr id="60" name="Image60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" name="Image60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" cy="91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62" w:name="i-60"/>
            <w:bookmarkEnd w:id="62"/>
          </w:p>
        </w:tc>
        <w:tc>
          <w:tcPr>
            <w:tcW w:w="616" w:type="dxa"/>
            <w:tcBorders/>
            <w:shd w:fill="E5E5E5" w:val="clear"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91440" cy="91440"/>
                  <wp:effectExtent l="0" t="0" r="0" b="0"/>
                  <wp:docPr id="61" name="Image6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" name="Image6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" cy="91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63" w:name="i-61"/>
            <w:bookmarkEnd w:id="63"/>
          </w:p>
        </w:tc>
        <w:tc>
          <w:tcPr>
            <w:tcW w:w="85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91440" cy="91440"/>
                  <wp:effectExtent l="0" t="0" r="0" b="0"/>
                  <wp:docPr id="62" name="Image6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" name="Image6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" cy="91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64" w:name="i-62"/>
            <w:bookmarkEnd w:id="64"/>
          </w:p>
        </w:tc>
        <w:tc>
          <w:tcPr>
            <w:tcW w:w="826" w:type="dxa"/>
            <w:tcBorders/>
            <w:shd w:fill="E5E5E5" w:val="clear"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91440" cy="91440"/>
                  <wp:effectExtent l="0" t="0" r="0" b="0"/>
                  <wp:docPr id="63" name="Image6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" name="Image6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" cy="91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65" w:name="i-63"/>
            <w:bookmarkEnd w:id="65"/>
          </w:p>
        </w:tc>
        <w:tc>
          <w:tcPr>
            <w:tcW w:w="94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91440" cy="91440"/>
                  <wp:effectExtent l="0" t="0" r="0" b="0"/>
                  <wp:docPr id="64" name="Image6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" name="Image6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" cy="91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66" w:name="i-64"/>
            <w:bookmarkEnd w:id="66"/>
          </w:p>
        </w:tc>
        <w:tc>
          <w:tcPr>
            <w:tcW w:w="676" w:type="dxa"/>
            <w:tcBorders/>
            <w:shd w:fill="E5E5E5" w:val="clear"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91440" cy="91440"/>
                  <wp:effectExtent l="0" t="0" r="0" b="0"/>
                  <wp:docPr id="65" name="Image6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" name="Image6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" cy="91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67" w:name="i-65"/>
            <w:bookmarkEnd w:id="67"/>
          </w:p>
        </w:tc>
        <w:tc>
          <w:tcPr>
            <w:tcW w:w="135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91440" cy="91440"/>
                  <wp:effectExtent l="0" t="0" r="0" b="0"/>
                  <wp:docPr id="66" name="Image6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" name="Image6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" cy="91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68" w:name="i-66"/>
            <w:bookmarkEnd w:id="68"/>
          </w:p>
        </w:tc>
        <w:tc>
          <w:tcPr>
            <w:tcW w:w="586" w:type="dxa"/>
            <w:tcBorders/>
            <w:shd w:fill="E5E5E5" w:val="clear"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91440" cy="91440"/>
                  <wp:effectExtent l="0" t="0" r="0" b="0"/>
                  <wp:docPr id="67" name="Image67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" name="Image67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" cy="91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69" w:name="i-67"/>
            <w:bookmarkEnd w:id="69"/>
          </w:p>
        </w:tc>
        <w:tc>
          <w:tcPr>
            <w:tcW w:w="64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91440" cy="91440"/>
                  <wp:effectExtent l="0" t="0" r="0" b="0"/>
                  <wp:docPr id="68" name="Image68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" name="Image68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" cy="91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70" w:name="i-68"/>
            <w:bookmarkEnd w:id="70"/>
          </w:p>
        </w:tc>
        <w:tc>
          <w:tcPr>
            <w:tcW w:w="1321" w:type="dxa"/>
            <w:tcBorders/>
            <w:shd w:fill="E5E5E5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20"/>
                <w:u w:val="none"/>
                <w:effect w:val="none"/>
              </w:rPr>
              <w:t>82% (9/11)</w:t>
            </w:r>
          </w:p>
        </w:tc>
      </w:tr>
      <w:tr>
        <w:trPr/>
        <w:tc>
          <w:tcPr>
            <w:tcW w:w="821" w:type="dxa"/>
            <w:tcBorders>
              <w:bottom w:val="single" w:sz="8" w:space="0" w:color="F47521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86" w:type="dxa"/>
            <w:tcBorders>
              <w:bottom w:val="single" w:sz="8" w:space="0" w:color="F47521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>
              <w:bottom w:val="single" w:sz="8" w:space="0" w:color="F47521"/>
            </w:tcBorders>
            <w:shd w:fill="E5E5E5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>
              <w:bottom w:val="single" w:sz="8" w:space="0" w:color="F47521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bottom w:val="single" w:sz="8" w:space="0" w:color="F47521"/>
            </w:tcBorders>
            <w:shd w:fill="E5E5E5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6" w:type="dxa"/>
            <w:tcBorders>
              <w:bottom w:val="single" w:sz="8" w:space="0" w:color="F47521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>
              <w:bottom w:val="single" w:sz="8" w:space="0" w:color="F47521"/>
            </w:tcBorders>
            <w:shd w:fill="E5E5E5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tcBorders>
              <w:bottom w:val="single" w:sz="8" w:space="0" w:color="F47521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6" w:type="dxa"/>
            <w:tcBorders>
              <w:bottom w:val="single" w:sz="8" w:space="0" w:color="F47521"/>
            </w:tcBorders>
            <w:shd w:fill="E5E5E5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51" w:type="dxa"/>
            <w:tcBorders>
              <w:bottom w:val="single" w:sz="8" w:space="0" w:color="F47521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86" w:type="dxa"/>
            <w:tcBorders>
              <w:bottom w:val="single" w:sz="8" w:space="0" w:color="F47521"/>
            </w:tcBorders>
            <w:shd w:fill="E5E5E5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>
              <w:bottom w:val="single" w:sz="8" w:space="0" w:color="F47521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1" w:type="dxa"/>
            <w:tcBorders>
              <w:bottom w:val="single" w:sz="8" w:space="0" w:color="F47521"/>
            </w:tcBorders>
            <w:shd w:fill="E5E5E5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1" w:type="dxa"/>
            <w:tcBorders>
              <w:bottom w:val="single" w:sz="8" w:space="0" w:color="F47521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256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176"/>
        <w:gridCol w:w="391"/>
      </w:tblGrid>
      <w:tr>
        <w:trPr/>
        <w:tc>
          <w:tcPr>
            <w:tcW w:w="21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7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40404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404040"/>
                <w:sz w:val="18"/>
                <w:u w:val="none"/>
                <w:effect w:val="none"/>
              </w:rPr>
              <w:t>2026 Proxy Statement</w:t>
            </w:r>
          </w:p>
        </w:tc>
        <w:tc>
          <w:tcPr>
            <w:tcW w:w="39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  <w:t>11</w:t>
            </w:r>
          </w:p>
        </w:tc>
      </w:tr>
    </w:tbl>
    <w:tbl>
      <w:tblPr>
        <w:tblW w:w="483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696"/>
        <w:gridCol w:w="3136"/>
      </w:tblGrid>
      <w:tr>
        <w:trPr/>
        <w:tc>
          <w:tcPr>
            <w:tcW w:w="16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9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6d44722bfc2543dbbba9716d9e560c58_16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color w:val="0000FF"/>
                  <w:sz w:val="18"/>
                  <w:u w:val="single"/>
                </w:rPr>
                <w:t>Table of Contents</w:t>
              </w:r>
            </w:hyperlink>
          </w:p>
        </w:tc>
        <w:tc>
          <w:tcPr>
            <w:tcW w:w="313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Proposal 1</w:t>
            </w:r>
            <w:r>
              <w:rPr>
                <w:caps w:val="false"/>
                <w:smallCaps w:val="false"/>
                <w:strike w:val="false"/>
                <w:dstrike w:val="false"/>
                <w:color w:val="F47521"/>
                <w:u w:val="none"/>
                <w:effect w:val="none"/>
              </w:rPr>
              <w:t> 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  <w:t>|</w:t>
            </w: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 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 xml:space="preserve">Election of Directors </w:t>
            </w:r>
          </w:p>
        </w:tc>
      </w:tr>
    </w:tbl>
    <w:p>
      <w:pPr>
        <w:pStyle w:val="TextBody"/>
        <w:bidi w:val="0"/>
        <w:spacing w:lineRule="atLeast" w:line="24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F47521"/>
          <w:sz w:val="24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F47521"/>
          <w:sz w:val="24"/>
          <w:u w:val="none"/>
          <w:effect w:val="none"/>
        </w:rPr>
        <w:t xml:space="preserve">Director Independence </w:t>
      </w: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205" w:type="dxa"/>
            <w:tcBorders>
              <w:top w:val="single" w:sz="8" w:space="0" w:color="F47521"/>
              <w:left w:val="single" w:sz="8" w:space="0" w:color="F47521"/>
              <w:right w:val="single" w:sz="8" w:space="0" w:color="F47521"/>
            </w:tcBorders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205" w:type="dxa"/>
            <w:tcBorders>
              <w:left w:val="single" w:sz="8" w:space="0" w:color="F47521"/>
              <w:right w:val="single" w:sz="8" w:space="0" w:color="F47521"/>
            </w:tcBorders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10 of 11 Director Nominees are Independent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 xml:space="preserve">Our Board determined that each of our director nominees (other than Dr. Morrissey) is “independent” within the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 xml:space="preserve">meaning of applicable SEC rules and regulations and the Nasdaq listing standards. In addition, the Board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 xml:space="preserve">determined that: (i) all directors who serve on the Audit, Compensation and Governance Committees are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 xml:space="preserve">independent under applicable Nasdaq listing standards; and (ii) all members of the Audit Committee meet the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independence requirements under the Exchange Act.</w:t>
            </w:r>
          </w:p>
        </w:tc>
      </w:tr>
      <w:tr>
        <w:trPr/>
        <w:tc>
          <w:tcPr>
            <w:tcW w:w="10205" w:type="dxa"/>
            <w:tcBorders>
              <w:left w:val="single" w:sz="8" w:space="0" w:color="F47521"/>
              <w:bottom w:val="single" w:sz="8" w:space="0" w:color="F47521"/>
              <w:right w:val="single" w:sz="8" w:space="0" w:color="F47521"/>
            </w:tcBorders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24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F47521"/>
          <w:sz w:val="24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F47521"/>
          <w:sz w:val="24"/>
          <w:u w:val="none"/>
          <w:effect w:val="none"/>
        </w:rPr>
        <w:t>Process for Independence Assessment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We have adopted standards for director independence pursuant to Nasdaq listing standards, which require that a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majority of the members of a listed company’s board of directors qualify as “independent,” as affirmatively determined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by the board of directors. An “independent director” means a person other than an officer or employee of Exelixis or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one of our subsidiaries, or another individual having a relationship that, in the opinion of the Board, would interfere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with the exercise of independent judgment in carrying out the responsibilities of a director. To assess independence,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our Governance Committee and our Board review all relevant transactions or relationships between each director, or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any of his or her family members, and Exelixis, its senior management or its independent registered public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accounting firm.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sans-serif" w:hAnsi="sans-serif"/>
          <w:b/>
          <w:i/>
          <w:strike w:val="false"/>
          <w:dstrike w:val="false"/>
          <w:color w:val="FC7841"/>
          <w:sz w:val="20"/>
          <w:u w:val="none"/>
          <w:effect w:val="none"/>
        </w:rPr>
        <w:t>Special Note Regarding Independence of Dr. Papadopoulos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FC7841"/>
          <w:sz w:val="20"/>
          <w:u w:val="none"/>
          <w:effect w:val="none"/>
        </w:rPr>
        <w:t>.</w:t>
      </w:r>
      <w:r>
        <w:rPr>
          <w:caps w:val="false"/>
          <w:smallCaps w:val="false"/>
          <w:strike w:val="false"/>
          <w:dstrike w:val="false"/>
          <w:color w:val="3F3F3F"/>
          <w:u w:val="none"/>
          <w:effect w:val="none"/>
        </w:rPr>
        <w:t xml:space="preserve">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Dr. Papadopoulos is considered a “co-founder” of Exelixis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as a result of financial contributions he made during the earliest part of our history and his role in assembling and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advising the scientists who ultimately served as our earliest management team. However, Dr. Papadopoulos has never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been employed by us or otherwise involved with any daily business operations. Furthermore, our management team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today is composed entirely of different individuals from our earliest management team. Accordingly, the Board has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determined that Dr. Papadopoulos is independent under applicable SEC rules and the Nasdaq listing standards and is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qualified to serve as our Chair and on our Audit Committee, as the Board believes that he has no interest, business or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other relationship (including no family relationships) that could, or could reasonably be perceived to, materially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interfere with his ability to act in the best interests of Exelixis. </w:t>
      </w:r>
    </w:p>
    <w:tbl>
      <w:tblPr>
        <w:tblW w:w="174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61"/>
        <w:gridCol w:w="1381"/>
      </w:tblGrid>
      <w:tr>
        <w:trPr/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  <w:t>12</w:t>
            </w:r>
          </w:p>
        </w:tc>
        <w:tc>
          <w:tcPr>
            <w:tcW w:w="138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Exelixis, Inc.</w:t>
            </w:r>
          </w:p>
        </w:tc>
      </w:tr>
    </w:tbl>
    <w:tbl>
      <w:tblPr>
        <w:tblW w:w="1741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741"/>
      </w:tblGrid>
      <w:tr>
        <w:trPr/>
        <w:tc>
          <w:tcPr>
            <w:tcW w:w="17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4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6d44722bfc2543dbbba9716d9e560c58_16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color w:val="0000FF"/>
                  <w:sz w:val="18"/>
                  <w:u w:val="single"/>
                </w:rPr>
                <w:t>Table of Contents</w:t>
              </w:r>
            </w:hyperlink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42" w:before="0" w:after="0"/>
        <w:jc w:val="left"/>
        <w:rPr>
          <w:caps w:val="false"/>
          <w:smallCaps w:val="false"/>
          <w:strike w:val="false"/>
          <w:dstrike w:val="false"/>
          <w:color w:val="3F3F3F"/>
          <w:u w:val="none"/>
          <w:effect w:val="none"/>
        </w:rPr>
      </w:pPr>
      <w:r>
        <w:rPr>
          <w:caps w:val="false"/>
          <w:smallCaps w:val="false"/>
          <w:strike w:val="false"/>
          <w:dstrike w:val="false"/>
          <w:color w:val="3F3F3F"/>
          <w:u w:val="none"/>
          <w:effect w:val="none"/>
        </w:rPr>
        <w:t xml:space="preserve">  </w:t>
      </w: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59"/>
        <w:gridCol w:w="109"/>
        <w:gridCol w:w="3937"/>
      </w:tblGrid>
      <w:tr>
        <w:trPr/>
        <w:tc>
          <w:tcPr>
            <w:tcW w:w="615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3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6159" w:type="dxa"/>
            <w:tcBorders>
              <w:bottom w:val="single" w:sz="8" w:space="0" w:color="F47521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3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3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36"/>
                <w:u w:val="none"/>
                <w:effect w:val="none"/>
              </w:rPr>
              <w:t>Director Nominees</w:t>
            </w:r>
          </w:p>
        </w:tc>
        <w:tc>
          <w:tcPr>
            <w:tcW w:w="109" w:type="dxa"/>
            <w:tcBorders>
              <w:bottom w:val="single" w:sz="8" w:space="0" w:color="F47521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37" w:type="dxa"/>
            <w:tcBorders>
              <w:bottom w:val="single" w:sz="8" w:space="0" w:color="F47521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6159" w:type="dxa"/>
            <w:tcBorders>
              <w:top w:val="single" w:sz="8" w:space="0" w:color="F47521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8" w:space="0" w:color="F47521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37" w:type="dxa"/>
            <w:tcBorders>
              <w:top w:val="single" w:sz="8" w:space="0" w:color="F47521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6159" w:type="dxa"/>
            <w:tcBorders/>
            <w:shd w:fill="E5E5E5" w:val="clear"/>
            <w:vAlign w:val="center"/>
          </w:tcPr>
          <w:p>
            <w:pPr>
              <w:pStyle w:val="TableContents"/>
              <w:bidi w:val="0"/>
              <w:spacing w:lineRule="atLeast" w:line="360" w:before="0" w:after="0"/>
              <w:jc w:val="left"/>
              <w:rPr>
                <w:rFonts w:ascii="sans-serif" w:hAnsi="sans-serif"/>
                <w:b w:val="false"/>
                <w:i/>
                <w:strike w:val="false"/>
                <w:dstrike w:val="false"/>
                <w:color w:val="F47521"/>
                <w:sz w:val="3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/>
                <w:strike w:val="false"/>
                <w:dstrike w:val="false"/>
                <w:color w:val="F47521"/>
                <w:sz w:val="36"/>
                <w:u w:val="none"/>
                <w:effect w:val="none"/>
              </w:rPr>
              <w:t>Mary C. Beckerle, Ph.D.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Distinguished Professor of Biology and Oncological Sciences,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University of Utah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3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Director since 2024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Age 71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Key Qualifications and Expertise: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Our Board concluded that Dr. Beckerle should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continue to serve as a director of Exelixis due to her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training as a scientist, her extensive knowledge and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experience in the field of cancer research and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treatment, and her broad leadership experience, in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particular her corporate governance experience,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resulting from managing a world-class healthcare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organization and service on various public company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boards and scientific or advisory boards.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Committee Assignments: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•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Governance Committee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•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Research &amp; Development Committee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•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Risk Committee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Other Current Public Company Boards: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•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Huntsman Corporation, serving on the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Nominating and Corporate Governance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Committee and Sustainability Committee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•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Johnson &amp; Johnson, serving on the Regulatory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Compliance &amp; Sustainability Committee and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Science &amp; Technology Committee (Chair)</w:t>
            </w:r>
          </w:p>
        </w:tc>
      </w:tr>
      <w:tr>
        <w:trPr/>
        <w:tc>
          <w:tcPr>
            <w:tcW w:w="6159" w:type="dxa"/>
            <w:tcBorders>
              <w:bottom w:val="single" w:sz="8" w:space="0" w:color="B2B2B2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3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6159" w:type="dxa"/>
            <w:tcBorders>
              <w:top w:val="single" w:sz="8" w:space="0" w:color="B2B2B2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Mary C. Beckerle, Ph.D., has been a director since January 2024. She currently serves as a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Distinguished Professor of Biology and Oncological Sciences at the University of Utah. She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first joined the faculty of the University of Utah in 1986, where she has held numerous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research and leadership roles, and served as Chief Executive Officer of the Huntsman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Cancer Institute from 2006 to 2025. Dr. Beckerle has served as a member of the board of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directors of: Huntsman Corporation, a publicly held global manufacturer of specialty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chemicals, since 2011; Johnson &amp; Johnson, a publicly held diversified healthcare company,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since 2015; and Halia Therapeutics, a privately held biopharmaceutical company, since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2026. She has been named a National Association of Corporate Directors (NACD)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Corporate Governance Fellow and was a 2018 NACD Directorship 100 Honoree. Dr.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Beckerle currently serves on several scientific and advisory boards, including the Medical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Advisory Board of the Howard Hughes Medical Institute since 2015, as well as an external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advisory board of a National Cancer Institute-designated cancer center at the University of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Pennsylvania. Previously, Dr. Beckerle served as a member of the Board of Scientific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Advisors of the National Cancer Institute from 2018 to 2022, the External Advisory Board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of the Dana-Farber/Harvard Cancer Center from 2013 to 2022, the Board of Directors of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the American Association for Cancer Research from 2013 to 2016, the American Cancer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Society Council for Extramural Grants from 2008 to 2012 (serving as Chair from 2010 to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2012) and the National Institutes of Health’s Advisory Committee to the Director from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2007 to 2010, and from 2024 to 2025, as well as President of the American Society for Cell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Biology from 2006 to 2007. She is also an elected member of the National Academy of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Sciences, the American Philosophical Society and the American Academy of Arts and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Sciences. Dr. Beckerle holds a B.A. in Biology and Psychology (magna cum laude) from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Wells College, a Ph.D. in Molecular, Cellular and Developmental Biology from the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University of Colorado, Boulder and completed her post-doctoral fellowship in Anatomy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and Cell Biology at the University of North Carolina at Chapel Hill.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3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256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176"/>
        <w:gridCol w:w="391"/>
      </w:tblGrid>
      <w:tr>
        <w:trPr/>
        <w:tc>
          <w:tcPr>
            <w:tcW w:w="21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7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40404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404040"/>
                <w:sz w:val="18"/>
                <w:u w:val="none"/>
                <w:effect w:val="none"/>
              </w:rPr>
              <w:t>2026 Proxy Statement</w:t>
            </w:r>
          </w:p>
        </w:tc>
        <w:tc>
          <w:tcPr>
            <w:tcW w:w="39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  <w:t>13</w:t>
            </w:r>
          </w:p>
        </w:tc>
      </w:tr>
    </w:tbl>
    <w:tbl>
      <w:tblPr>
        <w:tblW w:w="468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696"/>
        <w:gridCol w:w="2986"/>
      </w:tblGrid>
      <w:tr>
        <w:trPr/>
        <w:tc>
          <w:tcPr>
            <w:tcW w:w="16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9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9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6d44722bfc2543dbbba9716d9e560c58_16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color w:val="0000FF"/>
                  <w:sz w:val="18"/>
                  <w:u w:val="single"/>
                </w:rPr>
                <w:t>Table of Contents</w:t>
              </w:r>
            </w:hyperlink>
          </w:p>
        </w:tc>
        <w:tc>
          <w:tcPr>
            <w:tcW w:w="29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Proposal 1 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C4C02"/>
                <w:sz w:val="18"/>
                <w:u w:val="none"/>
                <w:effect w:val="none"/>
              </w:rPr>
              <w:t>| 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 xml:space="preserve">Director Nominees </w:t>
            </w:r>
          </w:p>
        </w:tc>
      </w:tr>
    </w:tbl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303"/>
        <w:gridCol w:w="109"/>
        <w:gridCol w:w="3793"/>
      </w:tblGrid>
      <w:tr>
        <w:trPr/>
        <w:tc>
          <w:tcPr>
            <w:tcW w:w="630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9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6303" w:type="dxa"/>
            <w:tcBorders/>
            <w:shd w:fill="E5E5E5" w:val="clear"/>
            <w:vAlign w:val="center"/>
          </w:tcPr>
          <w:p>
            <w:pPr>
              <w:pStyle w:val="TableContents"/>
              <w:bidi w:val="0"/>
              <w:spacing w:lineRule="atLeast" w:line="360" w:before="0" w:after="0"/>
              <w:jc w:val="left"/>
              <w:rPr>
                <w:rFonts w:ascii="sans-serif" w:hAnsi="sans-serif"/>
                <w:b w:val="false"/>
                <w:i/>
                <w:strike w:val="false"/>
                <w:dstrike w:val="false"/>
                <w:color w:val="F47521"/>
                <w:sz w:val="3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/>
                <w:strike w:val="false"/>
                <w:dstrike w:val="false"/>
                <w:color w:val="F47521"/>
                <w:sz w:val="36"/>
                <w:u w:val="none"/>
                <w:effect w:val="none"/>
              </w:rPr>
              <w:t>S. Gail Eckhardt, M.D.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Professor and Associate Dean of Experimental Therapeutics, Associate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Director of Translational Research, Dan L. Duncan Comprehensive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Cancer Center, at Baylor College of Medicine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93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Director since 2024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Age 68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Key Qualifications and Expertise: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Our Board concluded that Dr. Eckhardt should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continue to serve as a director of Exelixis due to her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skills as a physician and medical researcher, and her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leadership experience in drug development and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translational medicine relative to oncology, as well as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her service on various public company boards and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scientific or advisory boards.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Committee Assignments: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•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Compensation Committee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•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Research &amp; Development Committee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Other Current Public Company Boards: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•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None</w:t>
            </w:r>
          </w:p>
        </w:tc>
      </w:tr>
      <w:tr>
        <w:trPr/>
        <w:tc>
          <w:tcPr>
            <w:tcW w:w="6303" w:type="dxa"/>
            <w:tcBorders>
              <w:bottom w:val="single" w:sz="8" w:space="0" w:color="B2B2B2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93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6303" w:type="dxa"/>
            <w:tcBorders>
              <w:top w:val="single" w:sz="8" w:space="0" w:color="B2B2B2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S. Gail Eckhardt, M.D., has been a director since January 2024. Since September 2023, Dr.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Eckhardt has served as a tenured Professor and Associate Dean of Experimental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Therapeutics at Baylor College of Medicine, where she holds the Albert and Margaret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Alkek Foundation Endowed Chair and is also Associate Director of Translational Research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at the Dan L. Duncan Comprehensive Cancer Center. Between 2017 and 2023, she was a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tenured professor at Dell Medical School at the University of Texas at Austin, where she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also served as Chair of the Department of Oncology, Associate Dean of Cancer Programs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and inaugural Director of the Livestrong Cancer Institutes. Prior to joining the University of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Texas, Dr. Eckhardt was a member of the faculty at the University of Colorado School of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Medicine from 1999 to 2017 (receiving tenure in 2001), where she  held numerous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leadership roles, including Division Head of Medical Oncology, Associate Director for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Translational Research at the University of Colorado Comprehensive Cancer Center and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Director of the Phase I Program and Fellowship.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Dr. Eckhardt has served on the board of directors of Syros Pharmaceuticals, Inc., a publicly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held biopharmaceutical company focused on developing frontline treatments for patients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with hematologic malignancies, from 2020 until 2024. She is currently on the Scientific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Advisory Board (Oncology) of Amgen. Dr. Eckhardt has also served on numerous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committees and study sections, including the American Society of Clinical Oncology’s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Molecular Oncology Task Force and Board of Directors, the U.S. Food and Drug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Administration’s Oncology Drugs Advisory Committee and the National Cancer Institute’s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Cancer Centers Study Section and Investigational Drug Steering Committee, as well as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external advisory boards of eleven National Cancer Institute designated cancer centers.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Dr. Eckhardt is a current member of the National Academies Cancer Policy Forum and was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previously a lead mentor in the American Society of Clinical Oncology’s Leadership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Development Program and a member of the board of directors of the Association of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American Cancer Institutes. Dr. Eckhardt holds a B.S. in Chemistry from Stephen F. Austin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State University and an M.D. from the University of Texas Medical Branch in Galveston.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She completed her internship and residency in Internal Medicine at the University of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Virginia Medical School, followed by a post doctoral research fellowship in Experimental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and Molecular Medicine at Scripps Research Institute in La Jolla, California, and a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fellowship in Medical Oncology at the University of California, San Diego.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93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74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61"/>
        <w:gridCol w:w="1381"/>
      </w:tblGrid>
      <w:tr>
        <w:trPr/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  <w:t>14</w:t>
            </w:r>
          </w:p>
        </w:tc>
        <w:tc>
          <w:tcPr>
            <w:tcW w:w="138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Exelixis, Inc.</w:t>
            </w:r>
          </w:p>
        </w:tc>
      </w:tr>
    </w:tbl>
    <w:tbl>
      <w:tblPr>
        <w:tblW w:w="1741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741"/>
      </w:tblGrid>
      <w:tr>
        <w:trPr/>
        <w:tc>
          <w:tcPr>
            <w:tcW w:w="17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4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6d44722bfc2543dbbba9716d9e560c58_16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color w:val="0000FF"/>
                  <w:sz w:val="18"/>
                  <w:u w:val="single"/>
                </w:rPr>
                <w:t>Table of Contents</w:t>
              </w:r>
            </w:hyperlink>
          </w:p>
        </w:tc>
      </w:tr>
    </w:tbl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075"/>
        <w:gridCol w:w="109"/>
        <w:gridCol w:w="4021"/>
      </w:tblGrid>
      <w:tr>
        <w:trPr/>
        <w:tc>
          <w:tcPr>
            <w:tcW w:w="60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6075" w:type="dxa"/>
            <w:tcBorders/>
            <w:shd w:fill="E5E5E5" w:val="clear"/>
            <w:vAlign w:val="center"/>
          </w:tcPr>
          <w:p>
            <w:pPr>
              <w:pStyle w:val="TableContents"/>
              <w:bidi w:val="0"/>
              <w:spacing w:lineRule="atLeast" w:line="360" w:before="0" w:after="0"/>
              <w:jc w:val="left"/>
              <w:rPr>
                <w:rFonts w:ascii="sans-serif" w:hAnsi="sans-serif"/>
                <w:b w:val="false"/>
                <w:i/>
                <w:strike w:val="false"/>
                <w:dstrike w:val="false"/>
                <w:color w:val="F47521"/>
                <w:sz w:val="3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/>
                <w:strike w:val="false"/>
                <w:dstrike w:val="false"/>
                <w:color w:val="F47521"/>
                <w:sz w:val="36"/>
                <w:u w:val="none"/>
                <w:effect w:val="none"/>
              </w:rPr>
              <w:t>Maria C. Freire, Ph.D.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Former President and Executive Director, Foundation for the National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Institutes of Health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21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Director since 2018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Age 71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Key Qualifications and Expertise: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Our Board concluded that Dr. Freire should continue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to serve as a director of Exelixis due to her training as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a scientist, her knowledge and experience with respect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to U.S. and global public health, the biopharmaceutical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industry and government healthcare policymaking, as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well as her leadership experience in the public sector.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Committee Assignments: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•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Governance Committee (Chair)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•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Research &amp; Development Committee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Other Current Public Company Boards: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•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Alexandria Real Estate Equities, serving on the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Nominating &amp; Corporate Governance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Committee and the Science &amp; Technology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Committee (Chair)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•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Biogen Inc., (Board Chair elect) serving on the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Compensation and Management Development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Committee</w:t>
            </w:r>
          </w:p>
        </w:tc>
      </w:tr>
      <w:tr>
        <w:trPr/>
        <w:tc>
          <w:tcPr>
            <w:tcW w:w="6075" w:type="dxa"/>
            <w:tcBorders>
              <w:bottom w:val="single" w:sz="8" w:space="0" w:color="B2B2B2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2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6075" w:type="dxa"/>
            <w:tcBorders>
              <w:top w:val="single" w:sz="8" w:space="0" w:color="B2B2B2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Maria C. Freire, Ph.D., has been a director since April 2018. From 2012 to 2021, Dr. Freire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served as President and Executive Director of the Foundation for the National Institutes of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Health, and as a member of its board of directors, where she supported public–private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partnerships advancing research and clinical trials across oncology, neurodegenerative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disease, autoimmune disorders and infectious diseases. From 2008 to 2012, she served as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President, and a member of the board of directors, of the Albert and Mary Lasker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Foundation, which awards the Lasker Awards in basic and clinical science. From 2001 to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2008, Dr. Freire served as President and Chief Executive Officer of the TB Alliance, where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she led drug-development efforts, including the advancement of Pretomanid from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preclinical to clinical trials; Pretomanid is now approved for treatment of multidrug-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resistant tuberculosis (MDR-TB). From 1995 to 2001, Dr. Freire was Director of the Office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of Technology Transfer at the National Institutes of Health.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Dr. Freire serves on the board of directors of: Biogen Inc., a publicly held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biopharmaceutical company focused on the treatment of serious diseases, since 2021,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and in February 2026 was elected Chair of the Biogen board of directors, effective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following Biogen’s 2025 Annual Shareholders Meeting in June 2026; and Alexandria Real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Estate Equities, Inc., a publicly held urban office real estate investment trust focused on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collaborative life science and technology campuses, since 2012. She has also held national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and international leadership roles, including Chair of the Science Board of the U.S. Food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and Drug Administration, member of the World Health Organization Commission on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Intellectual Property Rights, Innovation and Public Health and member of the United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Nations Secretary General’s High-Level Panel on Access to Medicines. Dr. Freire is also a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member of the National Academy of Medicine and the Council on Foreign Relations, and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has received several honors, including the 2017 Gold Stevie Award for “Woman of the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Year,” the U.S. Department of Health and Human Services Secretary’s Award for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Distinguished Service, the Arthur S. Fleming Award and the Bayh-Dole Award. Dr. Freire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holds a Ph.D. in Biophysics from the University of Virginia and a B.S. from the Universidad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Peruana Cayetano Heredia in Lima, Peru.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2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256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176"/>
        <w:gridCol w:w="391"/>
      </w:tblGrid>
      <w:tr>
        <w:trPr/>
        <w:tc>
          <w:tcPr>
            <w:tcW w:w="21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7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40404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404040"/>
                <w:sz w:val="18"/>
                <w:u w:val="none"/>
                <w:effect w:val="none"/>
              </w:rPr>
              <w:t>2026 Proxy Statement</w:t>
            </w:r>
          </w:p>
        </w:tc>
        <w:tc>
          <w:tcPr>
            <w:tcW w:w="39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  <w:t>15</w:t>
            </w:r>
          </w:p>
        </w:tc>
      </w:tr>
    </w:tbl>
    <w:tbl>
      <w:tblPr>
        <w:tblW w:w="468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696"/>
        <w:gridCol w:w="2986"/>
      </w:tblGrid>
      <w:tr>
        <w:trPr/>
        <w:tc>
          <w:tcPr>
            <w:tcW w:w="16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9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9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6d44722bfc2543dbbba9716d9e560c58_16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color w:val="0000FF"/>
                  <w:sz w:val="18"/>
                  <w:u w:val="single"/>
                </w:rPr>
                <w:t>Table of Contents</w:t>
              </w:r>
            </w:hyperlink>
          </w:p>
        </w:tc>
        <w:tc>
          <w:tcPr>
            <w:tcW w:w="29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Proposal 1 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C4C02"/>
                <w:sz w:val="18"/>
                <w:u w:val="none"/>
                <w:effect w:val="none"/>
              </w:rPr>
              <w:t>| 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 xml:space="preserve">Director Nominees </w:t>
            </w:r>
          </w:p>
        </w:tc>
      </w:tr>
    </w:tbl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004"/>
        <w:gridCol w:w="109"/>
        <w:gridCol w:w="4092"/>
      </w:tblGrid>
      <w:tr>
        <w:trPr/>
        <w:tc>
          <w:tcPr>
            <w:tcW w:w="600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9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6004" w:type="dxa"/>
            <w:tcBorders/>
            <w:shd w:fill="E5E5E5" w:val="clear"/>
            <w:vAlign w:val="center"/>
          </w:tcPr>
          <w:p>
            <w:pPr>
              <w:pStyle w:val="TableContents"/>
              <w:bidi w:val="0"/>
              <w:spacing w:lineRule="atLeast" w:line="360" w:before="0" w:after="0"/>
              <w:jc w:val="left"/>
              <w:rPr>
                <w:rFonts w:ascii="sans-serif" w:hAnsi="sans-serif"/>
                <w:b w:val="false"/>
                <w:i/>
                <w:strike w:val="false"/>
                <w:dstrike w:val="false"/>
                <w:color w:val="F47521"/>
                <w:sz w:val="3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/>
                <w:strike w:val="false"/>
                <w:dstrike w:val="false"/>
                <w:color w:val="F47521"/>
                <w:sz w:val="36"/>
                <w:u w:val="none"/>
                <w:effect w:val="none"/>
              </w:rPr>
              <w:t>Tomas J. Heyman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Operating Partner, Bioqube Ventures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92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Director since 2023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Age 70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Key Qualifications and Expertise: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Our Board concluded that Mr. Heyman should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continue to serve as a director of Exelixis due to his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expertise in corporate development and his significant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leadership experience in the biopharmaceutical sector,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as well as his extensive experience serving on the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boards of several public and private companies.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Committee Assignments: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•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Governance Committee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•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Risk Committee (Chair)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Other Current Public Company Boards: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•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Legend Biotech Corporation</w:t>
            </w:r>
          </w:p>
        </w:tc>
      </w:tr>
      <w:tr>
        <w:trPr/>
        <w:tc>
          <w:tcPr>
            <w:tcW w:w="6004" w:type="dxa"/>
            <w:tcBorders>
              <w:bottom w:val="single" w:sz="8" w:space="0" w:color="B2B2B2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92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6004" w:type="dxa"/>
            <w:tcBorders>
              <w:top w:val="single" w:sz="8" w:space="0" w:color="B2B2B2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Tomas J. Heyman has been a director since May 2023. Since 2025, Mr. Heyman has served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as Executive Partner at Bioqube Ventures, a life sciences investment firm, having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previously served as Operating Partner from 2020 to 2025. Mr. Heyman was a consultant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to Interlaken Therapeutics, Inc., a biotechnology company, and served as its interim Chief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Executive Officer, from 2021 to 2024, was President of Johnson &amp; Johnson’s Corporate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Venture Capital Group, the venture capital arm of Johnson &amp; Johnson, a pharmaceutical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and consumer packaged goods company, from 2015 to 2019, and served as Global Head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of Business Development for Johnson &amp; Johnson’s Pharmaceutical Group from 1992 to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2015. In addition, he served as Managing Director of Janssen Pharmaceutica N.V., an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affiliate of Johnson &amp; Johnson (now known as Johnson &amp; Johnson Innovative Medicine),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from 2008 to 2016. Mr. Heyman began his career as a member of the legal department of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Janssen Pharmaceutica NV in 1982.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Mr. Heyman has also served as a member of the board of directors of: Legend Biotech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Corporation, a publicly held biotechnology company, since 2022, Primmune Therapeutics,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a privately held pharmaceutical company since 2024; and Synox Therapeutics, a privately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held biotechnology company, since 2025. Previously, Mr. Heyman served as Non-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Executive Chairman of the board of directors of Venatorx, Inc., a privately held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pharmaceutical company from 2023 to 2024. Mr. Heyman has also served as a member of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the board of directors of: Xilio Therapeutics Inc., a publicly held biotechnology company,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from 2022 to 2024; Invivyd, Inc., a publicly held biopharmaceutical company, from 2021 to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2024; OptiNose, Inc., a publicly held specialty pharmaceutical company acquired by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Paratek Pharmaceuticals, from 2020 to 2025; Akero Therapeutics Inc., a publicly held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biotech company acquired by Novo Nordisk, from 2020 to 2025; and as a member of the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Supervisory Board of Crucell NV, a biotechnology company. Mr. Heyman has also served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on the board of directors of the International Biomedical Research Alliance, a non-profit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organization focused on biomedical research, since 2018, and on the board of directors of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Interuniversitair Micro-Electronica Centrum VZW, a Belgian non-profit organization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specializing in micro- and nano-electronic research, since 2012. Mr. Heyman holds a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Master of Laws from Katholieke Universiteit Leuven. He completed post-graduate studies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in International Law in Geneva, Switzerland, and post-graduate studies in Business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Management at the University of Antwerp in Belgium.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92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6004" w:type="dxa"/>
            <w:tcBorders/>
            <w:shd w:fill="E5E5E5" w:val="clear"/>
            <w:vAlign w:val="center"/>
          </w:tcPr>
          <w:p>
            <w:pPr>
              <w:pStyle w:val="TableContents"/>
              <w:bidi w:val="0"/>
              <w:spacing w:lineRule="atLeast" w:line="360" w:before="0" w:after="0"/>
              <w:jc w:val="left"/>
              <w:rPr>
                <w:rFonts w:ascii="sans-serif" w:hAnsi="sans-serif"/>
                <w:b w:val="false"/>
                <w:i/>
                <w:strike w:val="false"/>
                <w:dstrike w:val="false"/>
                <w:color w:val="F47521"/>
                <w:sz w:val="3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/>
                <w:strike w:val="false"/>
                <w:dstrike w:val="false"/>
                <w:color w:val="F47521"/>
                <w:sz w:val="36"/>
                <w:u w:val="none"/>
                <w:effect w:val="none"/>
              </w:rPr>
              <w:t>David E. Johnson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Managing Partner and Chief Investment Officer, Caligan Partners LP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92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Director since 2023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Age 43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Key Qualifications and Expertise: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Our Board concluded that Mr. Johnson should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continue to serve as a director at Exelixis due to his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expertise in strategic capital allocation and experience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as an investor and director for various life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sciences companies.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Committee Assignments: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•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Audit Committee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•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Research &amp; Development Committee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Other Current Public Company Boards: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•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Liquidia Corporation, serving on the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Audit Committee</w:t>
            </w:r>
          </w:p>
        </w:tc>
      </w:tr>
      <w:tr>
        <w:trPr/>
        <w:tc>
          <w:tcPr>
            <w:tcW w:w="6004" w:type="dxa"/>
            <w:tcBorders>
              <w:bottom w:val="single" w:sz="8" w:space="0" w:color="B2B2B2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92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6004" w:type="dxa"/>
            <w:tcBorders>
              <w:top w:val="single" w:sz="8" w:space="0" w:color="B2B2B2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David E. Johnson has been a director since May 2023. Since 2017, Mr. Johnson has served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as the Managing Partner and Chief Investment Officer of Caligan Partners LP, an SEC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registered investment adviser. Previously, he served as Managing Director at the Carlyle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Group, a global private equity, alternative asset management and financial services firm,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from 2010 to 2017, and as Vice President in the Principal Investments area at Morgan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Stanley, a global financial services and investment management firm, from 2004 to 2010.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Prior to joining Morgan Stanley, Mr. Johnson worked at Weiss Asset Management, an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investment management firm, from 2003 to 2004.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Mr. Johnson has served as a member of the board of directors of Liquidia Corporation, a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publicly held biopharmaceutical company, since 2021, and on the board of directors of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AMAG Pharmaceuticals, Inc., a publicly held pharmaceutical company specializing in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products treating iron deficiency anemia, from 2019 until its acquisition by Covis Group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S.à r.l. in 2020. Mr. Johnson also serves as a member of the board of directors of The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Children’s Scholarship Fund, Inc., a privately funded tuition assistance program, and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previously served on the Executive Committee for the Harvard College Fund. Mr. Johnson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holds an A.B. and S.M. in Applied Mathematics from Harvard College.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92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74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61"/>
        <w:gridCol w:w="1381"/>
      </w:tblGrid>
      <w:tr>
        <w:trPr/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  <w:t>16</w:t>
            </w:r>
          </w:p>
        </w:tc>
        <w:tc>
          <w:tcPr>
            <w:tcW w:w="138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Exelixis, Inc.</w:t>
            </w:r>
          </w:p>
        </w:tc>
      </w:tr>
    </w:tbl>
    <w:tbl>
      <w:tblPr>
        <w:tblW w:w="1741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741"/>
      </w:tblGrid>
      <w:tr>
        <w:trPr/>
        <w:tc>
          <w:tcPr>
            <w:tcW w:w="17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4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6d44722bfc2543dbbba9716d9e560c58_16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color w:val="0000FF"/>
                  <w:sz w:val="18"/>
                  <w:u w:val="single"/>
                </w:rPr>
                <w:t>Table of Contents</w:t>
              </w:r>
            </w:hyperlink>
          </w:p>
        </w:tc>
      </w:tr>
    </w:tbl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38"/>
        <w:gridCol w:w="109"/>
        <w:gridCol w:w="3958"/>
      </w:tblGrid>
      <w:tr>
        <w:trPr/>
        <w:tc>
          <w:tcPr>
            <w:tcW w:w="613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5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6138" w:type="dxa"/>
            <w:tcBorders/>
            <w:shd w:fill="E5E5E5" w:val="clear"/>
            <w:vAlign w:val="center"/>
          </w:tcPr>
          <w:p>
            <w:pPr>
              <w:pStyle w:val="TableContents"/>
              <w:bidi w:val="0"/>
              <w:spacing w:lineRule="atLeast" w:line="360" w:before="0" w:after="0"/>
              <w:jc w:val="left"/>
              <w:rPr>
                <w:rFonts w:ascii="sans-serif" w:hAnsi="sans-serif"/>
                <w:b w:val="false"/>
                <w:i/>
                <w:strike w:val="false"/>
                <w:dstrike w:val="false"/>
                <w:color w:val="F47521"/>
                <w:sz w:val="3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/>
                <w:strike w:val="false"/>
                <w:dstrike w:val="false"/>
                <w:color w:val="F47521"/>
                <w:sz w:val="36"/>
                <w:u w:val="none"/>
                <w:effect w:val="none"/>
              </w:rPr>
              <w:t>Michael M. Morrissey, Ph.D.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President and Chief Executive Officer, Exelixis, Inc.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5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Director since 2010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Age 65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Key Qualifications and Expertise: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Our Board concluded that Dr. Morrissey should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continue to serve as a director of Exelixis due to his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leadership role as the President and Chief Executive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Officer of Exelixis. Beyond his role as Exelixis’ principal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executive officer, the Board also considered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Dr. Morrissey’s extensive qualifications, including his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training as a scientist, his significant knowledge and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experience with respect to the biotechnology,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healthcare and pharmaceutical industries,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comprehensive leadership background resulting from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service as an executive in the biotechnology industry,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and his ability to bring historical knowledge and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continuity to the Board.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Committee Assignments: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•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None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Other Current Public Company Boards: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•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Vera Therapeutics, Inc. (Chair), serving on the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Audit Committee and the Nominating and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Corporate Governance Committee</w:t>
            </w:r>
          </w:p>
        </w:tc>
      </w:tr>
      <w:tr>
        <w:trPr/>
        <w:tc>
          <w:tcPr>
            <w:tcW w:w="6138" w:type="dxa"/>
            <w:tcBorders>
              <w:bottom w:val="single" w:sz="8" w:space="0" w:color="B2B2B2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5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6138" w:type="dxa"/>
            <w:tcBorders>
              <w:top w:val="single" w:sz="8" w:space="0" w:color="B2B2B2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Michael M. Morrissey, Ph.D., has served as a director and as Exelixis’ President and Chief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Executive Officer since July 2010. Dr. Morrissey has held positions of increasing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responsibility at Exelixis since he joined the company in February 2000, including serving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as President of Research and Development from January 2007 to July 2010. From 1991 to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2000, Dr. Morrissey held several positions at Berlex Biosciences, last holding the position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of Vice President, Discovery Research. Earlier in his career, Dr. Morrissey served as a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Senior Scientist and Project Team Leader in Medicinal Chemistry at CIBA-Geigy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Corporation.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Dr. Morrissey has served as Chair of the board of directors of Vera Therapeutics, Inc., a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publicly held, clinical-stage biotechnology company focused on developing and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commercializing treatments for patients with serious immunological diseases, since April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2022. Dr. Morrissey previously served as a member of the board of directors of: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XWPharma Ltd., a privately held, clinical-stage biopharmaceutical company focused on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the discovery and development of novel therapeutics, from 2020 to 2023; and CERo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Therapeutics, Inc., a privately held biopharmaceutical company focused on next-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generation cell-based therapies for cancer, from January 2022 to November 2022. Dr.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Morrissey is the author of numerous scientific publications in medicinal chemistry and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drug discovery and an inventor on 70 issued U.S. patents and 25 additional published U.S.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patent applications. Dr. Morrissey holds a B.S. (Honors) in Chemistry from the University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of Wisconsin and a Ph.D. in Chemistry from Harvard University.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5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6138" w:type="dxa"/>
            <w:tcBorders/>
            <w:shd w:fill="E5E5E5" w:val="clear"/>
            <w:vAlign w:val="center"/>
          </w:tcPr>
          <w:p>
            <w:pPr>
              <w:pStyle w:val="TableContents"/>
              <w:bidi w:val="0"/>
              <w:spacing w:lineRule="atLeast" w:line="360" w:before="0" w:after="0"/>
              <w:jc w:val="left"/>
              <w:rPr>
                <w:rFonts w:ascii="sans-serif" w:hAnsi="sans-serif"/>
                <w:b w:val="false"/>
                <w:i/>
                <w:strike w:val="false"/>
                <w:dstrike w:val="false"/>
                <w:color w:val="F47521"/>
                <w:sz w:val="3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/>
                <w:strike w:val="false"/>
                <w:dstrike w:val="false"/>
                <w:color w:val="F47521"/>
                <w:sz w:val="36"/>
                <w:u w:val="none"/>
                <w:effect w:val="none"/>
              </w:rPr>
              <w:t>Robert (Bob) L. Oliver, Jr.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Executive Advisor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5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Director since 2023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Age 67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Key Qualifications and Expertise: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Our Board concluded that Mr. Oliver should continue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to serve as a director of Exelixis due to his leadership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experience and expertise in the field of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pharmaceutical commercialization, his memberships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on the boards of directors of various pharmaceutical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and biotechnology companies and his extensive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experience in financial strategy and business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development.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Committee Assignments: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•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Compensation Committee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•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Risk Committee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Other Current Public Company Boards: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•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None</w:t>
            </w:r>
          </w:p>
        </w:tc>
      </w:tr>
      <w:tr>
        <w:trPr/>
        <w:tc>
          <w:tcPr>
            <w:tcW w:w="6138" w:type="dxa"/>
            <w:tcBorders>
              <w:bottom w:val="single" w:sz="8" w:space="0" w:color="B2B2B2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5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6138" w:type="dxa"/>
            <w:tcBorders>
              <w:top w:val="single" w:sz="8" w:space="0" w:color="B2B2B2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Robert L. Oliver, Jr. has been a director since May 2023. From 2010 to 2020, Mr. Oliver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served in a variety of senior positions at Otsuka America Pharmaceutical, Inc., a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pharmaceutical company and subsidiary of Otsuka Holdings Co. Ltd., including President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and Chief Executive Officer from 2016 to 2017, President and Chief Operating Officer from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2014 to 2016, Vice President of Sales and Marketing from 2010 to 2014, and served as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Chairman of Otsuka Canada Pharmaceutical, Inc. from 2016 to 2020. Prior to joining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Otsuka, he served in a variety of senior positions at Wyeth Pharmaceuticals, a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pharmaceutical company, where he also served as Senior Vice President from 2008 to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2010 and Vice President from 2005 to 2008. Mr. Oliver began his career with Johnson &amp;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Johnson, a pharmaceutical and consumer packaged goods company, where he held a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variety of positions from 1989 to 2005.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Mr. Oliver has served as an Executive Advisor of CELLIX Biosciences, a biopharmaceutical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company, since 2018, and Hyalo Technologies, LLC, since 2017. Mr. Oliver has served as a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member of the board of directors of Neurotez, Inc., a privately held biotechnology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company, since 2017, and Hyalo Technologies, LLC, a privately held biotechnology and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biopharmaceutical company, since 2017. Previously, he served as a member of the board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of directors of PsyBio Therapeutics Corp., a publicly held biotechnology company, from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2021 to 2024, as a member of the board of directors and as Executive Advisor of Medison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Canada, an affiliate of Medison Pharma Ltd., from 2018 to 2022, and as a member of the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board of directors of Immunomedics, Inc., a publicly held biotechnology company, from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January 2017 until its acquisition by Gilead Sciences, Inc. in March 2017. Mr. Oliver serves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on the Pharma Board of Advisors at Saint Joseph’s University and on the Board of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Governors of the Accreditation Council for Medical Affairs. Mr. Oliver holds a B.A. from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Rutgers University and an M.B.A. from Saint Joseph’s University.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5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256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176"/>
        <w:gridCol w:w="391"/>
      </w:tblGrid>
      <w:tr>
        <w:trPr/>
        <w:tc>
          <w:tcPr>
            <w:tcW w:w="21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7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40404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404040"/>
                <w:sz w:val="18"/>
                <w:u w:val="none"/>
                <w:effect w:val="none"/>
              </w:rPr>
              <w:t>2026 Proxy Statement</w:t>
            </w:r>
          </w:p>
        </w:tc>
        <w:tc>
          <w:tcPr>
            <w:tcW w:w="39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  <w:t>17</w:t>
            </w:r>
          </w:p>
        </w:tc>
      </w:tr>
    </w:tbl>
    <w:tbl>
      <w:tblPr>
        <w:tblW w:w="468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696"/>
        <w:gridCol w:w="2986"/>
      </w:tblGrid>
      <w:tr>
        <w:trPr/>
        <w:tc>
          <w:tcPr>
            <w:tcW w:w="16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9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9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6d44722bfc2543dbbba9716d9e560c58_16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color w:val="0000FF"/>
                  <w:sz w:val="18"/>
                  <w:u w:val="single"/>
                </w:rPr>
                <w:t>Table of Contents</w:t>
              </w:r>
            </w:hyperlink>
          </w:p>
        </w:tc>
        <w:tc>
          <w:tcPr>
            <w:tcW w:w="29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Proposal 1 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C4C02"/>
                <w:sz w:val="18"/>
                <w:u w:val="none"/>
                <w:effect w:val="none"/>
              </w:rPr>
              <w:t>| 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 xml:space="preserve">Director Nominees </w:t>
            </w:r>
          </w:p>
        </w:tc>
      </w:tr>
    </w:tbl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12"/>
        <w:gridCol w:w="109"/>
        <w:gridCol w:w="3984"/>
      </w:tblGrid>
      <w:tr>
        <w:trPr/>
        <w:tc>
          <w:tcPr>
            <w:tcW w:w="611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8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6112" w:type="dxa"/>
            <w:tcBorders/>
            <w:shd w:fill="E5E5E5" w:val="clear"/>
            <w:vAlign w:val="center"/>
          </w:tcPr>
          <w:p>
            <w:pPr>
              <w:pStyle w:val="TableContents"/>
              <w:bidi w:val="0"/>
              <w:spacing w:lineRule="atLeast" w:line="360" w:before="0" w:after="0"/>
              <w:jc w:val="left"/>
              <w:rPr>
                <w:rFonts w:ascii="sans-serif" w:hAnsi="sans-serif"/>
                <w:b w:val="false"/>
                <w:i/>
                <w:strike w:val="false"/>
                <w:dstrike w:val="false"/>
                <w:color w:val="F47521"/>
                <w:sz w:val="3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/>
                <w:strike w:val="false"/>
                <w:dstrike w:val="false"/>
                <w:color w:val="F47521"/>
                <w:sz w:val="36"/>
                <w:u w:val="none"/>
                <w:effect w:val="none"/>
              </w:rPr>
              <w:t>Stelios Papadopoulos, Ph.D.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Co-Founder and Chair of the Board, Exelixis, Inc.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84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Director since 1994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Age 77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Key Qualifications and Expertise: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Our Board concluded that Dr. Papadopoulos should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continue to serve as a director of Exelixis due to his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training as a scientist, his knowledge and experience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with respect to the biotechnology, healthcare and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pharmaceutical industries, his broad leadership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experience resulting from extensive service on various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boards, his knowledge and experience with respect to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finance matters, and his ability to bring historical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knowledge and continuity to the Board.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Committee Assignments: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•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Audit Committee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•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Compensation Committee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•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Research &amp; Development Committee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Other Current Public Company Boards: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•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Ovid Therapeutics Inc., serving on the Audit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Committee and Compensation Committee</w:t>
            </w:r>
          </w:p>
        </w:tc>
      </w:tr>
      <w:tr>
        <w:trPr/>
        <w:tc>
          <w:tcPr>
            <w:tcW w:w="6112" w:type="dxa"/>
            <w:tcBorders>
              <w:bottom w:val="single" w:sz="8" w:space="0" w:color="B2B2B2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84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6112" w:type="dxa"/>
            <w:tcBorders>
              <w:top w:val="single" w:sz="8" w:space="0" w:color="B2B2B2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Stelios Papadopoulos, Ph.D., a co-founder of Exelixis, has been a director since December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1994 and has served as Chair of the Board since January 1998. Dr. Papadopoulos retired as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Vice Chairman of Cowen &amp; Co., LLC in 2006 after six years as an investment banker with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the firm, where he focused on the biotechnology and pharmaceutical sectors. Prior to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joining Cowen &amp; Co., he spent 13 years as an investment banker at PaineWebber,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Incorporated, where he was most recently Chairman of PaineWebber Development Corp.,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a PaineWebber subsidiary focusing on biotechnology. Earlier, he held equity research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roles at Drexel Burnham Lambert and Donaldson, Lufkin &amp; Jenrette. Before coming to Wall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Street in 1985, Dr. Papadopoulos was on the faculty of the Department of Cell Biology at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New York University Medical Center.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Dr. Papadopoulos was a co-founder of Anadys Pharmaceuticals, Inc., a publicly held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biopharmaceutical company focused on improving patient care by developing novel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medicines for the treatment of hepatitis C, acquired by F. Hoffmann-La Roche Ltd. in 2011.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Dr. Papadopoulos served as a member of its board of directors from 2000 to 2011 and as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its Chairman in 2011, prior to the acquisition.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Dr. Papadopoulos serves as a member of the board of directors of Ovid Therapeutics, Inc.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a publicly held biopharmaceutical company focused on developing small-molecule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medicines for brain conditions, since 2025, and as co-founder and Chairman of the board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of directors of Epikast, Inc., a privately held company focused on providing sales, medical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affairs, market access, patient engagement and other services to pharmaceutical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companies, since 2023. He previously served as a member of the board of directors of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Regulus Therapeutics Inc., a publicly held biopharmaceutical company focused on the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development of medicines targeting microRNAs, from 2008 to 2025, and as Chairman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from 2013 to 2025, Biogen, Inc., a publicly held biopharmaceutical company focused on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the treatment of serious diseases, from 2008 to 2023, and as its Chairman from 2014 to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2023, and Eucrates Biomedical Acquisition Corp., a special purpose acquisition company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(SPAC) as its Chairman, from 2020 to 2023. Dr. Papadopoulos was also co-founder and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member of the board of directors of Cellzome Inc., a privately held drug discovery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company acquired by GSK plc in 2012. Dr. Papadopoulos is a co-founder and Chairman of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Fondation Santé, and previously served as a member of the board of visitors of Duke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Medicine and a member of the Global Advisory Board of the Duke Institute for Health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Innovation. Dr. Papadopoulos holds an M.S. in Physics, a Ph.D. in Biophysics and an M.B.A.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in Finance, all from New York University.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84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74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61"/>
        <w:gridCol w:w="1381"/>
      </w:tblGrid>
      <w:tr>
        <w:trPr/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  <w:t>18</w:t>
            </w:r>
          </w:p>
        </w:tc>
        <w:tc>
          <w:tcPr>
            <w:tcW w:w="138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Exelixis, Inc.</w:t>
            </w:r>
          </w:p>
        </w:tc>
      </w:tr>
    </w:tbl>
    <w:tbl>
      <w:tblPr>
        <w:tblW w:w="1741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741"/>
      </w:tblGrid>
      <w:tr>
        <w:trPr/>
        <w:tc>
          <w:tcPr>
            <w:tcW w:w="17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4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6d44722bfc2543dbbba9716d9e560c58_16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color w:val="0000FF"/>
                  <w:sz w:val="18"/>
                  <w:u w:val="single"/>
                </w:rPr>
                <w:t>Table of Contents</w:t>
              </w:r>
            </w:hyperlink>
          </w:p>
        </w:tc>
      </w:tr>
    </w:tbl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998"/>
        <w:gridCol w:w="109"/>
        <w:gridCol w:w="4098"/>
      </w:tblGrid>
      <w:tr>
        <w:trPr/>
        <w:tc>
          <w:tcPr>
            <w:tcW w:w="599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9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998" w:type="dxa"/>
            <w:tcBorders/>
            <w:shd w:fill="E5E5E5" w:val="clear"/>
            <w:vAlign w:val="center"/>
          </w:tcPr>
          <w:p>
            <w:pPr>
              <w:pStyle w:val="TableContents"/>
              <w:bidi w:val="0"/>
              <w:spacing w:lineRule="atLeast" w:line="360" w:before="0" w:after="0"/>
              <w:jc w:val="left"/>
              <w:rPr>
                <w:rFonts w:ascii="sans-serif" w:hAnsi="sans-serif"/>
                <w:b w:val="false"/>
                <w:i/>
                <w:strike w:val="false"/>
                <w:dstrike w:val="false"/>
                <w:color w:val="F47521"/>
                <w:sz w:val="3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/>
                <w:strike w:val="false"/>
                <w:dstrike w:val="false"/>
                <w:color w:val="F47521"/>
                <w:sz w:val="36"/>
                <w:u w:val="none"/>
                <w:effect w:val="none"/>
              </w:rPr>
              <w:t>George Poste, DVM, Ph.D., FRS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Chief Scientist, Complex Adaptive Systems Initiative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9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Director since 2004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Age 81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Key Qualifications and Expertise: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Our Board concluded that Dr. Poste should continue to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serve as a director of Exelixis due to his training as a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scientist, his knowledge and experience with respect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to the life sciences, healthcare and pharmaceutical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industries, his broad leadership experience resulting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from service on various boards, and his knowledge and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experience with policymaking, regulatory issues and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other governmental matters.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Committee Assignments: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•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Research &amp; Development Committee (Chair)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•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Risk Committee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Other Current Public Company Boards: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•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Caris Life Sciences, Inc.</w:t>
            </w:r>
          </w:p>
        </w:tc>
      </w:tr>
      <w:tr>
        <w:trPr/>
        <w:tc>
          <w:tcPr>
            <w:tcW w:w="5998" w:type="dxa"/>
            <w:tcBorders>
              <w:bottom w:val="single" w:sz="8" w:space="0" w:color="B2B2B2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9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998" w:type="dxa"/>
            <w:tcBorders>
              <w:top w:val="single" w:sz="8" w:space="0" w:color="B2B2B2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George Poste, DVM, Ph.D., FRS, has been a director since August 2004. Since 2009, Dr.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Poste has been the Chief Scientist at the Complex Adaptive Systems Initiative and a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Regents’ Professor and Del E. Webb Professor of Health Innovation at Arizona State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University. From 2003 to 2009, Dr. Poste served as the director of the Biodesign Institute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at Arizona State University. Dr. Poste has served as the Chief Executive Officer of Health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Technology Networks, a consulting company that specializes in the application of genomic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technologies and computing in healthcare, since 2000. From 1992 to 1999, he was the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Chief Science and Technology Officer and President, R&amp;D, of SmithKline Beecham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Corporation, a pharmaceutical company (later merged into GlaxoSmithKline plc).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Dr. Poste served on the Defense Science Board of the U.S. Department of Defense from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2001 to 2010 and is a member of other organizations dedicated to advancing defenses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against bioweapons and biowarfare.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Dr. Poste has served as a member of the board of directors of Caris Life Sciences, a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publicly traded medical diagnostics company, since 2009, and as a member of the board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of directors of MediSix Therapeutics Pte. Ltd. (Singapore), a privately held immune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engineering company focused on cellular therapies, since 2022. Previously, Dr. Poste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served as a member of the board of directors of: InanoBio, Inc., a privately held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biotechnology company, from 2021 to 2023; Monsanto Company, a publicly held provider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of agricultural products and solutions, from 2003 until its acquisition by Bayer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Aktiengesellschaft in 2018; Orchid Cellmark, Inc., a publicly held DNA forensics company,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from 2000 until its acquisition by the Laboratory Corporation of America in 2009 as non-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executive chairman. Dr. Poste is a Fellow of the Royal Society, the UK Academy of Medical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Sciences, Hoover Institution, Stanford University, and has been awarded honorary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doctorates from several universities. Dr. Poste holds a DVM in veterinary medicine and a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Ph.D. in Virology from the University of Bristol, England and holds Board Certification in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Pathology from the Royal College of Pathologists.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9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998" w:type="dxa"/>
            <w:tcBorders/>
            <w:shd w:fill="E5E5E5" w:val="clear"/>
            <w:vAlign w:val="center"/>
          </w:tcPr>
          <w:p>
            <w:pPr>
              <w:pStyle w:val="TableContents"/>
              <w:bidi w:val="0"/>
              <w:spacing w:lineRule="atLeast" w:line="360" w:before="0" w:after="0"/>
              <w:jc w:val="left"/>
              <w:rPr>
                <w:rFonts w:ascii="sans-serif" w:hAnsi="sans-serif"/>
                <w:b w:val="false"/>
                <w:i/>
                <w:strike w:val="false"/>
                <w:dstrike w:val="false"/>
                <w:color w:val="F47521"/>
                <w:sz w:val="3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/>
                <w:strike w:val="false"/>
                <w:dstrike w:val="false"/>
                <w:color w:val="F47521"/>
                <w:sz w:val="36"/>
                <w:u w:val="none"/>
                <w:effect w:val="none"/>
              </w:rPr>
              <w:t>Julie Anne Smith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Former Chief Executive Officer, Nuvig Therapeutics, Inc.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9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Director since 2016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Age 55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Key Qualifications and Expertise: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Our Board concluded that Ms. Smith should continue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to serve as a director of Exelixis due to her knowledge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and experience with respect to biotechnology,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healthcare and pharmaceutical industries and her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broad leadership experience resulting from service as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an executive in the pharmaceutical industry.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Committee Assignments: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•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Audit Committee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•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Compensation Committee (Chair)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Other Current Public Company Boards: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•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Stoke Therapeutics, Inc., serving on the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Compensation Committee (Chair) and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Nominating &amp; Governance Committee</w:t>
            </w:r>
          </w:p>
        </w:tc>
      </w:tr>
      <w:tr>
        <w:trPr/>
        <w:tc>
          <w:tcPr>
            <w:tcW w:w="5998" w:type="dxa"/>
            <w:tcBorders>
              <w:bottom w:val="single" w:sz="8" w:space="0" w:color="B2B2B2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9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998" w:type="dxa"/>
            <w:tcBorders>
              <w:top w:val="single" w:sz="8" w:space="0" w:color="B2B2B2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Julie Anne Smith has been a director since September 2016. Previously, Ms. Smith served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as: Chief Executive Officer and a member of the board of directors of Nuvig Therapeutics,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Inc., a privately held biopharmaceutical company focused on recombinant human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therapeutics for autoimmune disease, from 2023 to 2024; as President and Chief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Executive Officer and member of the board of directors of ESCAPE Bio Inc., a privately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held, clinical-stage biopharmaceutical company focused on therapeutics for genetically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defined neurodegenerative diseases, from 2018 to 2022; and as President and Chief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Executive Officer and member of the board of directors of Nuredis, Inc., a privately held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biotechnology company, from 2017 to 2018. Prior to Nuredis, she served as President and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Chief Executive Officer of Raptor Pharmaceutical Corp., a publicly held biopharmaceutical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company focused on treatments for rare diseases from 2015 until the company’s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acquisition by Horizon Pharma plc in 2016, where she also served as Executive Vice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President and Chief Operating Officer from 2012 to 2014. From 2008 to 2012, Ms. Smith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served as Chief Commercial Officer of Enobia Pharmaceuticals prior to the company’s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acquisition by Alexion Pharmaceuticals, Inc. Previously, Ms. Smith served as Vice President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of Commercial at Jazz Pharmaceuticals plc from 2006 to 2008, as Vice President, Global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Marketing at Genzyme General from 2001 to 2005, and in operations and business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development roles at Novazyme Pharmaceuticals, from 2000 to 2001. Ms. Smith began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her industry career at Bristol-Myers Squibb Company in 1996.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Ms. Smith has served as a member of the board of directors of Stoke Therapeutics, Inc., a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publicly held biotechnology company focused on genetic disease therapeutics, since 2020.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Previously, Ms. Smith served as a member of the board of directors of Audentes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Therapeutics, Inc., a publicly held, clinical-stage biotechnology company focused on gene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therapy products for rare diseases, from 2016 until its acquisition by Astellas Pharma Inc.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in 2020, and as a Director on the Health and Emerging Companies Sections of the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Biotechnology Innovation Organization (BIO) board. Ms. Smith holds a B.S. in biological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and nutritional sciences from Cornell University.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9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256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176"/>
        <w:gridCol w:w="391"/>
      </w:tblGrid>
      <w:tr>
        <w:trPr/>
        <w:tc>
          <w:tcPr>
            <w:tcW w:w="21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7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40404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404040"/>
                <w:sz w:val="18"/>
                <w:u w:val="none"/>
                <w:effect w:val="none"/>
              </w:rPr>
              <w:t>2026 Proxy Statement</w:t>
            </w:r>
          </w:p>
        </w:tc>
        <w:tc>
          <w:tcPr>
            <w:tcW w:w="39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  <w:t>19</w:t>
            </w:r>
          </w:p>
        </w:tc>
      </w:tr>
    </w:tbl>
    <w:tbl>
      <w:tblPr>
        <w:tblW w:w="468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696"/>
        <w:gridCol w:w="2986"/>
      </w:tblGrid>
      <w:tr>
        <w:trPr/>
        <w:tc>
          <w:tcPr>
            <w:tcW w:w="16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9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9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6d44722bfc2543dbbba9716d9e560c58_16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color w:val="0000FF"/>
                  <w:sz w:val="18"/>
                  <w:u w:val="single"/>
                </w:rPr>
                <w:t>Table of Contents</w:t>
              </w:r>
            </w:hyperlink>
          </w:p>
        </w:tc>
        <w:tc>
          <w:tcPr>
            <w:tcW w:w="29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Proposal 1 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C4C02"/>
                <w:sz w:val="18"/>
                <w:u w:val="none"/>
                <w:effect w:val="none"/>
              </w:rPr>
              <w:t>| 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 xml:space="preserve">Director Nominees </w:t>
            </w:r>
          </w:p>
        </w:tc>
      </w:tr>
    </w:tbl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235"/>
        <w:gridCol w:w="109"/>
        <w:gridCol w:w="3861"/>
      </w:tblGrid>
      <w:tr>
        <w:trPr/>
        <w:tc>
          <w:tcPr>
            <w:tcW w:w="623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8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6235" w:type="dxa"/>
            <w:tcBorders/>
            <w:shd w:fill="E5E5E5" w:val="clear"/>
            <w:vAlign w:val="center"/>
          </w:tcPr>
          <w:p>
            <w:pPr>
              <w:pStyle w:val="TableContents"/>
              <w:bidi w:val="0"/>
              <w:spacing w:lineRule="atLeast" w:line="360" w:before="0" w:after="0"/>
              <w:jc w:val="left"/>
              <w:rPr>
                <w:rFonts w:ascii="sans-serif" w:hAnsi="sans-serif"/>
                <w:b w:val="false"/>
                <w:i/>
                <w:strike w:val="false"/>
                <w:dstrike w:val="false"/>
                <w:color w:val="F47521"/>
                <w:sz w:val="3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/>
                <w:strike w:val="false"/>
                <w:dstrike w:val="false"/>
                <w:color w:val="F47521"/>
                <w:sz w:val="36"/>
                <w:u w:val="none"/>
                <w:effect w:val="none"/>
              </w:rPr>
              <w:t>Jack L. Wyszomierski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Former Executive Vice President and Chief Financial Officer, VWR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International, LLC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861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Director since 2004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Age 70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Key Qualifications and Expertise: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Our Board concluded that Mr. Wyszomierski should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continue to serve as a director of Exelixis due to his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extensive financial reporting, accounting, and finance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experience, as well as his experience in the healthcare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and life sciences industries. These qualities have also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formed the basis for the Board’s decision to appoint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Mr. Wyszomierski as a member and Chair of the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Audit Committee.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Committee Assignments: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•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Audit Committee (Chair)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•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Governance Committee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Other Current Public Company Boards: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•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XOMA Corporation (chair), serving on the Audit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Committee and the Compensation Committee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•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SiteOne Landscape Supply, Inc., serving on the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Audit Committee and the Nominating &amp;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Corporate Governance Committee (Chair)</w:t>
            </w:r>
          </w:p>
        </w:tc>
      </w:tr>
      <w:tr>
        <w:trPr/>
        <w:tc>
          <w:tcPr>
            <w:tcW w:w="6235" w:type="dxa"/>
            <w:tcBorders>
              <w:bottom w:val="single" w:sz="8" w:space="0" w:color="B2B2B2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86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6235" w:type="dxa"/>
            <w:tcBorders>
              <w:top w:val="single" w:sz="8" w:space="0" w:color="B2B2B2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Jack L. Wyszomierski has been a director since February 2004. From 2004 to 2009, Mr.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Wyszomierski served as the Executive Vice President and Chief Financial Officer of VWR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International, LLC, a supplier of laboratory supplies, equipment and supply chain solutions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to the global research laboratory industry. From 1982 to 2003, Mr. Wyszomierski held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positions of increasing responsibility within the finance group at Schering-Plough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Corporation, a health care company, culminating with his appointment as Executive Vice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President and Chief Financial Officer in 1996. Prior to joining Schering-Plough, he was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responsible for capitalization planning at Joy Manufacturing Company, a producer of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mining equipment, and served as a management consultant at Data Resources, Inc.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Mr. Wyszomierski has served as a member of the board of directors of XOMA Corporation,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a publicly held biotech royalty aggregator, since 2010, and as its Chairman since January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2024, and as a member of the board of directors of SiteOne Landscape Supply, Inc., a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publicly held company that distributes landscape supply products, since 2016. Mr.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Wyszomierski previously served as a member of the board of directors of: Unigene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Laboratories, Inc., a publicly held biopharmaceutical company, from 2010 to 2013;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AssuraMed Holding, Inc., a privately held distributor of home healthcare products, from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2011 until its acquisition by Cardinal Health Inc. in 2013; Solenis, Inc., a privately held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chemicals producer from 2014 until its acquisition by Platinum Equity in 2021; and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Athersys, Inc., a publicly held company engaged in the discovery and development of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therapeutic product candidates, from 2010 until 2024. Mr. Wyszomierski holds a M.S. in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Industrial Administration and a B.S. in Administration, Management Science and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Economics from Carnegie Mellon University.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86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623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8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205" w:type="dxa"/>
            <w:gridSpan w:val="3"/>
            <w:tcBorders/>
            <w:shd w:fill="E5E5E5" w:val="clear"/>
            <w:vAlign w:val="center"/>
          </w:tcPr>
          <w:p>
            <w:pPr>
              <w:pStyle w:val="TableContents"/>
              <w:bidi w:val="0"/>
              <w:spacing w:lineRule="atLeast" w:line="24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24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24"/>
                <w:u w:val="none"/>
                <w:effect w:val="none"/>
              </w:rPr>
              <w:t xml:space="preserve">THE BOARD OF DIRECTORS RECOMMENDS A VOTE “FOR” EACH NAMED NOMINEE. </w:t>
            </w:r>
          </w:p>
        </w:tc>
      </w:tr>
    </w:tbl>
    <w:tbl>
      <w:tblPr>
        <w:tblW w:w="174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61"/>
        <w:gridCol w:w="1381"/>
      </w:tblGrid>
      <w:tr>
        <w:trPr/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  <w:t>20</w:t>
            </w:r>
          </w:p>
        </w:tc>
        <w:tc>
          <w:tcPr>
            <w:tcW w:w="138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Exelixis, Inc.</w:t>
            </w:r>
          </w:p>
        </w:tc>
      </w:tr>
    </w:tbl>
    <w:tbl>
      <w:tblPr>
        <w:tblW w:w="1741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741"/>
      </w:tblGrid>
      <w:tr>
        <w:trPr/>
        <w:tc>
          <w:tcPr>
            <w:tcW w:w="17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4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6d44722bfc2543dbbba9716d9e560c58_16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color w:val="0000FF"/>
                  <w:sz w:val="18"/>
                  <w:u w:val="single"/>
                </w:rPr>
                <w:t>Table of Contents</w:t>
              </w:r>
            </w:hyperlink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36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F47521"/>
          <w:sz w:val="36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F47521"/>
          <w:sz w:val="36"/>
          <w:u w:val="none"/>
          <w:effect w:val="none"/>
        </w:rPr>
        <w:t>Board Committees</w:t>
      </w:r>
    </w:p>
    <w:tbl>
      <w:tblPr>
        <w:tblW w:w="169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69"/>
      </w:tblGrid>
      <w:tr>
        <w:trPr/>
        <w:tc>
          <w:tcPr>
            <w:tcW w:w="16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9" w:type="dxa"/>
            <w:tcBorders>
              <w:top w:val="single" w:sz="8" w:space="0" w:color="F47521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Our Board has five standing committees: Audit, Compensation, Governance, Research &amp; Development, and Risk.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Each of our committees operates pursuant to a written charter (available a</w:t>
      </w:r>
      <w:r>
        <w:rPr>
          <w:rFonts w:ascii="sans-serif" w:hAnsi="sans-serif"/>
          <w:b w:val="false"/>
          <w:i w:val="false"/>
          <w:caps w:val="false"/>
          <w:smallCaps w:val="false"/>
          <w:sz w:val="20"/>
        </w:rPr>
        <w:t xml:space="preserve">t </w:t>
      </w:r>
      <w:r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  <w:t>www.exelixis.com</w:t>
      </w:r>
      <w:r>
        <w:rPr>
          <w:caps w:val="false"/>
          <w:smallCaps w:val="false"/>
          <w:strike w:val="false"/>
          <w:dstrike w:val="false"/>
          <w:color w:val="3F3F3F"/>
          <w:u w:val="none"/>
          <w:effect w:val="none"/>
        </w:rPr>
        <w:t xml:space="preserve">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under the caption </w:t>
      </w:r>
    </w:p>
    <w:p>
      <w:pPr>
        <w:pStyle w:val="TextBody"/>
        <w:bidi w:val="0"/>
        <w:spacing w:lineRule="atLeast" w:line="200" w:before="0" w:after="0"/>
        <w:jc w:val="left"/>
        <w:rPr>
          <w:caps w:val="false"/>
          <w:smallCaps w:val="false"/>
          <w:strike w:val="false"/>
          <w:dstrike w:val="false"/>
          <w:color w:val="3F3F3F"/>
          <w:u w:val="none"/>
          <w:effect w:val="none"/>
        </w:rPr>
      </w:pPr>
      <w:r>
        <w:rPr>
          <w:caps w:val="false"/>
          <w:smallCaps w:val="false"/>
          <w:strike w:val="false"/>
          <w:dstrike w:val="false"/>
          <w:color w:val="3F3F3F"/>
          <w:u w:val="none"/>
          <w:effect w:val="none"/>
        </w:rPr>
        <w:t>“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Investors &amp; News —Corporate Governance—Committee Composition and Charters”), which charters are reviewed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annually by each respective committee.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F47521"/>
          <w:sz w:val="2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F47521"/>
          <w:sz w:val="28"/>
          <w:u w:val="none"/>
          <w:effect w:val="none"/>
        </w:rPr>
        <w:t>Audit Committee</w:t>
      </w:r>
    </w:p>
    <w:tbl>
      <w:tblPr>
        <w:tblW w:w="169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69"/>
      </w:tblGrid>
      <w:tr>
        <w:trPr/>
        <w:tc>
          <w:tcPr>
            <w:tcW w:w="16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9" w:type="dxa"/>
            <w:tcBorders>
              <w:top w:val="single" w:sz="8" w:space="0" w:color="F47521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sans-serif" w:hAnsi="sans-serif"/>
          <w:b w:val="false"/>
          <w:i w:val="false"/>
          <w:caps w:val="false"/>
          <w:smallCaps w:val="false"/>
          <w:color w:val="3F3F3F"/>
          <w:sz w:val="20"/>
          <w:u w:val="single"/>
        </w:rPr>
        <w:t>Current Members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: Jack L. Wyszomierski (Chair), David E. Johnson, Stelios Papadopoulos, Julie Anne Smith (All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Independent/All Audit Committee Financial Experts)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The Audit Committee assists the Board in overseeing our financial reporting process and ensuring the integrity of our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financial statements. The Audit Committee is composed entirely of independent directors and performs several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functions, including: </w:t>
      </w:r>
    </w:p>
    <w:tbl>
      <w:tblPr>
        <w:tblW w:w="924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711"/>
        <w:gridCol w:w="4531"/>
      </w:tblGrid>
      <w:tr>
        <w:trPr/>
        <w:tc>
          <w:tcPr>
            <w:tcW w:w="47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71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•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Evaluating the performance, qualifications,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compensation and continued engagement of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the independent registered public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accounting firm, as well as resolving any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disagreements between the independent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registered public accounting firm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and management</w:t>
            </w:r>
          </w:p>
        </w:tc>
        <w:tc>
          <w:tcPr>
            <w:tcW w:w="453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•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Reviewing the financial statements for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inclusion in our Annual Report on Form 10-K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and preparing the Audit Committee’s report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for inclusion in our Proxy Statement or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Annual Report on Form 10-K</w:t>
            </w:r>
          </w:p>
        </w:tc>
      </w:tr>
      <w:tr>
        <w:trPr/>
        <w:tc>
          <w:tcPr>
            <w:tcW w:w="47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71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•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Reviewing our tax strategy, material tax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audits and proceedings and any other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material tax matters</w:t>
            </w:r>
          </w:p>
        </w:tc>
        <w:tc>
          <w:tcPr>
            <w:tcW w:w="453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•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Establishing procedures to receive and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address complaints regarding accounting,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internal accounting controls or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auditing matters</w:t>
            </w:r>
          </w:p>
        </w:tc>
      </w:tr>
      <w:tr>
        <w:trPr/>
        <w:tc>
          <w:tcPr>
            <w:tcW w:w="47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71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•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Reviewing, overseeing and approving related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person transactions</w:t>
            </w:r>
          </w:p>
        </w:tc>
        <w:tc>
          <w:tcPr>
            <w:tcW w:w="453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•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Reviewing the results of the annual audit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and the quarterly financial statement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reviews with management and the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independent registered public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accounting firm</w:t>
            </w:r>
          </w:p>
        </w:tc>
      </w:tr>
      <w:tr>
        <w:trPr/>
        <w:tc>
          <w:tcPr>
            <w:tcW w:w="47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71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•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Overseeing our management of risks relating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to financial reporting, fraud, securities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trading and tax matters</w:t>
            </w:r>
          </w:p>
        </w:tc>
        <w:tc>
          <w:tcPr>
            <w:tcW w:w="453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•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Maintaining compliance with SEC and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Nasdaq rules applicable to audit committees</w:t>
            </w:r>
          </w:p>
        </w:tc>
      </w:tr>
      <w:tr>
        <w:trPr/>
        <w:tc>
          <w:tcPr>
            <w:tcW w:w="47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71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•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Serving as the Qualified Legal Compliance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Committee within the meaning of Rule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205.2(k) of Title 17, Chapter II of the Code of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Federal Regulations</w:t>
            </w:r>
          </w:p>
        </w:tc>
        <w:tc>
          <w:tcPr>
            <w:tcW w:w="453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•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Reviewing and approving our decisions to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enter into certain swaps and other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derivatives transactions, as well as our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overall hedging strategy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The Board has determined that each member of the Audit Committee is an “audit committee financial expert” as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defined in applicable SEC rules.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The Audit Committee’s report is set forth in “</w:t>
      </w:r>
      <w:hyperlink w:anchor="i6d44722bfc2543dbbba9716d9e560c58_109">
        <w:r>
          <w:rPr>
            <w:rStyle w:val="InternetLink"/>
            <w:rFonts w:ascii="sans-serif" w:hAnsi="sans-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Report of the Audit Committee</w:t>
        </w:r>
      </w:hyperlink>
      <w:r>
        <w:rPr>
          <w:caps w:val="false"/>
          <w:smallCaps w:val="false"/>
          <w:strike w:val="false"/>
          <w:dstrike w:val="false"/>
          <w:color w:val="3F3F3F"/>
          <w:u w:val="none"/>
          <w:effect w:val="none"/>
        </w:rPr>
        <w:t xml:space="preserve">”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below. </w:t>
      </w:r>
    </w:p>
    <w:tbl>
      <w:tblPr>
        <w:tblW w:w="256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176"/>
        <w:gridCol w:w="391"/>
      </w:tblGrid>
      <w:tr>
        <w:trPr/>
        <w:tc>
          <w:tcPr>
            <w:tcW w:w="21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7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40404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404040"/>
                <w:sz w:val="18"/>
                <w:u w:val="none"/>
                <w:effect w:val="none"/>
              </w:rPr>
              <w:t>2026 Proxy Statement</w:t>
            </w:r>
          </w:p>
        </w:tc>
        <w:tc>
          <w:tcPr>
            <w:tcW w:w="39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  <w:t>21</w:t>
            </w:r>
          </w:p>
        </w:tc>
      </w:tr>
    </w:tbl>
    <w:tbl>
      <w:tblPr>
        <w:tblW w:w="4731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696"/>
        <w:gridCol w:w="109"/>
        <w:gridCol w:w="2926"/>
      </w:tblGrid>
      <w:tr>
        <w:trPr/>
        <w:tc>
          <w:tcPr>
            <w:tcW w:w="16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9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9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6d44722bfc2543dbbba9716d9e560c58_16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color w:val="0000FF"/>
                  <w:sz w:val="18"/>
                  <w:u w:val="single"/>
                </w:rPr>
                <w:t>Table of Contents</w:t>
              </w:r>
            </w:hyperlink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92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Proposal 1 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C4C02"/>
                <w:sz w:val="18"/>
                <w:u w:val="none"/>
                <w:effect w:val="none"/>
              </w:rPr>
              <w:t>|</w:t>
            </w: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 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Board Committees</w:t>
            </w:r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F47521"/>
          <w:sz w:val="2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F47521"/>
          <w:sz w:val="28"/>
          <w:u w:val="none"/>
          <w:effect w:val="none"/>
        </w:rPr>
        <w:t>Compensation Committee</w:t>
      </w:r>
    </w:p>
    <w:tbl>
      <w:tblPr>
        <w:tblW w:w="169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69"/>
      </w:tblGrid>
      <w:tr>
        <w:trPr/>
        <w:tc>
          <w:tcPr>
            <w:tcW w:w="16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9" w:type="dxa"/>
            <w:tcBorders>
              <w:top w:val="single" w:sz="8" w:space="0" w:color="F47521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sans-serif" w:hAnsi="sans-serif"/>
          <w:b w:val="false"/>
          <w:i w:val="false"/>
          <w:caps w:val="false"/>
          <w:smallCaps w:val="false"/>
          <w:color w:val="3F3F3F"/>
          <w:sz w:val="20"/>
          <w:u w:val="single"/>
        </w:rPr>
        <w:t>Current Members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: Julie Anne Smith (Chair), S. Gail Eckhardt, Robert L. Oliver, Jr., Stelios Papadopoulos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(All Independent)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The Compensation Committee assists the Board in overseeing our compensation policies, plans and programs. The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Compensation Committee is composed entirely of independent directors and performs several functions, including: </w:t>
      </w:r>
    </w:p>
    <w:tbl>
      <w:tblPr>
        <w:tblW w:w="868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246"/>
        <w:gridCol w:w="4441"/>
      </w:tblGrid>
      <w:tr>
        <w:trPr/>
        <w:tc>
          <w:tcPr>
            <w:tcW w:w="42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24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•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Assessing compensation policies and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practices and reviewing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executive compensation</w:t>
            </w:r>
          </w:p>
        </w:tc>
        <w:tc>
          <w:tcPr>
            <w:tcW w:w="444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•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Evaluating director compensation and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recommending any changes to the Board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for approval</w:t>
            </w:r>
          </w:p>
        </w:tc>
      </w:tr>
      <w:tr>
        <w:trPr/>
        <w:tc>
          <w:tcPr>
            <w:tcW w:w="42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24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•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Reviewing our Compensation Discussion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and Analysis and preparing the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Compensation Committee’s report for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inclusion in our Proxy Statement</w:t>
            </w:r>
          </w:p>
        </w:tc>
        <w:tc>
          <w:tcPr>
            <w:tcW w:w="444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•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Administering equity awards under our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stock plans</w:t>
            </w:r>
          </w:p>
        </w:tc>
      </w:tr>
      <w:tr>
        <w:trPr/>
        <w:tc>
          <w:tcPr>
            <w:tcW w:w="42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24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•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Addressing any conflict of interest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with any compensation adviser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engaged by management or the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Compensation Committee</w:t>
            </w:r>
          </w:p>
        </w:tc>
        <w:tc>
          <w:tcPr>
            <w:tcW w:w="444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•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Assisting the Board in its oversight of our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human capital management function,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including recruiting, retention, career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development and progression and non-CEO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management succession </w:t>
            </w:r>
          </w:p>
        </w:tc>
      </w:tr>
      <w:tr>
        <w:trPr/>
        <w:tc>
          <w:tcPr>
            <w:tcW w:w="42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24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•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Establishing compensation and benefits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policies for employees, including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executive officers</w:t>
            </w:r>
          </w:p>
        </w:tc>
        <w:tc>
          <w:tcPr>
            <w:tcW w:w="444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•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Overseeing annual evaluations of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performance of our executive officers</w:t>
            </w:r>
          </w:p>
        </w:tc>
      </w:tr>
      <w:tr>
        <w:trPr/>
        <w:tc>
          <w:tcPr>
            <w:tcW w:w="42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24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•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Establishing, overseeing and reviewing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stock ownership guidelines for directors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and executive officers</w:t>
            </w:r>
          </w:p>
        </w:tc>
        <w:tc>
          <w:tcPr>
            <w:tcW w:w="44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The Compensation Committee’s report is set forth in “</w:t>
      </w:r>
      <w:hyperlink w:anchor="i6d44722bfc2543dbbba9716d9e560c58_181">
        <w:r>
          <w:rPr>
            <w:rStyle w:val="InternetLink"/>
            <w:rFonts w:ascii="sans-serif" w:hAnsi="sans-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Compensation Committee Report</w:t>
        </w:r>
      </w:hyperlink>
      <w:r>
        <w:rPr>
          <w:caps w:val="false"/>
          <w:smallCaps w:val="false"/>
          <w:strike w:val="false"/>
          <w:dstrike w:val="false"/>
          <w:color w:val="3F3F3F"/>
          <w:u w:val="none"/>
          <w:effect w:val="none"/>
        </w:rPr>
        <w:t xml:space="preserve">”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below. Information on the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Compensation Committee’s processes and procedures for consideration of executive compensation are addressed in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3F3F3F"/>
          <w:u w:val="none"/>
          <w:effect w:val="none"/>
        </w:rPr>
        <w:t>“</w:t>
      </w:r>
      <w:hyperlink w:anchor="i6d44722bfc2543dbbba9716d9e560c58_127">
        <w:r>
          <w:rPr>
            <w:rStyle w:val="InternetLink"/>
            <w:rFonts w:ascii="sans-serif" w:hAnsi="sans-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Compensation Discussion and Analysis</w:t>
        </w:r>
      </w:hyperlink>
      <w:r>
        <w:rPr>
          <w:caps w:val="false"/>
          <w:smallCaps w:val="false"/>
          <w:strike w:val="false"/>
          <w:dstrike w:val="false"/>
          <w:color w:val="3F3F3F"/>
          <w:u w:val="none"/>
          <w:effect w:val="none"/>
        </w:rPr>
        <w:t xml:space="preserve">”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below. For information regarding our processes and procedures for the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consideration and determination of director compensation, please see “</w:t>
      </w:r>
      <w:hyperlink w:anchor="i6d44722bfc2543dbbba9716d9e560c58_82">
        <w:r>
          <w:rPr>
            <w:rStyle w:val="InternetLink"/>
            <w:rFonts w:ascii="sans-serif" w:hAnsi="sans-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Compensation of Directors</w:t>
        </w:r>
      </w:hyperlink>
      <w:r>
        <w:rPr>
          <w:caps w:val="false"/>
          <w:smallCaps w:val="false"/>
          <w:strike w:val="false"/>
          <w:dstrike w:val="false"/>
          <w:color w:val="3F3F3F"/>
          <w:u w:val="none"/>
          <w:effect w:val="none"/>
        </w:rPr>
        <w:t xml:space="preserve">”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below. In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accordance with its charter, the Compensation Committee also may delegate any of its authority or responsibility to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the Chair of the Compensation Committee or to a subcommittee composed of one or more members of the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Compensation Committee and/or other members of the Board and/or officers of Exelixis.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sans-serif" w:hAnsi="sans-serif"/>
          <w:b/>
          <w:i/>
          <w:strike w:val="false"/>
          <w:dstrike w:val="false"/>
          <w:color w:val="F47521"/>
          <w:sz w:val="20"/>
          <w:u w:val="none"/>
          <w:effect w:val="none"/>
        </w:rPr>
        <w:t>Compensation Consultants.</w:t>
      </w:r>
      <w:r>
        <w:rPr>
          <w:strike w:val="false"/>
          <w:dstrike w:val="false"/>
          <w:color w:val="3F3F3F"/>
          <w:u w:val="none"/>
          <w:effect w:val="none"/>
        </w:rPr>
        <w:t xml:space="preserve">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The Compensation Committee retained Aon’s Human Capital Solutions division of Aon plc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(Aon), a compensation consulting firm serving technology and life sciences companies, as its external compensation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consultant to assist the Compensation Committee in its duties related to executive and non-employee director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compensation during 2025. In this capacity, Aon reported directly to the Compensation Committee or through its Chair.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In addition, at the direction of the Compensation Committee, management retained Aon, principally to provide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benchmark and industry compensation data for executive and broad-based compensation analyses. In consideration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for compensation related services provided during 2025, we paid Aon an aggregate of $474,358. Aon’s affiliate Radford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provided our management with access to the Radford Global Life Sciences Survey, Radford Global Technology Survey,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Radford Global Sales Survey, Radford U.S. Benefits Survey and similar materials, for which we paid Radford an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aggregate of $41,520</w:t>
      </w:r>
      <w:r>
        <w:rPr>
          <w:caps w:val="false"/>
          <w:smallCaps w:val="false"/>
          <w:strike w:val="false"/>
          <w:dstrike w:val="false"/>
          <w:color w:val="3F3F3F"/>
          <w:sz w:val="24"/>
          <w:u w:val="none"/>
          <w:effect w:val="none"/>
        </w:rPr>
        <w:t xml:space="preserve">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in 2025. Aon is also an affiliate of Aon Risk Services, which provided insurance brokerage services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to us during 2025</w:t>
      </w:r>
      <w:r>
        <w:rPr>
          <w:caps w:val="false"/>
          <w:smallCaps w:val="false"/>
          <w:strike w:val="false"/>
          <w:dstrike w:val="false"/>
          <w:color w:val="3F3F3F"/>
          <w:sz w:val="24"/>
          <w:u w:val="none"/>
          <w:effect w:val="none"/>
        </w:rPr>
        <w:t xml:space="preserve">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at a total cost of $223,200. Please see “</w:t>
      </w:r>
      <w:hyperlink w:anchor="i6d44722bfc2543dbbba9716d9e560c58_127">
        <w:r>
          <w:rPr>
            <w:rStyle w:val="InternetLink"/>
            <w:rFonts w:ascii="sans-serif" w:hAnsi="sans-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Compensation Discussion and Analysis</w:t>
        </w:r>
      </w:hyperlink>
      <w:r>
        <w:rPr>
          <w:caps w:val="false"/>
          <w:smallCaps w:val="false"/>
          <w:strike w:val="false"/>
          <w:dstrike w:val="false"/>
          <w:color w:val="3F3F3F"/>
          <w:sz w:val="24"/>
          <w:u w:val="none"/>
          <w:effect w:val="none"/>
        </w:rPr>
        <w:t xml:space="preserve">”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for more information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regarding the Compensation Committee’s engagement of Aon. </w:t>
      </w:r>
    </w:p>
    <w:tbl>
      <w:tblPr>
        <w:tblW w:w="174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61"/>
        <w:gridCol w:w="1381"/>
      </w:tblGrid>
      <w:tr>
        <w:trPr/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  <w:t>22</w:t>
            </w:r>
          </w:p>
        </w:tc>
        <w:tc>
          <w:tcPr>
            <w:tcW w:w="138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Exelixis, Inc.</w:t>
            </w:r>
          </w:p>
        </w:tc>
      </w:tr>
    </w:tbl>
    <w:tbl>
      <w:tblPr>
        <w:tblW w:w="1741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741"/>
      </w:tblGrid>
      <w:tr>
        <w:trPr/>
        <w:tc>
          <w:tcPr>
            <w:tcW w:w="17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4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6d44722bfc2543dbbba9716d9e560c58_16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color w:val="0000FF"/>
                  <w:sz w:val="18"/>
                  <w:u w:val="single"/>
                </w:rPr>
                <w:t>Table of Contents</w:t>
              </w:r>
            </w:hyperlink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F47521"/>
          <w:sz w:val="2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F47521"/>
          <w:sz w:val="28"/>
          <w:u w:val="none"/>
          <w:effect w:val="none"/>
        </w:rPr>
        <w:t>Governance Committee</w:t>
      </w:r>
    </w:p>
    <w:tbl>
      <w:tblPr>
        <w:tblW w:w="169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69"/>
      </w:tblGrid>
      <w:tr>
        <w:trPr/>
        <w:tc>
          <w:tcPr>
            <w:tcW w:w="16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9" w:type="dxa"/>
            <w:tcBorders>
              <w:top w:val="single" w:sz="8" w:space="0" w:color="F47521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sans-serif" w:hAnsi="sans-serif"/>
          <w:b w:val="false"/>
          <w:i w:val="false"/>
          <w:caps w:val="false"/>
          <w:smallCaps w:val="false"/>
          <w:color w:val="3F3F3F"/>
          <w:sz w:val="20"/>
          <w:u w:val="single"/>
        </w:rPr>
        <w:t>Current Members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: Maria C. Freire (Chair), Mary C. Beckerle, Tomas J. Heyman, Jack L. Wyszomierski (All Independent)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The Governance Committee oversees all aspects of our corporate governance functions on behalf of the Board. The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Governance Committee is composed entirely of independent directors and performs several functions, including: </w:t>
      </w:r>
    </w:p>
    <w:tbl>
      <w:tblPr>
        <w:tblW w:w="897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501"/>
        <w:gridCol w:w="4471"/>
      </w:tblGrid>
      <w:tr>
        <w:trPr/>
        <w:tc>
          <w:tcPr>
            <w:tcW w:w="45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50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•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Overseeing our governance practices,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including recommending to the Board for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approval of any changes to our corporate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governance framework</w:t>
            </w:r>
          </w:p>
        </w:tc>
        <w:tc>
          <w:tcPr>
            <w:tcW w:w="447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•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Identifying, evaluating and recommending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qualified director candidates to the Board</w:t>
            </w:r>
          </w:p>
        </w:tc>
      </w:tr>
      <w:tr>
        <w:trPr/>
        <w:tc>
          <w:tcPr>
            <w:tcW w:w="45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50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•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Ensuring effective communication between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the Board, its committees and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management, as well as establishing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procedures for stockholders’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communications to the Board</w:t>
            </w:r>
          </w:p>
        </w:tc>
        <w:tc>
          <w:tcPr>
            <w:tcW w:w="447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•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Developing Corporate Governance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Guidelines and administering our Corporate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Code of Conduct</w:t>
            </w:r>
          </w:p>
        </w:tc>
      </w:tr>
      <w:tr>
        <w:trPr/>
        <w:tc>
          <w:tcPr>
            <w:tcW w:w="45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50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•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Conducting periodic assessments of the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performance of the Board and its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committees and compliance with SEC and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Nasdaq requirements for independence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and expertise</w:t>
            </w:r>
          </w:p>
        </w:tc>
        <w:tc>
          <w:tcPr>
            <w:tcW w:w="447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•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Conducting periodic assessments of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sustainability strategy and policies, and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overseeing management in their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implementation and the preparation of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public disclosures pertaining to such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programs and sustainability efforts</w:t>
            </w:r>
          </w:p>
        </w:tc>
      </w:tr>
      <w:tr>
        <w:trPr/>
        <w:tc>
          <w:tcPr>
            <w:tcW w:w="45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50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•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Facilitating CEO succession planning</w:t>
            </w:r>
          </w:p>
        </w:tc>
        <w:tc>
          <w:tcPr>
            <w:tcW w:w="447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•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Overseeing the orientation program for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new directors and continuing education of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all directors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sans-serif" w:hAnsi="sans-serif"/>
          <w:b/>
          <w:i/>
          <w:strike w:val="false"/>
          <w:dstrike w:val="false"/>
          <w:color w:val="F47521"/>
          <w:sz w:val="20"/>
          <w:u w:val="none"/>
          <w:effect w:val="none"/>
        </w:rPr>
        <w:t>Director Qualifications.</w:t>
      </w:r>
      <w:r>
        <w:rPr>
          <w:caps w:val="false"/>
          <w:smallCaps w:val="false"/>
          <w:strike w:val="false"/>
          <w:dstrike w:val="false"/>
          <w:color w:val="3F3F3F"/>
          <w:u w:val="none"/>
          <w:effect w:val="none"/>
        </w:rPr>
        <w:t xml:space="preserve">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The Governance Committee does not have a fixed set of minimum qualifications for candidates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for membership on the Board. Instead, in considering candidates for directorship, the Governance Committee will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generally consider all relevant factors, including the candidate’s applicable expertise and demonstrated excellence in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his or her field, the usefulness of such expertise to us, the availability of the candidate to devote sufficient time and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attention to the company’s affairs, the existence of any relationship that would interfere with the exercise of the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candidate’s independent judgment, and the candidate’s demonstrated character and judgment. In addition, the Board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believes that its members should reflect a wide range of viewpoints, experience and skills. In the director candidate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review process, the Governance Committee evaluates prospective candidates in the context of the existing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membership of the Board (including the qualities and skills of the existing directors), our operating requirements and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the long-term interests of our stockholders.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The Governance Committee regularly evaluates the needs of the Board with respect to skills and experiences that may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be filled by a new director candidate. In addition, the Governance Committee is authorized to access external resources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as it deems necessary or appropriate to fulfill its defined responsibilities, including engagement of executive search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firms to help identify director candidates.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sans-serif" w:hAnsi="sans-serif"/>
          <w:b/>
          <w:i/>
          <w:strike w:val="false"/>
          <w:dstrike w:val="false"/>
          <w:color w:val="F47521"/>
          <w:sz w:val="20"/>
          <w:u w:val="none"/>
          <w:effect w:val="none"/>
        </w:rPr>
        <w:t>Director Nominations.</w:t>
      </w:r>
      <w:r>
        <w:rPr>
          <w:caps w:val="false"/>
          <w:smallCaps w:val="false"/>
          <w:strike w:val="false"/>
          <w:dstrike w:val="false"/>
          <w:color w:val="F47521"/>
          <w:u w:val="none"/>
          <w:effect w:val="none"/>
        </w:rPr>
        <w:t xml:space="preserve">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The Governance Committee considers and assesses all candidates recommended by our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directors, officers and stockholders. Evaluations of candidates generally involve a review of background materials,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internal discussions and interviews with selected candidates as appropriate. If, after its review, the Governance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Committee supports a candidate, it would recommend the candidate for consideration by the full Board. Our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Governance Committee considers stockholder recommendations for directors in the same manner as other candidates.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The Governance Committee has not received any recommended nominations from any stockholder holding 5% or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more of our common stock in connection with the Annual Meeting.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Stockholders who wish to submit potential director candidates for consideration by the Governance Committee should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follow the instructions in “</w:t>
      </w:r>
      <w:hyperlink w:anchor="i6d44722bfc2543dbbba9716d9e560c58_19">
        <w:r>
          <w:rPr>
            <w:rStyle w:val="InternetLink"/>
            <w:rFonts w:ascii="sans-serif" w:hAnsi="sans-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Questions and Answers About These Proxy Materials and Voting</w:t>
        </w:r>
      </w:hyperlink>
      <w:r>
        <w:rPr>
          <w:caps w:val="false"/>
          <w:smallCaps w:val="false"/>
          <w:strike w:val="false"/>
          <w:dstrike w:val="false"/>
          <w:color w:val="3F3F3F"/>
          <w:u w:val="none"/>
          <w:effect w:val="none"/>
        </w:rPr>
        <w:t xml:space="preserve">”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above. </w:t>
      </w:r>
    </w:p>
    <w:tbl>
      <w:tblPr>
        <w:tblW w:w="256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176"/>
        <w:gridCol w:w="391"/>
      </w:tblGrid>
      <w:tr>
        <w:trPr/>
        <w:tc>
          <w:tcPr>
            <w:tcW w:w="21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7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40404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404040"/>
                <w:sz w:val="18"/>
                <w:u w:val="none"/>
                <w:effect w:val="none"/>
              </w:rPr>
              <w:t>2026 Proxy Statement</w:t>
            </w:r>
          </w:p>
        </w:tc>
        <w:tc>
          <w:tcPr>
            <w:tcW w:w="39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  <w:t>23</w:t>
            </w:r>
          </w:p>
        </w:tc>
      </w:tr>
    </w:tbl>
    <w:tbl>
      <w:tblPr>
        <w:tblW w:w="4731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696"/>
        <w:gridCol w:w="109"/>
        <w:gridCol w:w="2926"/>
      </w:tblGrid>
      <w:tr>
        <w:trPr/>
        <w:tc>
          <w:tcPr>
            <w:tcW w:w="16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9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9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6d44722bfc2543dbbba9716d9e560c58_16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color w:val="0000FF"/>
                  <w:sz w:val="18"/>
                  <w:u w:val="single"/>
                </w:rPr>
                <w:t>Table of Contents</w:t>
              </w:r>
            </w:hyperlink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92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Proposal 1 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C4C02"/>
                <w:sz w:val="18"/>
                <w:u w:val="none"/>
                <w:effect w:val="none"/>
              </w:rPr>
              <w:t>|</w:t>
            </w: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 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Board Committees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sans-serif" w:hAnsi="sans-serif"/>
          <w:b/>
          <w:i/>
          <w:strike w:val="false"/>
          <w:dstrike w:val="false"/>
          <w:color w:val="F47521"/>
          <w:sz w:val="20"/>
          <w:u w:val="none"/>
          <w:effect w:val="none"/>
        </w:rPr>
        <w:t>Performance Assessments.</w:t>
      </w:r>
      <w:r>
        <w:rPr>
          <w:strike w:val="false"/>
          <w:dstrike w:val="false"/>
          <w:color w:val="3F3F3F"/>
          <w:u w:val="none"/>
          <w:effect w:val="none"/>
        </w:rPr>
        <w:t xml:space="preserve">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The Governance Committee performs periodic assessments of the performance of the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Board and its committees to support continuous improvement and effective oversight. As part of this process, each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director completes an annual assessment questionnaire for the Board and each committee on which such director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serves to evaluate, anonymously, the overall performance of the Board and its committees and identify areas for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improvement. The factors considered in the annual assessment questionnaires include, but are not limited to: Board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size and composition; whether the directors possess the skills and expertise appropriate for the company and its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strategy; the effectiveness of the Board’s selection criteria for new director candidates; the overall effectiveness of and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efficient use of time at Board and committee meetings; the quality and timeliness of information provided by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management; and the Board’s approach to overseeing key strategic, operation and compliance risks. The annual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assessment questionnaires also provide each director with an opportunity to provide open-ended responses with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respect to ways to improve Board and/or committee performance. In addition, periodically, each director participates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in individual interviews with an independent legal counsel to the Board to discuss Board and committee effectiveness,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corporate governance priorities and emerging issues and risks facing the company, and summaries of these interviews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are then reported to the Governance Committee and the Board. The Governance Committee and the full Board also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seek input from management and external advisors as part of the performance assessment process and review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assessment results to identify themes and areas for focus, which inform Board and committee priorities, agenda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planning, director education and ongoing governance practices.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sans-serif" w:hAnsi="sans-serif"/>
          <w:b/>
          <w:i/>
          <w:strike w:val="false"/>
          <w:dstrike w:val="false"/>
          <w:color w:val="F47521"/>
          <w:sz w:val="20"/>
          <w:u w:val="none"/>
          <w:effect w:val="none"/>
        </w:rPr>
        <w:t>CEO Succession Planning.</w:t>
      </w:r>
      <w:r>
        <w:rPr>
          <w:strike w:val="false"/>
          <w:dstrike w:val="false"/>
          <w:color w:val="3F3F3F"/>
          <w:u w:val="none"/>
          <w:effect w:val="none"/>
        </w:rPr>
        <w:t xml:space="preserve">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Succession planning for our CEO helps ensure continuity of leadership and is critical to the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company’s success. The Board has delegated primary responsibility for CEO succession planning to the Governance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Committee and both the Board and Governance Committee discuss CEO succession planning regularly in executive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sessions. The Governance Committee has oversight for the development of processes and protocols for short-term and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long-term succession plans that ensure stability and accountability during a period of leadership transition.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F47521"/>
          <w:sz w:val="2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F47521"/>
          <w:sz w:val="28"/>
          <w:u w:val="none"/>
          <w:effect w:val="none"/>
        </w:rPr>
        <w:t>Research &amp; Development Committee</w:t>
      </w:r>
    </w:p>
    <w:tbl>
      <w:tblPr>
        <w:tblW w:w="169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69"/>
      </w:tblGrid>
      <w:tr>
        <w:trPr/>
        <w:tc>
          <w:tcPr>
            <w:tcW w:w="16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9" w:type="dxa"/>
            <w:tcBorders>
              <w:top w:val="single" w:sz="8" w:space="0" w:color="F47521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sans-serif" w:hAnsi="sans-serif"/>
          <w:b w:val="false"/>
          <w:i w:val="false"/>
          <w:caps w:val="false"/>
          <w:smallCaps w:val="false"/>
          <w:color w:val="3F3F3F"/>
          <w:sz w:val="20"/>
          <w:u w:val="single"/>
        </w:rPr>
        <w:t>Current Members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: George Poste (Chair), Mary C. Beckerle, S. Gail Eckhardt, Maria C. Freire, David E. Johnson, Stelios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Papadopoulos (All Independent)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The Research &amp; Development Committee assists the Board in overseeing various scientific matters related to our drug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discovery and preclinical and clinical development programs. The Research &amp; Development Committee is composed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entirely of independent directors and performs several functions, including: </w:t>
      </w:r>
    </w:p>
    <w:tbl>
      <w:tblPr>
        <w:tblW w:w="883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306"/>
        <w:gridCol w:w="4531"/>
      </w:tblGrid>
      <w:tr>
        <w:trPr/>
        <w:tc>
          <w:tcPr>
            <w:tcW w:w="43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30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•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Overseeing our clinical development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program and internal drug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discovery activities</w:t>
            </w:r>
          </w:p>
        </w:tc>
        <w:tc>
          <w:tcPr>
            <w:tcW w:w="453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•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Reviewing the overall organization,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resourcing and capabilities of our research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and development business units</w:t>
            </w:r>
          </w:p>
        </w:tc>
      </w:tr>
      <w:tr>
        <w:trPr/>
        <w:tc>
          <w:tcPr>
            <w:tcW w:w="43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30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•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Reviewing the progress of preclinical and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clinical assets that we have in-licensed or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acquired and evaluating the scientific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aspects of potential future business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development opportunities</w:t>
            </w:r>
          </w:p>
        </w:tc>
        <w:tc>
          <w:tcPr>
            <w:tcW w:w="453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•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Evaluating and discussing trends in the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oncology treatment landscape and potential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effects on our pipeline strategy and other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business needs</w:t>
            </w:r>
          </w:p>
        </w:tc>
      </w:tr>
      <w:tr>
        <w:trPr/>
        <w:tc>
          <w:tcPr>
            <w:tcW w:w="43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30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•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Advising the Board on other matters of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scientific importance as the Board, in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consultation with management, may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designate from time to time</w:t>
            </w:r>
          </w:p>
        </w:tc>
        <w:tc>
          <w:tcPr>
            <w:tcW w:w="45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74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61"/>
        <w:gridCol w:w="1381"/>
      </w:tblGrid>
      <w:tr>
        <w:trPr/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  <w:t>24</w:t>
            </w:r>
          </w:p>
        </w:tc>
        <w:tc>
          <w:tcPr>
            <w:tcW w:w="138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Exelixis, Inc.</w:t>
            </w:r>
          </w:p>
        </w:tc>
      </w:tr>
    </w:tbl>
    <w:tbl>
      <w:tblPr>
        <w:tblW w:w="1741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741"/>
      </w:tblGrid>
      <w:tr>
        <w:trPr/>
        <w:tc>
          <w:tcPr>
            <w:tcW w:w="17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4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6d44722bfc2543dbbba9716d9e560c58_16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color w:val="0000FF"/>
                  <w:sz w:val="18"/>
                  <w:u w:val="single"/>
                </w:rPr>
                <w:t>Table of Contents</w:t>
              </w:r>
            </w:hyperlink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F47521"/>
          <w:sz w:val="2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F47521"/>
          <w:sz w:val="28"/>
          <w:u w:val="none"/>
          <w:effect w:val="none"/>
        </w:rPr>
        <w:t>Risk Committee</w:t>
      </w:r>
    </w:p>
    <w:tbl>
      <w:tblPr>
        <w:tblW w:w="169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69"/>
      </w:tblGrid>
      <w:tr>
        <w:trPr/>
        <w:tc>
          <w:tcPr>
            <w:tcW w:w="16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9" w:type="dxa"/>
            <w:tcBorders>
              <w:top w:val="single" w:sz="8" w:space="0" w:color="F47521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sans-serif" w:hAnsi="sans-serif"/>
          <w:b w:val="false"/>
          <w:i w:val="false"/>
          <w:caps w:val="false"/>
          <w:smallCaps w:val="false"/>
          <w:color w:val="3F3F3F"/>
          <w:sz w:val="20"/>
          <w:u w:val="single"/>
        </w:rPr>
        <w:t>Current Members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: Tomas J. Heyman (Chair), Mary C. Beckerle, Robert L. Oliver, Jr., George Poste (All Independent)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The Risk Committee of the Board assists the Board in overseeing management’s responsibility to assess, manage and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mitigate risks associated with our business and operational activities. The Risk Committee is composed entirely of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independent directors and performs several functions, including: </w:t>
      </w:r>
    </w:p>
    <w:tbl>
      <w:tblPr>
        <w:tblW w:w="909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411"/>
        <w:gridCol w:w="4681"/>
      </w:tblGrid>
      <w:tr>
        <w:trPr/>
        <w:tc>
          <w:tcPr>
            <w:tcW w:w="44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41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•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Reviewing our overall risk management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framework and infrastructure designed to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identify, assess, manage and mitigate our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material risks</w:t>
            </w:r>
          </w:p>
        </w:tc>
        <w:tc>
          <w:tcPr>
            <w:tcW w:w="468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•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Overseeing management’s administration of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government and other investigations and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material litigation matters</w:t>
            </w:r>
          </w:p>
        </w:tc>
      </w:tr>
      <w:tr>
        <w:trPr/>
        <w:tc>
          <w:tcPr>
            <w:tcW w:w="44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41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•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Overseeing management’s administration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of our various compliance programs,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including, but not limited to, those relating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to data privacy and cybersecurity, drug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safety, healthcare compliance, climate risk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and quality management</w:t>
            </w:r>
          </w:p>
        </w:tc>
        <w:tc>
          <w:tcPr>
            <w:tcW w:w="468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•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Overseeing management’s identification,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assessment and management of our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business and operational risks not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specifically allocated to the Board or another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committee of the Board, and obtaining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periodic reports from our Ethics Committee</w:t>
            </w:r>
          </w:p>
        </w:tc>
      </w:tr>
      <w:tr>
        <w:trPr/>
        <w:tc>
          <w:tcPr>
            <w:tcW w:w="44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41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•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Reviewing the policies, guidelines and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practices for managing business and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operational risks</w:t>
            </w:r>
          </w:p>
        </w:tc>
        <w:tc>
          <w:tcPr>
            <w:tcW w:w="468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•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Evaluating trends in risk management and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advising the Board on best practices with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respect to risk management strategy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and implementation</w:t>
            </w:r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F47521"/>
          <w:sz w:val="2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F47521"/>
          <w:sz w:val="28"/>
          <w:u w:val="none"/>
          <w:effect w:val="none"/>
        </w:rPr>
        <w:t>Meetings and Attendance</w:t>
      </w:r>
    </w:p>
    <w:tbl>
      <w:tblPr>
        <w:tblW w:w="169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69"/>
      </w:tblGrid>
      <w:tr>
        <w:trPr/>
        <w:tc>
          <w:tcPr>
            <w:tcW w:w="16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9" w:type="dxa"/>
            <w:tcBorders>
              <w:top w:val="single" w:sz="8" w:space="0" w:color="F47521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The Board held six meetings during 2025, and all of our directors attended at least 75% of the total meetings of the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Board and of the committees on which they served. The independent directors met four times in regularly scheduled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executive sessions. </w:t>
      </w: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175"/>
        <w:gridCol w:w="1036"/>
        <w:gridCol w:w="1231"/>
        <w:gridCol w:w="1576"/>
        <w:gridCol w:w="1439"/>
        <w:gridCol w:w="1471"/>
        <w:gridCol w:w="1277"/>
      </w:tblGrid>
      <w:tr>
        <w:trPr/>
        <w:tc>
          <w:tcPr>
            <w:tcW w:w="21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3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7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75" w:type="dxa"/>
            <w:tcBorders>
              <w:bottom w:val="single" w:sz="8" w:space="0" w:color="F47521"/>
              <w:right w:val="single" w:sz="8" w:space="0" w:color="FFFFFF"/>
            </w:tcBorders>
            <w:tcMar>
              <w:top w:w="0" w:type="dxa"/>
              <w:lef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>
              <w:left w:val="single" w:sz="8" w:space="0" w:color="FFFFFF"/>
              <w:bottom w:val="single" w:sz="8" w:space="0" w:color="F47521"/>
              <w:right w:val="single" w:sz="8" w:space="0" w:color="FFFFFF"/>
            </w:tcBorders>
            <w:shd w:fill="E5E5E5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Board of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Directors</w:t>
            </w:r>
          </w:p>
        </w:tc>
        <w:tc>
          <w:tcPr>
            <w:tcW w:w="1231" w:type="dxa"/>
            <w:tcBorders>
              <w:left w:val="single" w:sz="8" w:space="0" w:color="FFFFFF"/>
              <w:bottom w:val="single" w:sz="8" w:space="0" w:color="F47521"/>
              <w:right w:val="single" w:sz="8" w:space="0" w:color="FFFFFF"/>
            </w:tcBorders>
            <w:shd w:fill="E5E5E5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Audit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Committee</w:t>
            </w:r>
          </w:p>
        </w:tc>
        <w:tc>
          <w:tcPr>
            <w:tcW w:w="1576" w:type="dxa"/>
            <w:tcBorders>
              <w:left w:val="single" w:sz="8" w:space="0" w:color="FFFFFF"/>
              <w:bottom w:val="single" w:sz="8" w:space="0" w:color="F47521"/>
              <w:right w:val="single" w:sz="8" w:space="0" w:color="FFFFFF"/>
            </w:tcBorders>
            <w:shd w:fill="E5E5E5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Compensation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Committee</w:t>
            </w:r>
          </w:p>
        </w:tc>
        <w:tc>
          <w:tcPr>
            <w:tcW w:w="1439" w:type="dxa"/>
            <w:tcBorders>
              <w:left w:val="single" w:sz="8" w:space="0" w:color="FFFFFF"/>
              <w:bottom w:val="single" w:sz="8" w:space="0" w:color="F47521"/>
              <w:right w:val="single" w:sz="8" w:space="0" w:color="FFFFFF"/>
            </w:tcBorders>
            <w:shd w:fill="E5E5E5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Nominating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and Corporate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Governance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Committee</w:t>
            </w:r>
          </w:p>
        </w:tc>
        <w:tc>
          <w:tcPr>
            <w:tcW w:w="1471" w:type="dxa"/>
            <w:tcBorders>
              <w:left w:val="single" w:sz="8" w:space="0" w:color="FFFFFF"/>
              <w:bottom w:val="single" w:sz="8" w:space="0" w:color="F47521"/>
              <w:right w:val="single" w:sz="8" w:space="0" w:color="FFFFFF"/>
            </w:tcBorders>
            <w:shd w:fill="E5E5E5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Research &amp;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Development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Committee</w:t>
            </w:r>
          </w:p>
        </w:tc>
        <w:tc>
          <w:tcPr>
            <w:tcW w:w="1277" w:type="dxa"/>
            <w:tcBorders>
              <w:left w:val="single" w:sz="8" w:space="0" w:color="FFFFFF"/>
              <w:bottom w:val="single" w:sz="8" w:space="0" w:color="F47521"/>
            </w:tcBorders>
            <w:shd w:fill="E5E5E5" w:val="clear"/>
            <w:tcMar>
              <w:top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Risk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Committee</w:t>
            </w:r>
          </w:p>
        </w:tc>
      </w:tr>
      <w:tr>
        <w:trPr/>
        <w:tc>
          <w:tcPr>
            <w:tcW w:w="2175" w:type="dxa"/>
            <w:tcBorders>
              <w:top w:val="single" w:sz="8" w:space="0" w:color="F47521"/>
              <w:right w:val="single" w:sz="8" w:space="0" w:color="FFFFFF"/>
            </w:tcBorders>
            <w:tcMar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Number of Meetings Held in Fiscal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2025</w:t>
            </w:r>
          </w:p>
        </w:tc>
        <w:tc>
          <w:tcPr>
            <w:tcW w:w="1036" w:type="dxa"/>
            <w:tcBorders>
              <w:top w:val="single" w:sz="8" w:space="0" w:color="F47521"/>
              <w:left w:val="single" w:sz="8" w:space="0" w:color="FFFFFF"/>
              <w:right w:val="single" w:sz="8" w:space="0" w:color="FFFFFF"/>
            </w:tcBorders>
            <w:shd w:fill="E5E5E5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20"/>
                <w:u w:val="none"/>
                <w:effect w:val="none"/>
              </w:rPr>
              <w:t>6</w:t>
            </w:r>
          </w:p>
        </w:tc>
        <w:tc>
          <w:tcPr>
            <w:tcW w:w="1231" w:type="dxa"/>
            <w:tcBorders>
              <w:top w:val="single" w:sz="8" w:space="0" w:color="F47521"/>
              <w:left w:val="single" w:sz="8" w:space="0" w:color="FFFFFF"/>
              <w:right w:val="single" w:sz="8" w:space="0" w:color="FFFFFF"/>
            </w:tcBorders>
            <w:shd w:fill="E5E5E5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20"/>
                <w:u w:val="none"/>
                <w:effect w:val="none"/>
              </w:rPr>
              <w:t>4</w:t>
            </w:r>
          </w:p>
        </w:tc>
        <w:tc>
          <w:tcPr>
            <w:tcW w:w="1576" w:type="dxa"/>
            <w:tcBorders>
              <w:top w:val="single" w:sz="8" w:space="0" w:color="F47521"/>
              <w:left w:val="single" w:sz="8" w:space="0" w:color="FFFFFF"/>
              <w:right w:val="single" w:sz="8" w:space="0" w:color="FFFFFF"/>
            </w:tcBorders>
            <w:shd w:fill="E5E5E5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20"/>
                <w:u w:val="none"/>
                <w:effect w:val="none"/>
              </w:rPr>
              <w:t>8</w:t>
            </w:r>
          </w:p>
        </w:tc>
        <w:tc>
          <w:tcPr>
            <w:tcW w:w="1439" w:type="dxa"/>
            <w:tcBorders>
              <w:top w:val="single" w:sz="8" w:space="0" w:color="F47521"/>
              <w:left w:val="single" w:sz="8" w:space="0" w:color="FFFFFF"/>
              <w:right w:val="single" w:sz="8" w:space="0" w:color="FFFFFF"/>
            </w:tcBorders>
            <w:shd w:fill="E5E5E5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20"/>
                <w:u w:val="none"/>
                <w:effect w:val="none"/>
              </w:rPr>
              <w:t>2</w:t>
            </w:r>
          </w:p>
        </w:tc>
        <w:tc>
          <w:tcPr>
            <w:tcW w:w="1471" w:type="dxa"/>
            <w:tcBorders>
              <w:top w:val="single" w:sz="8" w:space="0" w:color="F47521"/>
              <w:left w:val="single" w:sz="8" w:space="0" w:color="FFFFFF"/>
              <w:right w:val="single" w:sz="8" w:space="0" w:color="FFFFFF"/>
            </w:tcBorders>
            <w:shd w:fill="E5E5E5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20"/>
                <w:u w:val="none"/>
                <w:effect w:val="none"/>
              </w:rPr>
              <w:t>3</w:t>
            </w:r>
          </w:p>
        </w:tc>
        <w:tc>
          <w:tcPr>
            <w:tcW w:w="1277" w:type="dxa"/>
            <w:tcBorders>
              <w:top w:val="single" w:sz="8" w:space="0" w:color="F47521"/>
              <w:left w:val="single" w:sz="8" w:space="0" w:color="FFFFFF"/>
            </w:tcBorders>
            <w:shd w:fill="E5E5E5" w:val="clear"/>
            <w:tcMar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20"/>
                <w:u w:val="none"/>
                <w:effect w:val="none"/>
              </w:rPr>
              <w:t>2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The Board does not have a formal policy with respect to the attendance of its members at annual meetings of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stockholders. Dr. Morrissey attended the 2025</w:t>
      </w:r>
      <w:r>
        <w:rPr>
          <w:caps w:val="false"/>
          <w:smallCaps w:val="false"/>
          <w:strike w:val="false"/>
          <w:dstrike w:val="false"/>
          <w:color w:val="3F3F3F"/>
          <w:sz w:val="24"/>
          <w:u w:val="none"/>
          <w:effect w:val="none"/>
        </w:rPr>
        <w:t xml:space="preserve">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Annual Meeting of Stockholders on behalf of the Board. </w:t>
      </w:r>
    </w:p>
    <w:tbl>
      <w:tblPr>
        <w:tblW w:w="256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176"/>
        <w:gridCol w:w="391"/>
      </w:tblGrid>
      <w:tr>
        <w:trPr/>
        <w:tc>
          <w:tcPr>
            <w:tcW w:w="21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7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40404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404040"/>
                <w:sz w:val="18"/>
                <w:u w:val="none"/>
                <w:effect w:val="none"/>
              </w:rPr>
              <w:t>2026 Proxy Statement</w:t>
            </w:r>
          </w:p>
        </w:tc>
        <w:tc>
          <w:tcPr>
            <w:tcW w:w="39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  <w:t>25</w:t>
            </w:r>
          </w:p>
        </w:tc>
      </w:tr>
    </w:tbl>
    <w:tbl>
      <w:tblPr>
        <w:tblW w:w="5091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696"/>
        <w:gridCol w:w="109"/>
        <w:gridCol w:w="3286"/>
      </w:tblGrid>
      <w:tr>
        <w:trPr/>
        <w:tc>
          <w:tcPr>
            <w:tcW w:w="16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9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6d44722bfc2543dbbba9716d9e560c58_16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color w:val="0000FF"/>
                  <w:sz w:val="18"/>
                  <w:u w:val="single"/>
                </w:rPr>
                <w:t>Table of Contents</w:t>
              </w:r>
            </w:hyperlink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Proposal 1 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C4C02"/>
                <w:sz w:val="18"/>
                <w:u w:val="none"/>
                <w:effect w:val="none"/>
              </w:rPr>
              <w:t>|</w:t>
            </w: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 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Corporate Governance</w:t>
            </w:r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36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F47521"/>
          <w:sz w:val="36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F47521"/>
          <w:sz w:val="36"/>
          <w:u w:val="none"/>
          <w:effect w:val="none"/>
        </w:rPr>
        <w:t>Corporate Governance</w:t>
      </w:r>
    </w:p>
    <w:tbl>
      <w:tblPr>
        <w:tblW w:w="169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69"/>
      </w:tblGrid>
      <w:tr>
        <w:trPr/>
        <w:tc>
          <w:tcPr>
            <w:tcW w:w="16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9" w:type="dxa"/>
            <w:tcBorders>
              <w:top w:val="single" w:sz="8" w:space="0" w:color="F47521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  <w:t xml:space="preserve">Please note that information found on, or accessible through, our website is not a part of, and is not incorporated into,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  <w:t xml:space="preserve">this Proxy Statement. </w:t>
      </w:r>
    </w:p>
    <w:p>
      <w:pPr>
        <w:pStyle w:val="TextBody"/>
        <w:bidi w:val="0"/>
        <w:spacing w:lineRule="atLeast" w:line="24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F47521"/>
          <w:sz w:val="24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F47521"/>
          <w:sz w:val="24"/>
          <w:u w:val="none"/>
          <w:effect w:val="none"/>
        </w:rPr>
        <w:t>Corporate Governance Guidelines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Our Corporate Governance Guidelines, can be viewed at </w:t>
      </w:r>
      <w:r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  <w:t>www.exelixis.com</w:t>
      </w:r>
      <w:r>
        <w:rPr>
          <w:caps w:val="false"/>
          <w:smallCaps w:val="false"/>
          <w:strike w:val="false"/>
          <w:dstrike w:val="false"/>
          <w:color w:val="3F3F3F"/>
          <w:u w:val="none"/>
          <w:effect w:val="none"/>
        </w:rPr>
        <w:t xml:space="preserve">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under the caption “Investors &amp; News—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Corporate Governance—Corporate Governance Documents and Information.” This document covers, among other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topics, director independence, board composition, structure and functioning, director selection criteria, committees of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the board, board and board committee evaluations, overboarding guidelines and our majority voting policy. Our Board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regularly reviews, and modifies from time to time, our Corporate Governance Guidelines, Board committee charters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and Board practices. </w:t>
      </w:r>
    </w:p>
    <w:p>
      <w:pPr>
        <w:pStyle w:val="TextBody"/>
        <w:bidi w:val="0"/>
        <w:spacing w:lineRule="atLeast" w:line="24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F47521"/>
          <w:sz w:val="24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F47521"/>
          <w:sz w:val="24"/>
          <w:u w:val="none"/>
          <w:effect w:val="none"/>
        </w:rPr>
        <w:t xml:space="preserve">Corporate Code of Conduct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Our Corporate Code of Conduct functions as our Code of Ethics under the SEC rules and applies to all directors, officers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and employees. The Corporate Code of Conduct is posted on our website at </w:t>
      </w:r>
      <w:r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  <w:t>www.exelixis.com</w:t>
      </w:r>
      <w:r>
        <w:rPr>
          <w:caps w:val="false"/>
          <w:smallCaps w:val="false"/>
          <w:strike w:val="false"/>
          <w:dstrike w:val="false"/>
          <w:color w:val="3F3F3F"/>
          <w:u w:val="none"/>
          <w:effect w:val="none"/>
        </w:rPr>
        <w:t xml:space="preserve">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under the caption </w:t>
      </w:r>
    </w:p>
    <w:p>
      <w:pPr>
        <w:pStyle w:val="TextBody"/>
        <w:bidi w:val="0"/>
        <w:spacing w:lineRule="atLeast" w:line="200" w:before="0" w:after="0"/>
        <w:jc w:val="left"/>
        <w:rPr>
          <w:caps w:val="false"/>
          <w:smallCaps w:val="false"/>
          <w:strike w:val="false"/>
          <w:dstrike w:val="false"/>
          <w:color w:val="3F3F3F"/>
          <w:u w:val="none"/>
          <w:effect w:val="none"/>
        </w:rPr>
      </w:pPr>
      <w:r>
        <w:rPr>
          <w:caps w:val="false"/>
          <w:smallCaps w:val="false"/>
          <w:strike w:val="false"/>
          <w:dstrike w:val="false"/>
          <w:color w:val="3F3F3F"/>
          <w:u w:val="none"/>
          <w:effect w:val="none"/>
        </w:rPr>
        <w:t>“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Investors &amp; News—Corporate Governance—Corporate Governance Documents and Information.” We intend to satisfy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the disclosure requirement under Item 5.05 of Form 8-K regarding an amendment to, or waiver from, a provision of this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Corporate Code of Conduct by posting such information on our website, at the address and location specified above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and, to the extent required by the listing standards of the Nasdaq Stock Market, by filing a Current Report on Form 8-K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with the SEC, disclosing such information.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Our Corporate Code of Conduct reflects our corporate values and describes the expectations and responsibilities of our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officers, directors, employees and contractors with respect to how they conduct themselves when representing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Exelixis. It also underscores our commitment to behaving in accordance with laws that regulate our business activities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as a biotechnology company. Our employees receive yearly training on our Corporate Code of Conduct.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Included in our Corporate Code of Conduct are procedures for reporting potential violations through a variety of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resources, including to our Ethics Committee, which is chaired by our Chief Executive Officer and includes other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members of our senior management team. To help ensure our employees feel comfortable raising good faith questions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or concerns with respect to our Corporate Code of Conduct or our other policies, these reports can be made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confidentially (or anonymously) via our Ethics Helpline. We maintain a strict policy against any retaliation or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discrimination towards employees who make such a report. The Board, through the Audit Committee, regularly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receives reports of disclosures made through the Ethics Helpline, and, through both the Audit and Risk Committees,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receives updates on concerns raised to the Ethics Committee or otherwise submitted through our internal compliance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reporting system.</w:t>
      </w:r>
    </w:p>
    <w:p>
      <w:pPr>
        <w:pStyle w:val="TextBody"/>
        <w:bidi w:val="0"/>
        <w:spacing w:lineRule="atLeast" w:line="24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F47521"/>
          <w:sz w:val="24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F47521"/>
          <w:sz w:val="24"/>
          <w:u w:val="none"/>
          <w:effect w:val="none"/>
        </w:rPr>
        <w:t>Board Leadership Structure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The Board does not have a formal policy on whether the role of Chair and Chief Executive Officer should be separate or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combined. Our Corporate Governance Guidelines provide that the Board will select its Chair and the Chief Executive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Officer in the manner it considers to be in the best interests of our company. Currently, we have an independent Chair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of the Board separate from the Chief Executive Officer. The Board believes this bifurcated structure provides for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independent oversight of management and strong Board leadership, while allowing for effective management of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company affairs. </w:t>
      </w:r>
    </w:p>
    <w:tbl>
      <w:tblPr>
        <w:tblW w:w="174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61"/>
        <w:gridCol w:w="1381"/>
      </w:tblGrid>
      <w:tr>
        <w:trPr/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  <w:t>26</w:t>
            </w:r>
          </w:p>
        </w:tc>
        <w:tc>
          <w:tcPr>
            <w:tcW w:w="138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Exelixis, Inc.</w:t>
            </w:r>
          </w:p>
        </w:tc>
      </w:tr>
    </w:tbl>
    <w:tbl>
      <w:tblPr>
        <w:tblW w:w="1741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741"/>
      </w:tblGrid>
      <w:tr>
        <w:trPr/>
        <w:tc>
          <w:tcPr>
            <w:tcW w:w="17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4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6d44722bfc2543dbbba9716d9e560c58_16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color w:val="0000FF"/>
                  <w:sz w:val="18"/>
                  <w:u w:val="single"/>
                </w:rPr>
                <w:t>Table of Contents</w:t>
              </w:r>
            </w:hyperlink>
          </w:p>
        </w:tc>
      </w:tr>
    </w:tbl>
    <w:p>
      <w:pPr>
        <w:pStyle w:val="TextBody"/>
        <w:bidi w:val="0"/>
        <w:spacing w:lineRule="atLeast" w:line="24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F47521"/>
          <w:sz w:val="24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F47521"/>
          <w:sz w:val="24"/>
          <w:u w:val="none"/>
          <w:effect w:val="none"/>
        </w:rPr>
        <w:t>Role of the Board in Risk Oversight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Management is responsible for assessing, managing and mitigating the various risks associated with our business and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operational activities, including, without limitation, strategic, operational, financial, regulatory, cybersecurity and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artificial intelligence risks that may exist from time to time. Management has implemented appropriate risk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management structures, policies and procedures, and manages our risk exposure on a day-to-day basis. In accordance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with our Corporate Governance Guidelines, the Board, both directly and through its committees (including the Risk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Committee), oversees the proper functioning of our risk management processes. In their specific risk oversight roles,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the Board and the Risk Committee evaluate whether management has reasonable controls in place to address material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risks currently facing our company and those we may face in the future. The Board, the Risk Committee and other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committees meet at regularly scheduled and special meetings throughout the year at which management reports to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the Board concerning the results of its risk management activities, as well as external changes that may change the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levels of business risk to which we are exposed.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The Board delegates certain of its risk oversight responsibilities to its various committees as follows: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3F3F3F"/>
          <w:u w:val="none"/>
          <w:effect w:val="none"/>
        </w:rPr>
        <w:t>›</w:t>
      </w:r>
      <w:r>
        <w:rPr>
          <w:caps w:val="false"/>
          <w:smallCaps w:val="false"/>
          <w:strike w:val="false"/>
          <w:dstrike w:val="false"/>
          <w:color w:val="FC7841"/>
          <w:u w:val="none"/>
          <w:effect w:val="none"/>
        </w:rPr>
        <w:t>›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Our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F47521"/>
          <w:sz w:val="20"/>
          <w:u w:val="none"/>
          <w:effect w:val="none"/>
        </w:rPr>
        <w:t>Audit Committee</w:t>
      </w:r>
      <w:r>
        <w:rPr>
          <w:caps w:val="false"/>
          <w:smallCaps w:val="false"/>
          <w:strike w:val="false"/>
          <w:dstrike w:val="false"/>
          <w:color w:val="3F3F3F"/>
          <w:u w:val="none"/>
          <w:effect w:val="none"/>
        </w:rPr>
        <w:t xml:space="preserve">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oversees the management of risks relating to financial reporting or fraud, securities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trading and tax matters. Our Audit Committee also reviews any proposed related party transactions to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ensure we do not engage in transactions that would create a conflict of interest or result in harm to us.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3F3F3F"/>
          <w:u w:val="none"/>
          <w:effect w:val="none"/>
        </w:rPr>
        <w:t>›</w:t>
      </w:r>
      <w:r>
        <w:rPr>
          <w:caps w:val="false"/>
          <w:smallCaps w:val="false"/>
          <w:strike w:val="false"/>
          <w:dstrike w:val="false"/>
          <w:color w:val="FC7841"/>
          <w:u w:val="none"/>
          <w:effect w:val="none"/>
        </w:rPr>
        <w:t>›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Our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F47521"/>
          <w:sz w:val="20"/>
          <w:u w:val="none"/>
          <w:effect w:val="none"/>
        </w:rPr>
        <w:t>Compensation Committee</w:t>
      </w:r>
      <w:r>
        <w:rPr>
          <w:caps w:val="false"/>
          <w:smallCaps w:val="false"/>
          <w:strike w:val="false"/>
          <w:dstrike w:val="false"/>
          <w:color w:val="3F3F3F"/>
          <w:u w:val="none"/>
          <w:effect w:val="none"/>
        </w:rPr>
        <w:t xml:space="preserve">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periodically assesses our compensation policies and practices, including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structuring and reviewing our executive compensation programs and conducting an annual compensation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risk assessment, to determine whether these policies or practices are reasonably likely to have a material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adverse effect on us. Our Compensation Committee also assists the Board in its oversight of our human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capital management function.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3F3F3F"/>
          <w:u w:val="none"/>
          <w:effect w:val="none"/>
        </w:rPr>
        <w:t>›</w:t>
      </w:r>
      <w:r>
        <w:rPr>
          <w:caps w:val="false"/>
          <w:smallCaps w:val="false"/>
          <w:strike w:val="false"/>
          <w:dstrike w:val="false"/>
          <w:color w:val="FC7841"/>
          <w:u w:val="none"/>
          <w:effect w:val="none"/>
        </w:rPr>
        <w:t>›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Our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F47521"/>
          <w:sz w:val="20"/>
          <w:u w:val="none"/>
          <w:effect w:val="none"/>
        </w:rPr>
        <w:t>Governance Committee</w:t>
      </w:r>
      <w:r>
        <w:rPr>
          <w:caps w:val="false"/>
          <w:smallCaps w:val="false"/>
          <w:strike w:val="false"/>
          <w:dstrike w:val="false"/>
          <w:color w:val="3F3F3F"/>
          <w:u w:val="none"/>
          <w:effect w:val="none"/>
        </w:rPr>
        <w:t xml:space="preserve">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oversees our governance practices and the management of related risks,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including director independence and Board composition and succession of both the Board and CEO, and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the development and administration of our Code of Conduct.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3F3F3F"/>
          <w:u w:val="none"/>
          <w:effect w:val="none"/>
        </w:rPr>
        <w:t>›</w:t>
      </w:r>
      <w:r>
        <w:rPr>
          <w:caps w:val="false"/>
          <w:smallCaps w:val="false"/>
          <w:strike w:val="false"/>
          <w:dstrike w:val="false"/>
          <w:color w:val="FC7841"/>
          <w:u w:val="none"/>
          <w:effect w:val="none"/>
        </w:rPr>
        <w:t>›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Our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F47521"/>
          <w:sz w:val="20"/>
          <w:u w:val="none"/>
          <w:effect w:val="none"/>
        </w:rPr>
        <w:t>Research &amp; Development Committee</w:t>
      </w:r>
      <w:r>
        <w:rPr>
          <w:caps w:val="false"/>
          <w:smallCaps w:val="false"/>
          <w:strike w:val="false"/>
          <w:dstrike w:val="false"/>
          <w:color w:val="3F3F3F"/>
          <w:u w:val="none"/>
          <w:effect w:val="none"/>
        </w:rPr>
        <w:t xml:space="preserve">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evaluates risks associated with the scientific discovery process,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preclinical and clinical development programs, to the extent not within the purview of the Risk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Committee’s oversight of our compliance programs.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3F3F3F"/>
          <w:u w:val="none"/>
          <w:effect w:val="none"/>
        </w:rPr>
        <w:t> ›</w:t>
      </w:r>
      <w:r>
        <w:rPr>
          <w:caps w:val="false"/>
          <w:smallCaps w:val="false"/>
          <w:strike w:val="false"/>
          <w:dstrike w:val="false"/>
          <w:color w:val="FC7841"/>
          <w:u w:val="none"/>
          <w:effect w:val="none"/>
        </w:rPr>
        <w:t>›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Our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F47521"/>
          <w:sz w:val="20"/>
          <w:u w:val="none"/>
          <w:effect w:val="none"/>
        </w:rPr>
        <w:t>Risk Committee</w:t>
      </w:r>
      <w:r>
        <w:rPr>
          <w:caps w:val="false"/>
          <w:smallCaps w:val="false"/>
          <w:strike w:val="false"/>
          <w:dstrike w:val="false"/>
          <w:color w:val="3F3F3F"/>
          <w:u w:val="none"/>
          <w:effect w:val="none"/>
        </w:rPr>
        <w:t xml:space="preserve">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assists the Board with oversight of our internal risk management framework, policies,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guidelines and infrastructure, and, if called for, its administration of government and other investigations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and material litigation matters. The Risk Committee receives reports from members of management’s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Ethics Committee and also oversees management in the dispatch of its responsibility to administer our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various compliance programs, including, but not limited to, data privacy and cybersecurity, climate risk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reporting, drug safety, healthcare compliance and quality management. Finally, the Risk Committee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oversees our business and operational risks that are not specifically allocated to the Board or another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committee of the Board, and also evaluates risk management trends in order to advise the Board on best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practices with respect to risk management strategy and implementation. The Risk Committee provides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periodic reports to the full Board.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Our senior management presents the full Board with frequent business updates during both regular Board meetings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and monthly teleconferences, at which time the Board provides management with feedback, makes recommendations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and, as needed, issues directives to address our risk exposure. </w:t>
      </w:r>
    </w:p>
    <w:p>
      <w:pPr>
        <w:pStyle w:val="TextBody"/>
        <w:bidi w:val="0"/>
        <w:spacing w:lineRule="atLeast" w:line="24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F47521"/>
          <w:sz w:val="24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F47521"/>
          <w:sz w:val="24"/>
          <w:u w:val="none"/>
          <w:effect w:val="none"/>
        </w:rPr>
        <w:t xml:space="preserve">Insider Trading Policies and Procedures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We maintain an insider trading policy</w:t>
      </w:r>
      <w:r>
        <w:rPr>
          <w:caps w:val="false"/>
          <w:smallCaps w:val="false"/>
          <w:strike w:val="false"/>
          <w:dstrike w:val="false"/>
          <w:color w:val="3F3F3F"/>
          <w:sz w:val="24"/>
          <w:u w:val="none"/>
          <w:effect w:val="none"/>
        </w:rPr>
        <w:t xml:space="preserve">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that governs the purchase, sale and other dispositions of our securities by our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directors, officers and employees and Exelixis itself. A copy of our insider trading policy is filed as Exhibit 19.1 to our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Annual Report on Form 10-K for the fiscal year ended January 2, 2026. </w:t>
      </w:r>
    </w:p>
    <w:tbl>
      <w:tblPr>
        <w:tblW w:w="256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176"/>
        <w:gridCol w:w="391"/>
      </w:tblGrid>
      <w:tr>
        <w:trPr/>
        <w:tc>
          <w:tcPr>
            <w:tcW w:w="21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7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40404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404040"/>
                <w:sz w:val="18"/>
                <w:u w:val="none"/>
                <w:effect w:val="none"/>
              </w:rPr>
              <w:t>2026 Proxy Statement</w:t>
            </w:r>
          </w:p>
        </w:tc>
        <w:tc>
          <w:tcPr>
            <w:tcW w:w="39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  <w:t>27</w:t>
            </w:r>
          </w:p>
        </w:tc>
      </w:tr>
    </w:tbl>
    <w:tbl>
      <w:tblPr>
        <w:tblW w:w="5091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696"/>
        <w:gridCol w:w="109"/>
        <w:gridCol w:w="3286"/>
      </w:tblGrid>
      <w:tr>
        <w:trPr/>
        <w:tc>
          <w:tcPr>
            <w:tcW w:w="16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9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6d44722bfc2543dbbba9716d9e560c58_16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color w:val="0000FF"/>
                  <w:sz w:val="18"/>
                  <w:u w:val="single"/>
                </w:rPr>
                <w:t>Table of Contents</w:t>
              </w:r>
            </w:hyperlink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Proposal 1 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C4C02"/>
                <w:sz w:val="18"/>
                <w:u w:val="none"/>
                <w:effect w:val="none"/>
              </w:rPr>
              <w:t>|</w:t>
            </w: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 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Corporate Governance</w:t>
            </w:r>
          </w:p>
        </w:tc>
      </w:tr>
    </w:tbl>
    <w:p>
      <w:pPr>
        <w:pStyle w:val="TextBody"/>
        <w:bidi w:val="0"/>
        <w:spacing w:lineRule="atLeast" w:line="24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F47521"/>
          <w:sz w:val="24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F47521"/>
          <w:sz w:val="24"/>
          <w:u w:val="none"/>
          <w:effect w:val="none"/>
        </w:rPr>
        <w:t>Prohibitions on Derivative, Hedging, Monetization and Other Transactions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Additionally, our insider trading policy, which applies to directors and employees, including our executive officers,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prohibits certain transactions in our stock, including short sales, puts, calls or other transactions involving derivative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securities, hedging or monetization transactions, purchases of Exelixis securities on margin or borrowing against an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account in which Exelixis securities are held. In December 2024, we updated our insider trading policy to prohibit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pledging of Exelixis stock as collateral for a loan, including in circumstances where such director or employee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demonstrates the financial capacity to repay the loan without resort to the pledged securities. As of the date of this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Proxy Statement, no shares of Exelixis stock are pledged by any of our directors or executive officers.</w:t>
      </w:r>
    </w:p>
    <w:p>
      <w:pPr>
        <w:pStyle w:val="TextBody"/>
        <w:bidi w:val="0"/>
        <w:spacing w:lineRule="atLeast" w:line="24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F47521"/>
          <w:sz w:val="24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F47521"/>
          <w:sz w:val="24"/>
          <w:u w:val="none"/>
          <w:effect w:val="none"/>
        </w:rPr>
        <w:t>Stockholder Communications with the Board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The Board welcomes communications from Exelixis’ stockholders. Stockholders may communicate with the Board by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sending a written communication to “Exelixis, Inc., Board of Directors c/o Corporate Secretary, 1851 Harbor Bay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Parkway, Alameda, California 94502.” Stockholders may also communicate with the Board by facsimile at (650)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837-7951 or by e-mail at info@exelixis.com, with each of the foregoing sent with “Attn: Board of Directors” in the </w:t>
      </w:r>
    </w:p>
    <w:p>
      <w:pPr>
        <w:pStyle w:val="TextBody"/>
        <w:bidi w:val="0"/>
        <w:spacing w:lineRule="atLeast" w:line="200" w:before="0" w:after="0"/>
        <w:jc w:val="left"/>
        <w:rPr>
          <w:caps w:val="false"/>
          <w:smallCaps w:val="false"/>
          <w:strike w:val="false"/>
          <w:dstrike w:val="false"/>
          <w:color w:val="3F3F3F"/>
          <w:u w:val="none"/>
          <w:effect w:val="none"/>
        </w:rPr>
      </w:pPr>
      <w:r>
        <w:rPr>
          <w:caps w:val="false"/>
          <w:smallCaps w:val="false"/>
          <w:strike w:val="false"/>
          <w:dstrike w:val="false"/>
          <w:color w:val="3F3F3F"/>
          <w:u w:val="none"/>
          <w:effect w:val="none"/>
        </w:rPr>
        <w:t>“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Subject” line.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Each communication must set forth the name and address of the stockholder as it appears in Exelixis’ records (and, if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the stock is held by a nominee, the name and address of the beneficial owner of the stock). After confirming the stock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ownership of the author of the communication, the Corporate Secretary will review and evaluate the communication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and shall have the authority to and will screen out communications from stockholders that are not directly related to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the duties and responsibilities of the Board. The Corporate Secretary may also disregard duplicative communications.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If deemed directly related to the duties and responsibilities of the Board, the Corporate Secretary will forward the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communication, depending on the subject matter, to the Chair of the Governance Committee, the Chair of the Audit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Committee, the Chair of the Board, the independent directors, or the full Board, as deemed appropriate. </w:t>
      </w:r>
    </w:p>
    <w:p>
      <w:pPr>
        <w:pStyle w:val="TextBody"/>
        <w:bidi w:val="0"/>
        <w:spacing w:lineRule="atLeast" w:line="24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F47521"/>
          <w:sz w:val="24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F47521"/>
          <w:sz w:val="24"/>
          <w:u w:val="none"/>
          <w:effect w:val="none"/>
        </w:rPr>
        <w:t>Stockholder Outreach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We maintain a robust investor relations and corporate governance program for stockholder outreach to provide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regular updates on our business performance and corporate strategy, including but not limited to financial results,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clinical trial readouts, pipeline advancement, business development efforts and upcoming milestones, as well as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corporate governance related matters, including our executive compensation program, human capital management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practices, governance practices (such as Board independence, composition, tenure and refreshment), environmental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disclosures, risk oversight and other areas of our business, to elicit a better understanding of their concerns and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perspectives. We bi-annually request engagement meetings with our top 35 institutional shareholders representing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over 60% of our common stock outstanding. Additionally, we accept 100% of engagement meetings requested by our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top shareholders. As a result, we have implemented the feedback received from our stockholders into various areas of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our business. For additional details about our stockholder outreach efforts during fiscal 2025, please see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3F3F3F"/>
          <w:u w:val="none"/>
          <w:effect w:val="none"/>
        </w:rPr>
        <w:t>“</w:t>
      </w:r>
      <w:hyperlink w:anchor="i6d44722bfc2543dbbba9716d9e560c58_136">
        <w:r>
          <w:rPr>
            <w:rStyle w:val="InternetLink"/>
            <w:rFonts w:ascii="sans-serif" w:hAnsi="sans-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 xml:space="preserve">Compensation Discussion and Analysis—How We Determine Executive Compensation—Stockholder Outreach and </w:t>
        </w:r>
      </w:hyperlink>
    </w:p>
    <w:p>
      <w:pPr>
        <w:pStyle w:val="TextBody"/>
        <w:bidi w:val="0"/>
        <w:spacing w:lineRule="atLeast" w:line="200" w:before="0" w:after="0"/>
        <w:jc w:val="left"/>
        <w:rPr/>
      </w:pPr>
      <w:hyperlink w:anchor="i6d44722bfc2543dbbba9716d9e560c58_136">
        <w:r>
          <w:rPr>
            <w:rStyle w:val="InternetLink"/>
            <w:rFonts w:ascii="sans-serif" w:hAnsi="sans-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Board Responsiveness</w:t>
        </w:r>
      </w:hyperlink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.” </w:t>
      </w:r>
    </w:p>
    <w:p>
      <w:pPr>
        <w:pStyle w:val="TextBody"/>
        <w:bidi w:val="0"/>
        <w:spacing w:lineRule="atLeast" w:line="24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F47521"/>
          <w:sz w:val="24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F47521"/>
          <w:sz w:val="24"/>
          <w:u w:val="none"/>
          <w:effect w:val="none"/>
        </w:rPr>
        <w:t>Stock Ownership Guidelines for Non-Employee Directors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We maintain Stock Ownership Guidelines for our directors and Named Executive Officers to further align their financial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interests with those of our stockholders, as well as to promote sound corporate governance. For our non-employee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directors, our Stock Ownership Guidelines require an ownership target of the value equivalent to 5 times the annual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cash Board retainer. All non-employee directors are expected to achieve their stock ownership targets within five years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of becoming subject to these guidelines. The policy includes procedures for granting exemptions in the case of severe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financial hardship. Ownership targets for our Named Executive Officers (including those serving on our Board) are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described below under “</w:t>
      </w:r>
      <w:hyperlink w:anchor="i6d44722bfc2543dbbba9716d9e560c58_175">
        <w:r>
          <w:rPr>
            <w:rStyle w:val="InternetLink"/>
            <w:rFonts w:ascii="sans-serif" w:hAnsi="sans-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 xml:space="preserve">Compensation Discussion and Analysis—Other Compensation Information—Stock Ownership </w:t>
        </w:r>
      </w:hyperlink>
    </w:p>
    <w:p>
      <w:pPr>
        <w:pStyle w:val="TextBody"/>
        <w:bidi w:val="0"/>
        <w:spacing w:lineRule="atLeast" w:line="200" w:before="0" w:after="0"/>
        <w:jc w:val="left"/>
        <w:rPr/>
      </w:pPr>
      <w:hyperlink w:anchor="i6d44722bfc2543dbbba9716d9e560c58_175">
        <w:r>
          <w:rPr>
            <w:rStyle w:val="InternetLink"/>
            <w:rFonts w:ascii="sans-serif" w:hAnsi="sans-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Guidelines for NEOs</w:t>
        </w:r>
      </w:hyperlink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.”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Under our Stock Ownership Guidelines, credit is provided for shares held outright (including shares owned through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trusts, the Amended and Restated Exelixis, Inc. 401(k) Plan (401(k) Plan), or by a spouse), as well as shares to be issued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upon vesting of RSUs (as defined below) and PSUs (as defined below, to the extent such performance criteria has been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achieved), in each case net of applicable taxes. Credit is not provided for any unexercised stock options (regardless of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whether such stock options are vested). The values for all shares determined to be held by our non-employee directors </w:t>
      </w:r>
    </w:p>
    <w:tbl>
      <w:tblPr>
        <w:tblW w:w="174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61"/>
        <w:gridCol w:w="1381"/>
      </w:tblGrid>
      <w:tr>
        <w:trPr/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  <w:t>28</w:t>
            </w:r>
          </w:p>
        </w:tc>
        <w:tc>
          <w:tcPr>
            <w:tcW w:w="138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Exelixis, Inc.</w:t>
            </w:r>
          </w:p>
        </w:tc>
      </w:tr>
    </w:tbl>
    <w:tbl>
      <w:tblPr>
        <w:tblW w:w="1741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741"/>
      </w:tblGrid>
      <w:tr>
        <w:trPr/>
        <w:tc>
          <w:tcPr>
            <w:tcW w:w="17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4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6d44722bfc2543dbbba9716d9e560c58_16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color w:val="0000FF"/>
                  <w:sz w:val="18"/>
                  <w:u w:val="single"/>
                </w:rPr>
                <w:t>Table of Contents</w:t>
              </w:r>
            </w:hyperlink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and Named Executive Officers are based on the 200-day average stock price as of the measurement date. As of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February 27, 2026, all of our non-employee directors had met the required ownership targets. </w:t>
      </w:r>
    </w:p>
    <w:p>
      <w:pPr>
        <w:pStyle w:val="TextBody"/>
        <w:bidi w:val="0"/>
        <w:spacing w:lineRule="atLeast" w:line="24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F47521"/>
          <w:sz w:val="24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F47521"/>
          <w:sz w:val="24"/>
          <w:u w:val="none"/>
          <w:effect w:val="none"/>
        </w:rPr>
        <w:t>Spotlight on Corporate Responsibility and Sustainability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Exelixis’ mission is to help cancer patients recover stronger and live longer. In addition to delivering for patients, we are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also focused on contributing positively to society at large. To that end, Exelixis expects that its employees will commit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to the highest standards of ethical behavior and maintain values and principles that reflect both global awareness and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sustainability.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As detailed in our published</w:t>
      </w:r>
      <w:r>
        <w:rPr>
          <w:caps w:val="false"/>
          <w:smallCaps w:val="false"/>
          <w:strike w:val="false"/>
          <w:dstrike w:val="false"/>
          <w:color w:val="3F3F3F"/>
          <w:u w:val="none"/>
          <w:effect w:val="none"/>
        </w:rPr>
        <w:t xml:space="preserve">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Corporate Values &amp; Sustainability (CV&amp;S) reports, our business practices and progress on a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wide variety of initiatives are organized around four key themes: </w:t>
      </w:r>
    </w:p>
    <w:p>
      <w:pPr>
        <w:pStyle w:val="TextBody"/>
        <w:bidi w:val="0"/>
        <w:spacing w:lineRule="atLeast" w:line="24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F47521"/>
          <w:sz w:val="24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F47521"/>
          <w:sz w:val="24"/>
          <w:u w:val="none"/>
          <w:effect w:val="none"/>
        </w:rPr>
        <w:t>Access to Innovative and Safe Cancer Medicines</w:t>
      </w: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740410" cy="628650"/>
            <wp:effectExtent l="0" t="0" r="0" b="0"/>
            <wp:docPr id="69" name="Image6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" name="Image69" descr=""/>
                    <pic:cNvPicPr>
                      <a:picLocks noChangeAspect="1" noChangeArrowheads="1"/>
                    </pic:cNvPicPr>
                  </pic:nvPicPr>
                  <pic:blipFill>
                    <a:blip r:embed="rId7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0410" cy="628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71" w:name="i-69"/>
      <w:bookmarkEnd w:id="71"/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  <w:t xml:space="preserve">We can only accomplish our mission to help cancer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  <w:t xml:space="preserve">patients if the medicines we discover and develop are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  <w:t xml:space="preserve">innovative and fulfill unmet medical needs. Furthermore,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  <w:t xml:space="preserve">those medicines must be of the highest quality, have an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  <w:t xml:space="preserve">acceptable safety profile, be available expeditiously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  <w:t xml:space="preserve">when prescribed by healthcare professionals and be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  <w:t xml:space="preserve">accessible to cancer patients despite lack of insurance or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  <w:t xml:space="preserve">inability to pay.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sans-serif" w:hAnsi="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Key Components: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3F3F3F"/>
          <w:u w:val="none"/>
          <w:effect w:val="none"/>
        </w:rPr>
        <w:t>•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Increasing the number of novel and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differentiated anti-cancer agents in our pipeline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with new programs exploring multiple modalities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and mechanisms of action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3F3F3F"/>
          <w:u w:val="none"/>
          <w:effect w:val="none"/>
        </w:rPr>
        <w:t>•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Disciplined and focused approach to research &amp;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development with critical evaluation of assets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through all stages of development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3F3F3F"/>
          <w:u w:val="none"/>
          <w:effect w:val="none"/>
        </w:rPr>
        <w:t>•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Conducting safe and ethical clinical trials that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reflect an epidemiologically diverse patient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population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3F3F3F"/>
          <w:u w:val="none"/>
          <w:effect w:val="none"/>
        </w:rPr>
        <w:t>•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Supporting patients with improved access and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affordability, including through Exelixis Access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Services, a comprehensive resource that provides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co-pay assistance, allows qualifying uninsured or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underinsured patients to receive medication free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of charge, and connects patients with healthcare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providers to assist with their treatment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3F3F3F"/>
          <w:u w:val="none"/>
          <w:effect w:val="none"/>
        </w:rPr>
        <w:t>•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Safeguarding the integrity of our products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through their entire lifecycle, from preclinical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and clinical development through the post-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market experience </w:t>
      </w:r>
    </w:p>
    <w:tbl>
      <w:tblPr>
        <w:tblW w:w="256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176"/>
        <w:gridCol w:w="391"/>
      </w:tblGrid>
      <w:tr>
        <w:trPr/>
        <w:tc>
          <w:tcPr>
            <w:tcW w:w="21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7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40404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404040"/>
                <w:sz w:val="18"/>
                <w:u w:val="none"/>
                <w:effect w:val="none"/>
              </w:rPr>
              <w:t>2026 Proxy Statement</w:t>
            </w:r>
          </w:p>
        </w:tc>
        <w:tc>
          <w:tcPr>
            <w:tcW w:w="39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  <w:t>29</w:t>
            </w:r>
          </w:p>
        </w:tc>
      </w:tr>
    </w:tbl>
    <w:tbl>
      <w:tblPr>
        <w:tblW w:w="5091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696"/>
        <w:gridCol w:w="109"/>
        <w:gridCol w:w="3286"/>
      </w:tblGrid>
      <w:tr>
        <w:trPr/>
        <w:tc>
          <w:tcPr>
            <w:tcW w:w="16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9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6d44722bfc2543dbbba9716d9e560c58_16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color w:val="0000FF"/>
                  <w:sz w:val="18"/>
                  <w:u w:val="single"/>
                </w:rPr>
                <w:t>Table of Contents</w:t>
              </w:r>
            </w:hyperlink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Proposal 1 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C4C02"/>
                <w:sz w:val="18"/>
                <w:u w:val="none"/>
                <w:effect w:val="none"/>
              </w:rPr>
              <w:t>|</w:t>
            </w: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 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Corporate Governance</w:t>
            </w:r>
          </w:p>
        </w:tc>
      </w:tr>
    </w:tbl>
    <w:p>
      <w:pPr>
        <w:pStyle w:val="TextBody"/>
        <w:bidi w:val="0"/>
        <w:spacing w:lineRule="atLeast" w:line="24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F47521"/>
          <w:sz w:val="24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F47521"/>
          <w:sz w:val="24"/>
          <w:u w:val="none"/>
          <w:effect w:val="none"/>
        </w:rPr>
        <w:t xml:space="preserve">Community Engagement and Advocacy </w:t>
      </w: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676910" cy="612140"/>
            <wp:effectExtent l="0" t="0" r="0" b="0"/>
            <wp:docPr id="70" name="Image7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Image70" descr=""/>
                    <pic:cNvPicPr>
                      <a:picLocks noChangeAspect="1" noChangeArrowheads="1"/>
                    </pic:cNvPicPr>
                  </pic:nvPicPr>
                  <pic:blipFill>
                    <a:blip r:embed="rId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910" cy="612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72" w:name="i-70"/>
      <w:bookmarkEnd w:id="72"/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  <w:t xml:space="preserve">We connect with philanthropic organizations in the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  <w:t xml:space="preserve">communities in which our employees live and work and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  <w:t xml:space="preserve">like-minded organizations that are dedicated to improving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  <w:t xml:space="preserve">cancer care, education, outreach and advocacy. Through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  <w:t xml:space="preserve">our giving initiatives, we broaden our community impact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  <w:t xml:space="preserve">and create partnerships to benefit organizations that are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  <w:t xml:space="preserve">dedicated to the causes we and our employees care about.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  <w:t xml:space="preserve">We also offer employees the opportunity to engage with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  <w:t xml:space="preserve">their community through our Employee Giving and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  <w:t xml:space="preserve">Volunteer Programs.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sans-serif" w:hAnsi="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Key Components: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3F3F3F"/>
          <w:u w:val="none"/>
          <w:effect w:val="none"/>
        </w:rPr>
        <w:t>•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Providing corporate financial support and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matching employee donations up to a certain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amount to increase the impact of dollars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donated to philanthropic and community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organizations through our Exelixis Employee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Giving Program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3F3F3F"/>
          <w:u w:val="none"/>
          <w:effect w:val="none"/>
        </w:rPr>
        <w:t>•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Enabling employees to give back to the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communities in which we live and work on a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paid time off basis through the Exelixis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Employee Volunteer Program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3F3F3F"/>
          <w:u w:val="none"/>
          <w:effect w:val="none"/>
        </w:rPr>
        <w:t>•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Raising awareness of health-related cancer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issues and making available accurate and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appropriate information, assistance and/or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education on the prevention, diagnosis and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treatment of disease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3F3F3F"/>
          <w:u w:val="none"/>
          <w:effect w:val="none"/>
        </w:rPr>
        <w:t>•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Driving recognition of the important role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played by small- to mid-sized biotech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companies in our nation’s medical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innovation ecosystem</w:t>
      </w:r>
    </w:p>
    <w:p>
      <w:pPr>
        <w:pStyle w:val="TextBody"/>
        <w:bidi w:val="0"/>
        <w:spacing w:lineRule="atLeast" w:line="24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F47521"/>
          <w:sz w:val="24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F47521"/>
          <w:sz w:val="24"/>
          <w:u w:val="none"/>
          <w:effect w:val="none"/>
        </w:rPr>
        <w:t>Our People and Culture</w:t>
      </w: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676910" cy="633730"/>
            <wp:effectExtent l="0" t="0" r="0" b="0"/>
            <wp:docPr id="71" name="Image7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" name="Image71" descr=""/>
                    <pic:cNvPicPr>
                      <a:picLocks noChangeAspect="1" noChangeArrowheads="1"/>
                    </pic:cNvPicPr>
                  </pic:nvPicPr>
                  <pic:blipFill>
                    <a:blip r:embed="rId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910" cy="633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73" w:name="i-71"/>
      <w:bookmarkEnd w:id="73"/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  <w:t xml:space="preserve">We nurture a culture of belonging where all employees are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  <w:t xml:space="preserve">empowered to contribute to the Exelixis mission. We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  <w:t xml:space="preserve">respect and appreciate each employee’s unique perspective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  <w:t xml:space="preserve">and experiences, and believe that celebrating, encouraging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  <w:t xml:space="preserve">and supporting both similarities and differences contributes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  <w:t xml:space="preserve">to our company mission. We offer a variety of benefits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  <w:t xml:space="preserve">programs and take pride in our core corporate values to </w:t>
      </w:r>
      <w:r>
        <w:rPr>
          <w:rFonts w:ascii="sans-serif" w:hAnsi="sans-serif"/>
          <w:b/>
          <w:i/>
          <w:strike w:val="false"/>
          <w:dstrike w:val="false"/>
          <w:color w:val="3F3F3F"/>
          <w:sz w:val="20"/>
          <w:u w:val="none"/>
          <w:effect w:val="none"/>
        </w:rPr>
        <w:t xml:space="preserve">Be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sans-serif" w:hAnsi="sans-serif"/>
          <w:b/>
          <w:i/>
          <w:strike w:val="false"/>
          <w:dstrike w:val="false"/>
          <w:color w:val="3F3F3F"/>
          <w:sz w:val="20"/>
          <w:u w:val="none"/>
          <w:effect w:val="none"/>
        </w:rPr>
        <w:t>Exceptional</w:t>
      </w:r>
      <w:r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  <w:t xml:space="preserve">, </w:t>
      </w:r>
      <w:r>
        <w:rPr>
          <w:rFonts w:ascii="sans-serif" w:hAnsi="sans-serif"/>
          <w:b/>
          <w:i/>
          <w:strike w:val="false"/>
          <w:dstrike w:val="false"/>
          <w:color w:val="3F3F3F"/>
          <w:sz w:val="20"/>
          <w:u w:val="none"/>
          <w:effect w:val="none"/>
        </w:rPr>
        <w:t>Excel for Patients</w:t>
      </w:r>
      <w:r>
        <w:rPr>
          <w:strike w:val="false"/>
          <w:dstrike w:val="false"/>
          <w:color w:val="3F3F3F"/>
          <w:u w:val="none"/>
          <w:effect w:val="none"/>
        </w:rPr>
        <w:t xml:space="preserve"> </w:t>
      </w:r>
      <w:r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  <w:t xml:space="preserve">and </w:t>
      </w:r>
      <w:r>
        <w:rPr>
          <w:rFonts w:ascii="sans-serif" w:hAnsi="sans-serif"/>
          <w:b/>
          <w:i/>
          <w:strike w:val="false"/>
          <w:dstrike w:val="false"/>
          <w:color w:val="3F3F3F"/>
          <w:sz w:val="20"/>
          <w:u w:val="none"/>
          <w:effect w:val="none"/>
        </w:rPr>
        <w:t xml:space="preserve">Exceed Together.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sans-serif" w:hAnsi="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Key Components: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3F3F3F"/>
          <w:u w:val="none"/>
          <w:effect w:val="none"/>
        </w:rPr>
        <w:t>•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Focus on employee engagement, including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recruitment initiatives, and competitive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compensation and benefits programs to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attract and retain talented employees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3F3F3F"/>
          <w:u w:val="none"/>
          <w:effect w:val="none"/>
        </w:rPr>
        <w:t>•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Talent and leadership development through a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broad range of learning experiences for both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people leaders and individual contributors,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and a tuition reimbursement program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3F3F3F"/>
          <w:u w:val="none"/>
          <w:effect w:val="none"/>
        </w:rPr>
        <w:t>•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Emphasis on employee health and safety,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including regular inspections and training to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promote general workplace safety and ensure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a low rate of accidents</w:t>
      </w:r>
    </w:p>
    <w:tbl>
      <w:tblPr>
        <w:tblW w:w="174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61"/>
        <w:gridCol w:w="1381"/>
      </w:tblGrid>
      <w:tr>
        <w:trPr/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  <w:t>30</w:t>
            </w:r>
          </w:p>
        </w:tc>
        <w:tc>
          <w:tcPr>
            <w:tcW w:w="138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Exelixis, Inc.</w:t>
            </w:r>
          </w:p>
        </w:tc>
      </w:tr>
    </w:tbl>
    <w:tbl>
      <w:tblPr>
        <w:tblW w:w="1741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741"/>
      </w:tblGrid>
      <w:tr>
        <w:trPr/>
        <w:tc>
          <w:tcPr>
            <w:tcW w:w="17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4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6d44722bfc2543dbbba9716d9e560c58_16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color w:val="0000FF"/>
                  <w:sz w:val="18"/>
                  <w:u w:val="single"/>
                </w:rPr>
                <w:t>Table of Contents</w:t>
              </w:r>
            </w:hyperlink>
          </w:p>
        </w:tc>
      </w:tr>
    </w:tbl>
    <w:p>
      <w:pPr>
        <w:pStyle w:val="TextBody"/>
        <w:bidi w:val="0"/>
        <w:spacing w:lineRule="atLeast" w:line="24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F47521"/>
          <w:sz w:val="24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F47521"/>
          <w:sz w:val="24"/>
          <w:u w:val="none"/>
          <w:effect w:val="none"/>
        </w:rPr>
        <w:t>Environmental Management</w:t>
      </w: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676910" cy="628015"/>
            <wp:effectExtent l="0" t="0" r="0" b="0"/>
            <wp:docPr id="72" name="Image7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Image72" descr=""/>
                    <pic:cNvPicPr>
                      <a:picLocks noChangeAspect="1" noChangeArrowheads="1"/>
                    </pic:cNvPicPr>
                  </pic:nvPicPr>
                  <pic:blipFill>
                    <a:blip r:embed="rId7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910" cy="628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74" w:name="i-72"/>
      <w:bookmarkEnd w:id="74"/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  <w:t xml:space="preserve">We are committed to conducting business in a way that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  <w:t xml:space="preserve">respects our environment and the Earth’s changing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  <w:t xml:space="preserve">climate. We have enhanced our environmentally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  <w:t xml:space="preserve">sustainable practices across our facilities and operations,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  <w:t xml:space="preserve">including through the use of systems tracking our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  <w:t xml:space="preserve">electricity and natural gas footprint. We plan to continue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  <w:t xml:space="preserve">to evolve our practices as we advance our mission to help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  <w:t>cancer patients recover stronger and live longer.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sans-serif" w:hAnsi="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Key Components: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3F3F3F"/>
          <w:u w:val="none"/>
          <w:effect w:val="none"/>
        </w:rPr>
        <w:t>•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Sustainable facilities, including prioritizing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reduction of our energy use where possible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and shifting our energy consumption to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renewable sources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3F3F3F"/>
          <w:u w:val="none"/>
          <w:effect w:val="none"/>
        </w:rPr>
        <w:t>•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LEED BD+C Gold Certification through the U.S.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Green Building Council for the largest building at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our Alameda campus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3F3F3F"/>
          <w:u w:val="none"/>
          <w:effect w:val="none"/>
        </w:rPr>
        <w:t>•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100% clean electricity, purchased from eligible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renewable sources and large hydroelectric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sources, in addition to power generated from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onsite solar panels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3F3F3F"/>
          <w:u w:val="none"/>
          <w:effect w:val="none"/>
        </w:rPr>
        <w:t>•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Green transportation, including our commuter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support program (ongoing since 2019) to replace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single-occupancy vehicle trips with shared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transport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3F3F3F"/>
          <w:u w:val="none"/>
          <w:effect w:val="none"/>
        </w:rPr>
        <w:t>•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Waste management, including strict adherence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to applicable laws and regulations on handling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hazardous materials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Further information about our sustainability efforts, including our published</w:t>
      </w:r>
      <w:r>
        <w:rPr>
          <w:caps w:val="false"/>
          <w:smallCaps w:val="false"/>
          <w:strike w:val="false"/>
          <w:dstrike w:val="false"/>
          <w:color w:val="3F3F3F"/>
          <w:u w:val="none"/>
          <w:effect w:val="none"/>
        </w:rPr>
        <w:t xml:space="preserve">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CV&amp;S Reports, please refer to our website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at </w:t>
      </w:r>
      <w:r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  <w:t>www.exelixis.com</w:t>
      </w:r>
      <w:r>
        <w:rPr>
          <w:caps w:val="false"/>
          <w:smallCaps w:val="false"/>
          <w:strike w:val="false"/>
          <w:dstrike w:val="false"/>
          <w:color w:val="3F3F3F"/>
          <w:u w:val="none"/>
          <w:effect w:val="none"/>
        </w:rPr>
        <w:t xml:space="preserve">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under the caption “Creating Impact—Sustainability.” </w:t>
      </w:r>
    </w:p>
    <w:tbl>
      <w:tblPr>
        <w:tblW w:w="256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176"/>
        <w:gridCol w:w="391"/>
      </w:tblGrid>
      <w:tr>
        <w:trPr/>
        <w:tc>
          <w:tcPr>
            <w:tcW w:w="21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7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40404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404040"/>
                <w:sz w:val="18"/>
                <w:u w:val="none"/>
                <w:effect w:val="none"/>
              </w:rPr>
              <w:t>2026 Proxy Statement</w:t>
            </w:r>
          </w:p>
        </w:tc>
        <w:tc>
          <w:tcPr>
            <w:tcW w:w="39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  <w:t>31</w:t>
            </w:r>
          </w:p>
        </w:tc>
      </w:tr>
    </w:tbl>
    <w:tbl>
      <w:tblPr>
        <w:tblW w:w="4401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696"/>
        <w:gridCol w:w="109"/>
        <w:gridCol w:w="2596"/>
      </w:tblGrid>
      <w:tr>
        <w:trPr/>
        <w:tc>
          <w:tcPr>
            <w:tcW w:w="16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9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6d44722bfc2543dbbba9716d9e560c58_16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color w:val="0000FF"/>
                  <w:sz w:val="18"/>
                  <w:u w:val="single"/>
                </w:rPr>
                <w:t>Table of Contents</w:t>
              </w:r>
            </w:hyperlink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9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 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Compensation of Directors</w:t>
            </w:r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36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F47521"/>
          <w:sz w:val="36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F47521"/>
          <w:sz w:val="36"/>
          <w:u w:val="none"/>
          <w:effect w:val="none"/>
        </w:rPr>
        <w:t xml:space="preserve">COMPENSATION OF DIRECTORS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</w:pPr>
      <w:r>
        <w:rPr>
          <w:rFonts w:ascii="sans-serif" w:hAnsi="sans-serif"/>
          <w:b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  <w:t>Overview of Director Compensation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The compensation program for our non-employee directors is intended to be competitive and fair to attract and retain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highly qualified directors and recognize the time and effort required of a director given the size and complexity of our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operations. In accordance with its charter, our Compensation Committee is responsible for recommending to the Board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for approval the annual compensation for our non-employee directors and oversees our compensation policies and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practices for non-employee directors on behalf of the Board. To assist with the Compensation Committee’s and the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Board’s review, the Compensation Committee’s external compensation consultant prepares a comprehensive annual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assessment of our non-employee director compensation program. The assessment includes benchmarking director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compensation against the same</w:t>
      </w:r>
      <w:r>
        <w:rPr>
          <w:caps w:val="false"/>
          <w:smallCaps w:val="false"/>
          <w:strike w:val="false"/>
          <w:dstrike w:val="false"/>
          <w:color w:val="3F3F3F"/>
          <w:u w:val="none"/>
          <w:effect w:val="none"/>
        </w:rPr>
        <w:t xml:space="preserve">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peer group used for executive compensation purposes, an update on recent trends in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director compensation and a review of related corporate governance best practices.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</w:pPr>
      <w:r>
        <w:rPr>
          <w:rFonts w:ascii="sans-serif" w:hAnsi="sans-serif"/>
          <w:b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  <w:t>Cash Compensation Arrangements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Each non-employee director receives an annual cash retainer for his or her service on the Board, as well as an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additional annual cash retainer if he or she serves as the Chair of the Board, on a committee or as the chair of a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committee. In May 2025, the Board approved an increase to the Board Additional Chair Retainer Fee (to $40,000 from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$35,000) to align with the market median, following consideration of market data prepared by the Compensation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Committee’s independent compensation adviser, Aon, and the recommendation of the Compensation Committee. The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table below provides a full description of the 2025</w:t>
      </w:r>
      <w:r>
        <w:rPr>
          <w:caps w:val="false"/>
          <w:smallCaps w:val="false"/>
          <w:strike w:val="false"/>
          <w:dstrike w:val="false"/>
          <w:color w:val="3F3F3F"/>
          <w:sz w:val="24"/>
          <w:u w:val="none"/>
          <w:effect w:val="none"/>
        </w:rPr>
        <w:t xml:space="preserve">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cash compensation arrangements for our non-employee directors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(which account for the described second quarter fiscal 2025 changes in Director cash compensation). Dr. Morrissey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receives no compensation in his capacity as a member of the Board.</w:t>
      </w:r>
    </w:p>
    <w:tbl>
      <w:tblPr>
        <w:tblW w:w="10113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876"/>
        <w:gridCol w:w="3286"/>
        <w:gridCol w:w="1951"/>
      </w:tblGrid>
      <w:tr>
        <w:trPr/>
        <w:tc>
          <w:tcPr>
            <w:tcW w:w="48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876" w:type="dxa"/>
            <w:tcBorders>
              <w:bottom w:val="single" w:sz="8" w:space="0" w:color="F47521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  <w:t>Service</w:t>
            </w:r>
          </w:p>
        </w:tc>
        <w:tc>
          <w:tcPr>
            <w:tcW w:w="3286" w:type="dxa"/>
            <w:tcBorders>
              <w:bottom w:val="single" w:sz="8" w:space="0" w:color="F47521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  <w:t>Fee Type</w:t>
            </w:r>
          </w:p>
        </w:tc>
        <w:tc>
          <w:tcPr>
            <w:tcW w:w="1951" w:type="dxa"/>
            <w:tcBorders>
              <w:bottom w:val="single" w:sz="8" w:space="0" w:color="F47521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  <w:t xml:space="preserve">Annual Cash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  <w:t>Compensation ($)</w:t>
            </w:r>
          </w:p>
        </w:tc>
      </w:tr>
      <w:tr>
        <w:trPr/>
        <w:tc>
          <w:tcPr>
            <w:tcW w:w="4876" w:type="dxa"/>
            <w:tcBorders>
              <w:top w:val="single" w:sz="8" w:space="0" w:color="F47521"/>
            </w:tcBorders>
            <w:shd w:fill="E5E5E5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Board</w:t>
            </w:r>
          </w:p>
        </w:tc>
        <w:tc>
          <w:tcPr>
            <w:tcW w:w="3286" w:type="dxa"/>
            <w:tcBorders>
              <w:top w:val="single" w:sz="8" w:space="0" w:color="F47521"/>
            </w:tcBorders>
            <w:shd w:fill="E5E5E5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Retainer Fee</w:t>
            </w:r>
          </w:p>
        </w:tc>
        <w:tc>
          <w:tcPr>
            <w:tcW w:w="1951" w:type="dxa"/>
            <w:tcBorders>
              <w:top w:val="single" w:sz="8" w:space="0" w:color="F47521"/>
            </w:tcBorders>
            <w:shd w:fill="E5E5E5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60,000</w:t>
            </w:r>
          </w:p>
        </w:tc>
      </w:tr>
      <w:tr>
        <w:trPr/>
        <w:tc>
          <w:tcPr>
            <w:tcW w:w="4876" w:type="dxa"/>
            <w:tcBorders>
              <w:bottom w:val="single" w:sz="4" w:space="0" w:color="B6B6B6"/>
            </w:tcBorders>
            <w:shd w:fill="E5E5E5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86" w:type="dxa"/>
            <w:tcBorders>
              <w:bottom w:val="single" w:sz="4" w:space="0" w:color="B6B6B6"/>
            </w:tcBorders>
            <w:shd w:fill="E5E5E5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Additional Chair Retainer Fee (1)</w:t>
            </w:r>
          </w:p>
        </w:tc>
        <w:tc>
          <w:tcPr>
            <w:tcW w:w="1951" w:type="dxa"/>
            <w:tcBorders>
              <w:bottom w:val="single" w:sz="4" w:space="0" w:color="B6B6B6"/>
            </w:tcBorders>
            <w:shd w:fill="E5E5E5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40,000</w:t>
            </w:r>
          </w:p>
        </w:tc>
      </w:tr>
      <w:tr>
        <w:trPr/>
        <w:tc>
          <w:tcPr>
            <w:tcW w:w="4876" w:type="dxa"/>
            <w:tcBorders>
              <w:top w:val="single" w:sz="4" w:space="0" w:color="B6B6B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Audit Committee</w:t>
            </w:r>
          </w:p>
        </w:tc>
        <w:tc>
          <w:tcPr>
            <w:tcW w:w="3286" w:type="dxa"/>
            <w:tcBorders>
              <w:top w:val="single" w:sz="4" w:space="0" w:color="B6B6B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Retainer Fee</w:t>
            </w:r>
          </w:p>
        </w:tc>
        <w:tc>
          <w:tcPr>
            <w:tcW w:w="1951" w:type="dxa"/>
            <w:tcBorders>
              <w:top w:val="single" w:sz="4" w:space="0" w:color="B6B6B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15,000</w:t>
            </w:r>
          </w:p>
        </w:tc>
      </w:tr>
      <w:tr>
        <w:trPr/>
        <w:tc>
          <w:tcPr>
            <w:tcW w:w="4876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86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Additional Chair Retainer Fee</w:t>
            </w:r>
          </w:p>
        </w:tc>
        <w:tc>
          <w:tcPr>
            <w:tcW w:w="1951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15,000</w:t>
            </w:r>
          </w:p>
        </w:tc>
      </w:tr>
      <w:tr>
        <w:trPr/>
        <w:tc>
          <w:tcPr>
            <w:tcW w:w="4876" w:type="dxa"/>
            <w:tcBorders>
              <w:top w:val="single" w:sz="4" w:space="0" w:color="B6B6B6"/>
            </w:tcBorders>
            <w:shd w:fill="E5E5E5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Compensation Committee</w:t>
            </w:r>
          </w:p>
        </w:tc>
        <w:tc>
          <w:tcPr>
            <w:tcW w:w="3286" w:type="dxa"/>
            <w:tcBorders>
              <w:top w:val="single" w:sz="4" w:space="0" w:color="B6B6B6"/>
            </w:tcBorders>
            <w:shd w:fill="E5E5E5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Retainer Fee</w:t>
            </w:r>
          </w:p>
        </w:tc>
        <w:tc>
          <w:tcPr>
            <w:tcW w:w="1951" w:type="dxa"/>
            <w:tcBorders>
              <w:top w:val="single" w:sz="4" w:space="0" w:color="B6B6B6"/>
            </w:tcBorders>
            <w:shd w:fill="E5E5E5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12,000</w:t>
            </w:r>
          </w:p>
        </w:tc>
      </w:tr>
      <w:tr>
        <w:trPr/>
        <w:tc>
          <w:tcPr>
            <w:tcW w:w="4876" w:type="dxa"/>
            <w:tcBorders>
              <w:bottom w:val="single" w:sz="4" w:space="0" w:color="B6B6B6"/>
            </w:tcBorders>
            <w:shd w:fill="E5E5E5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86" w:type="dxa"/>
            <w:tcBorders>
              <w:bottom w:val="single" w:sz="4" w:space="0" w:color="B6B6B6"/>
            </w:tcBorders>
            <w:shd w:fill="E5E5E5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Additional Chair Retainer Fee</w:t>
            </w:r>
          </w:p>
        </w:tc>
        <w:tc>
          <w:tcPr>
            <w:tcW w:w="1951" w:type="dxa"/>
            <w:tcBorders>
              <w:bottom w:val="single" w:sz="4" w:space="0" w:color="B6B6B6"/>
            </w:tcBorders>
            <w:shd w:fill="E5E5E5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13,000</w:t>
            </w:r>
          </w:p>
        </w:tc>
      </w:tr>
      <w:tr>
        <w:trPr/>
        <w:tc>
          <w:tcPr>
            <w:tcW w:w="4876" w:type="dxa"/>
            <w:tcBorders>
              <w:top w:val="single" w:sz="4" w:space="0" w:color="B6B6B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Nominating &amp; Corporate Governance Committee</w:t>
            </w:r>
          </w:p>
        </w:tc>
        <w:tc>
          <w:tcPr>
            <w:tcW w:w="3286" w:type="dxa"/>
            <w:tcBorders>
              <w:top w:val="single" w:sz="4" w:space="0" w:color="B6B6B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Retainer Fee</w:t>
            </w:r>
          </w:p>
        </w:tc>
        <w:tc>
          <w:tcPr>
            <w:tcW w:w="1951" w:type="dxa"/>
            <w:tcBorders>
              <w:top w:val="single" w:sz="4" w:space="0" w:color="B6B6B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12,000</w:t>
            </w:r>
          </w:p>
        </w:tc>
      </w:tr>
      <w:tr>
        <w:trPr/>
        <w:tc>
          <w:tcPr>
            <w:tcW w:w="4876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86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Additional Chair Retainer Fee</w:t>
            </w:r>
          </w:p>
        </w:tc>
        <w:tc>
          <w:tcPr>
            <w:tcW w:w="1951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13,000</w:t>
            </w:r>
          </w:p>
        </w:tc>
      </w:tr>
      <w:tr>
        <w:trPr/>
        <w:tc>
          <w:tcPr>
            <w:tcW w:w="4876" w:type="dxa"/>
            <w:tcBorders>
              <w:top w:val="single" w:sz="4" w:space="0" w:color="B6B6B6"/>
            </w:tcBorders>
            <w:shd w:fill="E5E5E5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Research &amp; Development Committee</w:t>
            </w:r>
          </w:p>
        </w:tc>
        <w:tc>
          <w:tcPr>
            <w:tcW w:w="3286" w:type="dxa"/>
            <w:tcBorders>
              <w:top w:val="single" w:sz="4" w:space="0" w:color="B6B6B6"/>
            </w:tcBorders>
            <w:shd w:fill="E5E5E5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Retainer Fee</w:t>
            </w:r>
          </w:p>
        </w:tc>
        <w:tc>
          <w:tcPr>
            <w:tcW w:w="1951" w:type="dxa"/>
            <w:tcBorders>
              <w:top w:val="single" w:sz="4" w:space="0" w:color="B6B6B6"/>
            </w:tcBorders>
            <w:shd w:fill="E5E5E5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12,000</w:t>
            </w:r>
          </w:p>
        </w:tc>
      </w:tr>
      <w:tr>
        <w:trPr/>
        <w:tc>
          <w:tcPr>
            <w:tcW w:w="4876" w:type="dxa"/>
            <w:tcBorders>
              <w:bottom w:val="single" w:sz="4" w:space="0" w:color="B6B6B6"/>
            </w:tcBorders>
            <w:shd w:fill="E5E5E5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86" w:type="dxa"/>
            <w:tcBorders>
              <w:bottom w:val="single" w:sz="4" w:space="0" w:color="B6B6B6"/>
            </w:tcBorders>
            <w:shd w:fill="E5E5E5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Additional Chair Retainer Fee</w:t>
            </w:r>
          </w:p>
        </w:tc>
        <w:tc>
          <w:tcPr>
            <w:tcW w:w="1951" w:type="dxa"/>
            <w:tcBorders>
              <w:bottom w:val="single" w:sz="4" w:space="0" w:color="B6B6B6"/>
            </w:tcBorders>
            <w:shd w:fill="E5E5E5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13,000</w:t>
            </w:r>
          </w:p>
        </w:tc>
      </w:tr>
      <w:tr>
        <w:trPr/>
        <w:tc>
          <w:tcPr>
            <w:tcW w:w="4876" w:type="dxa"/>
            <w:tcBorders>
              <w:top w:val="single" w:sz="4" w:space="0" w:color="B6B6B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Risk Committee</w:t>
            </w:r>
          </w:p>
        </w:tc>
        <w:tc>
          <w:tcPr>
            <w:tcW w:w="3286" w:type="dxa"/>
            <w:tcBorders>
              <w:top w:val="single" w:sz="4" w:space="0" w:color="B6B6B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Retainer Fee</w:t>
            </w:r>
          </w:p>
        </w:tc>
        <w:tc>
          <w:tcPr>
            <w:tcW w:w="1951" w:type="dxa"/>
            <w:tcBorders>
              <w:top w:val="single" w:sz="4" w:space="0" w:color="B6B6B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12,000</w:t>
            </w:r>
          </w:p>
        </w:tc>
      </w:tr>
      <w:tr>
        <w:trPr/>
        <w:tc>
          <w:tcPr>
            <w:tcW w:w="4876" w:type="dxa"/>
            <w:tcBorders>
              <w:bottom w:val="single" w:sz="8" w:space="0" w:color="F47521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86" w:type="dxa"/>
            <w:tcBorders>
              <w:bottom w:val="single" w:sz="8" w:space="0" w:color="F47521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Additional Chair Retainer Fee</w:t>
            </w:r>
          </w:p>
        </w:tc>
        <w:tc>
          <w:tcPr>
            <w:tcW w:w="1951" w:type="dxa"/>
            <w:tcBorders>
              <w:bottom w:val="single" w:sz="8" w:space="0" w:color="F47521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13,000</w:t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(1)As described above, the Board Additional Chair Retainer Fee was raised from $35,000 to $40,000 in the second quarter fiscal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>2025.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All cash compensation is paid to each director in arrears on a quarterly basis for services performed during the prior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fiscal quarter.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</w:pPr>
      <w:r>
        <w:rPr>
          <w:rFonts w:ascii="sans-serif" w:hAnsi="sans-serif"/>
          <w:b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  <w:t>Equity Compensation Arrangements</w:t>
      </w:r>
      <w:bookmarkStart w:id="75" w:name="i3f4e5ba05511468991328de6ce510ed9_4877"/>
      <w:bookmarkEnd w:id="75"/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Our non-employee directors are also eligible to receive equity as part of their Board service, including an initial award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upon joining the Board and an annual award on the day following each annual meeting of stockholders. Grants to our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non-employee directors are made under our 2017 Equity Incentive Plan (2017 Plan), pursuant to the Non-Employee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Director Equity Compensation Policy, as amended (Directors’ Policy), as adopted by the Board. To address changes in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the trading price of our common stock, we utilize a value-based approach for determining the number of shares subject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to non-employee director equity awards. Under the terms of the Directors’ Policy, the aggregate value of each </w:t>
      </w:r>
    </w:p>
    <w:tbl>
      <w:tblPr>
        <w:tblW w:w="174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61"/>
        <w:gridCol w:w="1381"/>
      </w:tblGrid>
      <w:tr>
        <w:trPr/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  <w:t>32</w:t>
            </w:r>
          </w:p>
        </w:tc>
        <w:tc>
          <w:tcPr>
            <w:tcW w:w="138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Exelixis, Inc.</w:t>
            </w:r>
          </w:p>
        </w:tc>
      </w:tr>
    </w:tbl>
    <w:tbl>
      <w:tblPr>
        <w:tblW w:w="9661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9661"/>
      </w:tblGrid>
      <w:tr>
        <w:trPr/>
        <w:tc>
          <w:tcPr>
            <w:tcW w:w="96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66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6d44722bfc2543dbbba9716d9e560c58_16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color w:val="0000FF"/>
                  <w:sz w:val="18"/>
                  <w:u w:val="single"/>
                </w:rPr>
                <w:t>Table of Contents</w:t>
              </w:r>
            </w:hyperlink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 xml:space="preserve">                                                                                                                                    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one-time initial award is $680,000, and the aggregate value of each annual award is $400,000. Each one</w:t>
        <w:noBreakHyphen/>
        <w:t xml:space="preserve">time initial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equity award is granted approximately 50% in the form of a nonstatutory stock option award and approximately 50% in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the form of a restricted stock unit (RSU) award. Each non-employee director may elect to receive the full value of his or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her annual award in the form of either an RSU award or nonstatutory stock options or divide the award approximately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evenly between nonstatutory stock options and RSUs.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Under the Directors’ Policy, the total number of options and RSUs granted as part of each initial award and annual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award is determined using a formula based upon the Black-Scholes Merton option pricing model and the average of the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daily closing sale prices of our common stock for the trading days during the 30-day calendar period ending on (and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including) the last calendar day immediately prior to the relevant grant date. The value of each award, as determined in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accordance with the Directors’ Policy, may be greater or lesser than the grant date fair value computed for financial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reporting purposes and reflected in the “</w:t>
      </w:r>
      <w:hyperlink w:anchor="i6d44722bfc2543dbbba9716d9e560c58_100">
        <w:r>
          <w:rPr>
            <w:rStyle w:val="InternetLink"/>
            <w:rFonts w:ascii="sans-serif" w:hAnsi="sans-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Director Compensation Table</w:t>
        </w:r>
      </w:hyperlink>
      <w:r>
        <w:rPr>
          <w:caps w:val="false"/>
          <w:smallCaps w:val="false"/>
          <w:strike w:val="false"/>
          <w:dstrike w:val="false"/>
          <w:color w:val="3F3F3F"/>
          <w:u w:val="none"/>
          <w:effect w:val="none"/>
        </w:rPr>
        <w:t xml:space="preserve">”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below. This is a result of the different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calculation employed to determine the grant date fair value, which uses a formula based upon the Black-Scholes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Merton option pricing model and the closing sale price of our common stock on the grant date.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Options granted under the 2017 Plan in accordance with the Directors’ Policy are not incentive stock options under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the Internal Revenue Code of 1986, as amended (the Code). The exercise price of each initial and annual stock option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granted under the 2017 Plan is equal to 100% of the fair market value of a share of common stock on the grant date.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Under the terms of the Directors’ Policy, the one-time initial options are immediately exercisable, but shares issued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upon early exercise are subject to a repurchase right and will vest as follows: 25% of the underlying shares on the first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anniversary of the grant date with the remaining 75% vesting monthly thereafter over the next three years. The annual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options are also immediately exercisable, but shares issued upon early exercise are subject to a repurchase right and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will vest at the rate of 100% of the underlying shares on the first anniversary of the grant date.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As long as the non-employee director continues to serve with us or with an affiliate of ours, the options continue to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vest and be exercisable during their terms, and shares issued upon early exercise continue to vest. When the option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holder’s service terminates, we have the right to repurchase any unvested shares acquired upon exercise of the option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at the original exercise price without interest. The post-termination exercise period for the vested portion of options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granted to our non-employee directors is generally set to terminate the earlier of three years after a non-employee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director’s service terminates or the remainder of the term of the option, as described in the form of option agreement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for non-employee directors under the 2017 Plan (not to exceed seven years from the date of grant).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The initial RSU awards vest at the rate of 25% of the underlying shares on each of the first four anniversaries of the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grant date, and the annual RSU awards vest at the rate of 100% of the underlying shares on the first anniversary of the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grant date, in each case so long as the non-employee director continues to serve with us or with an affiliate of ours.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In the event of a change in control, 100% of the non-employee director’s outstanding and unvested equity awards will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immediately vest, and any applicable repurchase rights we may have will terminate.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</w:pPr>
      <w:r>
        <w:rPr>
          <w:rFonts w:ascii="sans-serif" w:hAnsi="sans-serif"/>
          <w:b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  <w:t>Recent Changes to Director Compensation for fiscal 2026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In February 2026, upon the recommendation of the Compensation Committee and its independent compensation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adviser, Aon, the Board approved revisions to the Directors’ Policy and a further increase to the annual Board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Additional Chair Retainer Fee, in each case to continue aligning director compensation with the market median.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Effective beginning in 2026, the aggregate value of each one</w:t>
        <w:noBreakHyphen/>
        <w:t xml:space="preserve">time initial equity award was reduced to $600,000 from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$680,000, and the annual Board Chair Retainer Fee was increased to $50,000. Under the revised policy, each one</w:t>
        <w:noBreakHyphen/>
        <w:t xml:space="preserve">time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initial equity award continues to be granted approximately 50% in the form of a nonstatutory stock option award and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approximately 50% in the form of an RSU award, but is subject to a three</w:t>
        <w:noBreakHyphen/>
        <w:t>year vesting schedule.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One-time initial stock option awards granted under the revised terms vest as follows: 33.3% of the underlying shares on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the first anniversary of the grant date, with the remaining 66.6% vesting monthly over the subsequent two years.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Consistent with the prior policy, such stock options remain immediately exercisable, with shares issued upon early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exercise subject to a repurchase right. One-time initial RSU awards granted under the revised terms vest at the rate of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33.3% of the underlying shares on each of the first three anniversaries of the grant date, in each case subject to the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non</w:t>
        <w:noBreakHyphen/>
        <w:t>employee director’s continued service with us or an affiliate of ours.</w:t>
      </w:r>
    </w:p>
    <w:tbl>
      <w:tblPr>
        <w:tblW w:w="256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176"/>
        <w:gridCol w:w="391"/>
      </w:tblGrid>
      <w:tr>
        <w:trPr/>
        <w:tc>
          <w:tcPr>
            <w:tcW w:w="21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7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40404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404040"/>
                <w:sz w:val="18"/>
                <w:u w:val="none"/>
                <w:effect w:val="none"/>
              </w:rPr>
              <w:t>2026 Proxy Statement</w:t>
            </w:r>
          </w:p>
        </w:tc>
        <w:tc>
          <w:tcPr>
            <w:tcW w:w="39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  <w:t>33</w:t>
            </w:r>
          </w:p>
        </w:tc>
      </w:tr>
    </w:tbl>
    <w:tbl>
      <w:tblPr>
        <w:tblW w:w="456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696"/>
        <w:gridCol w:w="109"/>
        <w:gridCol w:w="2761"/>
      </w:tblGrid>
      <w:tr>
        <w:trPr/>
        <w:tc>
          <w:tcPr>
            <w:tcW w:w="16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9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6d44722bfc2543dbbba9716d9e560c58_16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color w:val="0000FF"/>
                  <w:sz w:val="18"/>
                  <w:u w:val="single"/>
                </w:rPr>
                <w:t>Table of Contents</w:t>
              </w:r>
            </w:hyperlink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Director Compensation Table</w:t>
            </w:r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</w:pPr>
      <w:r>
        <w:rPr>
          <w:rFonts w:ascii="sans-serif" w:hAnsi="sans-serif"/>
          <w:b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  <w:t>Reimbursement of Expenses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The members of the Board are eligible for reimbursement of certain expenses incurred in connection with their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attendance at Board meetings and their service on the Board in accordance with our policy.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</w:pPr>
      <w:r>
        <w:rPr>
          <w:rFonts w:ascii="sans-serif" w:hAnsi="sans-serif"/>
          <w:b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  <w:t>Meaningful Limits on Director Compensation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The aggregate value of all compensation granted or paid to any individual solely for service as a non-employee director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may not exceed (a) $750,000 in total value with respect to any calendar year after a non-employee director is first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appointed or elected to the Board or (b) $1,500,000 in total value with respect to the calendar year during which a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non-employee director is first appointed or elected to the Board, in each case calculating the value of any stock awards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based on the grant date fair value of such awards for financial reporting purposes. These limits on non-employee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director compensation were approved by our stockholders and are included in our 2017 Plan.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F47521"/>
          <w:sz w:val="2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F47521"/>
          <w:sz w:val="28"/>
          <w:u w:val="none"/>
          <w:effect w:val="none"/>
        </w:rPr>
        <w:t>Director Compensation Table</w:t>
      </w:r>
    </w:p>
    <w:tbl>
      <w:tblPr>
        <w:tblW w:w="169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69"/>
      </w:tblGrid>
      <w:tr>
        <w:trPr/>
        <w:tc>
          <w:tcPr>
            <w:tcW w:w="16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9" w:type="dxa"/>
            <w:tcBorders>
              <w:top w:val="single" w:sz="8" w:space="0" w:color="F47521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The following table shows compensation information for our non-employee directors for the fiscal year ended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January 2, 2026. </w:t>
      </w: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985"/>
        <w:gridCol w:w="1621"/>
        <w:gridCol w:w="1486"/>
        <w:gridCol w:w="1606"/>
        <w:gridCol w:w="1576"/>
        <w:gridCol w:w="931"/>
      </w:tblGrid>
      <w:tr>
        <w:trPr/>
        <w:tc>
          <w:tcPr>
            <w:tcW w:w="298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985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21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Fees Earned or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Paid in Cash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($)</w:t>
            </w:r>
          </w:p>
        </w:tc>
        <w:tc>
          <w:tcPr>
            <w:tcW w:w="1486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Stock Awards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($)(1)</w:t>
            </w:r>
          </w:p>
        </w:tc>
        <w:tc>
          <w:tcPr>
            <w:tcW w:w="1606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Option Awards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($)(2)</w:t>
            </w:r>
          </w:p>
        </w:tc>
        <w:tc>
          <w:tcPr>
            <w:tcW w:w="1576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All Other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Compensation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($)(3)</w:t>
            </w:r>
          </w:p>
        </w:tc>
        <w:tc>
          <w:tcPr>
            <w:tcW w:w="931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Total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($)</w:t>
            </w:r>
          </w:p>
        </w:tc>
      </w:tr>
      <w:tr>
        <w:trPr/>
        <w:tc>
          <w:tcPr>
            <w:tcW w:w="2985" w:type="dxa"/>
            <w:tcBorders>
              <w:bottom w:val="single" w:sz="4" w:space="0" w:color="B6B6B6"/>
            </w:tcBorders>
            <w:shd w:fill="E5E5E5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Mary C. Beckerle, Ph.D. (4)</w:t>
            </w:r>
          </w:p>
        </w:tc>
        <w:tc>
          <w:tcPr>
            <w:tcW w:w="1621" w:type="dxa"/>
            <w:tcBorders>
              <w:bottom w:val="single" w:sz="4" w:space="0" w:color="B6B6B6"/>
            </w:tcBorders>
            <w:shd w:fill="E5E5E5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93,000</w:t>
            </w:r>
          </w:p>
        </w:tc>
        <w:tc>
          <w:tcPr>
            <w:tcW w:w="1486" w:type="dxa"/>
            <w:tcBorders>
              <w:bottom w:val="single" w:sz="4" w:space="0" w:color="B6B6B6"/>
            </w:tcBorders>
            <w:shd w:fill="E5E5E5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417,991</w:t>
            </w:r>
          </w:p>
        </w:tc>
        <w:tc>
          <w:tcPr>
            <w:tcW w:w="1606" w:type="dxa"/>
            <w:tcBorders>
              <w:bottom w:val="single" w:sz="4" w:space="0" w:color="B6B6B6"/>
            </w:tcBorders>
            <w:shd w:fill="E5E5E5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1576" w:type="dxa"/>
            <w:tcBorders>
              <w:bottom w:val="single" w:sz="4" w:space="0" w:color="B6B6B6"/>
            </w:tcBorders>
            <w:shd w:fill="E5E5E5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2,500</w:t>
            </w:r>
          </w:p>
        </w:tc>
        <w:tc>
          <w:tcPr>
            <w:tcW w:w="931" w:type="dxa"/>
            <w:tcBorders>
              <w:bottom w:val="single" w:sz="4" w:space="0" w:color="B6B6B6"/>
            </w:tcBorders>
            <w:shd w:fill="E5E5E5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513,491</w:t>
            </w:r>
          </w:p>
        </w:tc>
      </w:tr>
      <w:tr>
        <w:trPr/>
        <w:tc>
          <w:tcPr>
            <w:tcW w:w="2985" w:type="dxa"/>
            <w:tcBorders>
              <w:top w:val="single" w:sz="4" w:space="0" w:color="B6B6B6"/>
              <w:bottom w:val="single" w:sz="4" w:space="0" w:color="B6B6B6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S. Gail Eckhardt, M.D. (4)</w:t>
            </w:r>
          </w:p>
        </w:tc>
        <w:tc>
          <w:tcPr>
            <w:tcW w:w="1621" w:type="dxa"/>
            <w:tcBorders>
              <w:top w:val="single" w:sz="4" w:space="0" w:color="B6B6B6"/>
              <w:bottom w:val="single" w:sz="4" w:space="0" w:color="B6B6B6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84,000</w:t>
            </w:r>
          </w:p>
        </w:tc>
        <w:tc>
          <w:tcPr>
            <w:tcW w:w="1486" w:type="dxa"/>
            <w:tcBorders>
              <w:top w:val="single" w:sz="4" w:space="0" w:color="B6B6B6"/>
              <w:bottom w:val="single" w:sz="4" w:space="0" w:color="B6B6B6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417,991</w:t>
            </w:r>
          </w:p>
        </w:tc>
        <w:tc>
          <w:tcPr>
            <w:tcW w:w="1606" w:type="dxa"/>
            <w:tcBorders>
              <w:top w:val="single" w:sz="4" w:space="0" w:color="B6B6B6"/>
              <w:bottom w:val="single" w:sz="4" w:space="0" w:color="B6B6B6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1576" w:type="dxa"/>
            <w:tcBorders>
              <w:top w:val="single" w:sz="4" w:space="0" w:color="B6B6B6"/>
              <w:bottom w:val="single" w:sz="4" w:space="0" w:color="B6B6B6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2,500</w:t>
            </w:r>
          </w:p>
        </w:tc>
        <w:tc>
          <w:tcPr>
            <w:tcW w:w="931" w:type="dxa"/>
            <w:tcBorders>
              <w:top w:val="single" w:sz="4" w:space="0" w:color="B6B6B6"/>
              <w:bottom w:val="single" w:sz="4" w:space="0" w:color="B6B6B6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504,491</w:t>
            </w:r>
          </w:p>
        </w:tc>
      </w:tr>
      <w:tr>
        <w:trPr/>
        <w:tc>
          <w:tcPr>
            <w:tcW w:w="2985" w:type="dxa"/>
            <w:tcBorders>
              <w:top w:val="single" w:sz="4" w:space="0" w:color="B6B6B6"/>
              <w:bottom w:val="single" w:sz="4" w:space="0" w:color="B6B6B6"/>
            </w:tcBorders>
            <w:shd w:fill="E5E5E5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Maria C. Freire, Ph.D.</w:t>
            </w:r>
          </w:p>
        </w:tc>
        <w:tc>
          <w:tcPr>
            <w:tcW w:w="1621" w:type="dxa"/>
            <w:tcBorders>
              <w:top w:val="single" w:sz="4" w:space="0" w:color="B6B6B6"/>
              <w:bottom w:val="single" w:sz="4" w:space="0" w:color="B6B6B6"/>
            </w:tcBorders>
            <w:shd w:fill="E5E5E5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97,000</w:t>
            </w:r>
          </w:p>
        </w:tc>
        <w:tc>
          <w:tcPr>
            <w:tcW w:w="1486" w:type="dxa"/>
            <w:tcBorders>
              <w:top w:val="single" w:sz="4" w:space="0" w:color="B6B6B6"/>
              <w:bottom w:val="single" w:sz="4" w:space="0" w:color="B6B6B6"/>
            </w:tcBorders>
            <w:shd w:fill="E5E5E5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417,991</w:t>
            </w:r>
          </w:p>
        </w:tc>
        <w:tc>
          <w:tcPr>
            <w:tcW w:w="1606" w:type="dxa"/>
            <w:tcBorders>
              <w:top w:val="single" w:sz="4" w:space="0" w:color="B6B6B6"/>
              <w:bottom w:val="single" w:sz="4" w:space="0" w:color="B6B6B6"/>
            </w:tcBorders>
            <w:shd w:fill="E5E5E5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1576" w:type="dxa"/>
            <w:tcBorders>
              <w:top w:val="single" w:sz="4" w:space="0" w:color="B6B6B6"/>
              <w:bottom w:val="single" w:sz="4" w:space="0" w:color="B6B6B6"/>
            </w:tcBorders>
            <w:shd w:fill="E5E5E5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2,500</w:t>
            </w:r>
          </w:p>
        </w:tc>
        <w:tc>
          <w:tcPr>
            <w:tcW w:w="931" w:type="dxa"/>
            <w:tcBorders>
              <w:top w:val="single" w:sz="4" w:space="0" w:color="B6B6B6"/>
              <w:bottom w:val="single" w:sz="4" w:space="0" w:color="B6B6B6"/>
            </w:tcBorders>
            <w:shd w:fill="E5E5E5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517,491</w:t>
            </w:r>
          </w:p>
        </w:tc>
      </w:tr>
      <w:tr>
        <w:trPr/>
        <w:tc>
          <w:tcPr>
            <w:tcW w:w="2985" w:type="dxa"/>
            <w:tcBorders>
              <w:top w:val="single" w:sz="4" w:space="0" w:color="B6B6B6"/>
              <w:bottom w:val="single" w:sz="4" w:space="0" w:color="B6B6B6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Tomas J. Heyman </w:t>
            </w:r>
          </w:p>
        </w:tc>
        <w:tc>
          <w:tcPr>
            <w:tcW w:w="1621" w:type="dxa"/>
            <w:tcBorders>
              <w:top w:val="single" w:sz="4" w:space="0" w:color="B6B6B6"/>
              <w:bottom w:val="single" w:sz="4" w:space="0" w:color="B6B6B6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97,000</w:t>
            </w:r>
          </w:p>
        </w:tc>
        <w:tc>
          <w:tcPr>
            <w:tcW w:w="1486" w:type="dxa"/>
            <w:tcBorders>
              <w:top w:val="single" w:sz="4" w:space="0" w:color="B6B6B6"/>
              <w:bottom w:val="single" w:sz="4" w:space="0" w:color="B6B6B6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417,991</w:t>
            </w:r>
          </w:p>
        </w:tc>
        <w:tc>
          <w:tcPr>
            <w:tcW w:w="1606" w:type="dxa"/>
            <w:tcBorders>
              <w:top w:val="single" w:sz="4" w:space="0" w:color="B6B6B6"/>
              <w:bottom w:val="single" w:sz="4" w:space="0" w:color="B6B6B6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1576" w:type="dxa"/>
            <w:tcBorders>
              <w:top w:val="single" w:sz="4" w:space="0" w:color="B6B6B6"/>
              <w:bottom w:val="single" w:sz="4" w:space="0" w:color="B6B6B6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2,500</w:t>
            </w:r>
          </w:p>
        </w:tc>
        <w:tc>
          <w:tcPr>
            <w:tcW w:w="931" w:type="dxa"/>
            <w:tcBorders>
              <w:top w:val="single" w:sz="4" w:space="0" w:color="B6B6B6"/>
              <w:bottom w:val="single" w:sz="4" w:space="0" w:color="B6B6B6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517,491</w:t>
            </w:r>
          </w:p>
        </w:tc>
      </w:tr>
      <w:tr>
        <w:trPr/>
        <w:tc>
          <w:tcPr>
            <w:tcW w:w="2985" w:type="dxa"/>
            <w:tcBorders>
              <w:top w:val="single" w:sz="4" w:space="0" w:color="B6B6B6"/>
              <w:bottom w:val="single" w:sz="4" w:space="0" w:color="B6B6B6"/>
            </w:tcBorders>
            <w:shd w:fill="E5E5E5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David E. Johnson </w:t>
            </w:r>
          </w:p>
        </w:tc>
        <w:tc>
          <w:tcPr>
            <w:tcW w:w="1621" w:type="dxa"/>
            <w:tcBorders>
              <w:top w:val="single" w:sz="4" w:space="0" w:color="B6B6B6"/>
              <w:bottom w:val="single" w:sz="4" w:space="0" w:color="B6B6B6"/>
            </w:tcBorders>
            <w:shd w:fill="E5E5E5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87,000</w:t>
            </w:r>
          </w:p>
        </w:tc>
        <w:tc>
          <w:tcPr>
            <w:tcW w:w="1486" w:type="dxa"/>
            <w:tcBorders>
              <w:top w:val="single" w:sz="4" w:space="0" w:color="B6B6B6"/>
              <w:bottom w:val="single" w:sz="4" w:space="0" w:color="B6B6B6"/>
            </w:tcBorders>
            <w:shd w:fill="E5E5E5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1606" w:type="dxa"/>
            <w:tcBorders>
              <w:top w:val="single" w:sz="4" w:space="0" w:color="B6B6B6"/>
              <w:bottom w:val="single" w:sz="4" w:space="0" w:color="B6B6B6"/>
            </w:tcBorders>
            <w:shd w:fill="E5E5E5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417,709</w:t>
            </w:r>
          </w:p>
        </w:tc>
        <w:tc>
          <w:tcPr>
            <w:tcW w:w="1576" w:type="dxa"/>
            <w:tcBorders>
              <w:top w:val="single" w:sz="4" w:space="0" w:color="B6B6B6"/>
              <w:bottom w:val="single" w:sz="4" w:space="0" w:color="B6B6B6"/>
            </w:tcBorders>
            <w:shd w:fill="E5E5E5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2,500</w:t>
            </w:r>
          </w:p>
        </w:tc>
        <w:tc>
          <w:tcPr>
            <w:tcW w:w="931" w:type="dxa"/>
            <w:tcBorders>
              <w:top w:val="single" w:sz="4" w:space="0" w:color="B6B6B6"/>
              <w:bottom w:val="single" w:sz="4" w:space="0" w:color="B6B6B6"/>
            </w:tcBorders>
            <w:shd w:fill="E5E5E5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507,209</w:t>
            </w:r>
          </w:p>
        </w:tc>
      </w:tr>
      <w:tr>
        <w:trPr/>
        <w:tc>
          <w:tcPr>
            <w:tcW w:w="2985" w:type="dxa"/>
            <w:tcBorders>
              <w:top w:val="single" w:sz="4" w:space="0" w:color="B6B6B6"/>
              <w:bottom w:val="single" w:sz="4" w:space="0" w:color="B6B6B6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Robert L. Oliver, Jr. </w:t>
            </w:r>
          </w:p>
        </w:tc>
        <w:tc>
          <w:tcPr>
            <w:tcW w:w="1621" w:type="dxa"/>
            <w:tcBorders>
              <w:top w:val="single" w:sz="4" w:space="0" w:color="B6B6B6"/>
              <w:bottom w:val="single" w:sz="4" w:space="0" w:color="B6B6B6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84,000</w:t>
            </w:r>
          </w:p>
        </w:tc>
        <w:tc>
          <w:tcPr>
            <w:tcW w:w="1486" w:type="dxa"/>
            <w:tcBorders>
              <w:top w:val="single" w:sz="4" w:space="0" w:color="B6B6B6"/>
              <w:bottom w:val="single" w:sz="4" w:space="0" w:color="B6B6B6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417,991</w:t>
            </w:r>
          </w:p>
        </w:tc>
        <w:tc>
          <w:tcPr>
            <w:tcW w:w="1606" w:type="dxa"/>
            <w:tcBorders>
              <w:top w:val="single" w:sz="4" w:space="0" w:color="B6B6B6"/>
              <w:bottom w:val="single" w:sz="4" w:space="0" w:color="B6B6B6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1576" w:type="dxa"/>
            <w:tcBorders>
              <w:top w:val="single" w:sz="4" w:space="0" w:color="B6B6B6"/>
              <w:bottom w:val="single" w:sz="4" w:space="0" w:color="B6B6B6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931" w:type="dxa"/>
            <w:tcBorders>
              <w:top w:val="single" w:sz="4" w:space="0" w:color="B6B6B6"/>
              <w:bottom w:val="single" w:sz="4" w:space="0" w:color="B6B6B6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501,991</w:t>
            </w:r>
          </w:p>
        </w:tc>
      </w:tr>
      <w:tr>
        <w:trPr/>
        <w:tc>
          <w:tcPr>
            <w:tcW w:w="2985" w:type="dxa"/>
            <w:tcBorders>
              <w:top w:val="single" w:sz="4" w:space="0" w:color="B6B6B6"/>
              <w:bottom w:val="single" w:sz="4" w:space="0" w:color="B6B6B6"/>
            </w:tcBorders>
            <w:shd w:fill="E5E5E5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Stelios Papadopoulos, Ph.D.</w:t>
            </w:r>
          </w:p>
        </w:tc>
        <w:tc>
          <w:tcPr>
            <w:tcW w:w="1621" w:type="dxa"/>
            <w:tcBorders>
              <w:top w:val="single" w:sz="4" w:space="0" w:color="B6B6B6"/>
              <w:bottom w:val="single" w:sz="4" w:space="0" w:color="B6B6B6"/>
            </w:tcBorders>
            <w:shd w:fill="E5E5E5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137,750</w:t>
            </w:r>
          </w:p>
        </w:tc>
        <w:tc>
          <w:tcPr>
            <w:tcW w:w="1486" w:type="dxa"/>
            <w:tcBorders>
              <w:top w:val="single" w:sz="4" w:space="0" w:color="B6B6B6"/>
              <w:bottom w:val="single" w:sz="4" w:space="0" w:color="B6B6B6"/>
            </w:tcBorders>
            <w:shd w:fill="E5E5E5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417,991</w:t>
            </w:r>
          </w:p>
        </w:tc>
        <w:tc>
          <w:tcPr>
            <w:tcW w:w="1606" w:type="dxa"/>
            <w:tcBorders>
              <w:top w:val="single" w:sz="4" w:space="0" w:color="B6B6B6"/>
              <w:bottom w:val="single" w:sz="4" w:space="0" w:color="B6B6B6"/>
            </w:tcBorders>
            <w:shd w:fill="E5E5E5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1576" w:type="dxa"/>
            <w:tcBorders>
              <w:top w:val="single" w:sz="4" w:space="0" w:color="B6B6B6"/>
              <w:bottom w:val="single" w:sz="4" w:space="0" w:color="B6B6B6"/>
            </w:tcBorders>
            <w:shd w:fill="E5E5E5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931" w:type="dxa"/>
            <w:tcBorders>
              <w:top w:val="single" w:sz="4" w:space="0" w:color="B6B6B6"/>
              <w:bottom w:val="single" w:sz="4" w:space="0" w:color="B6B6B6"/>
            </w:tcBorders>
            <w:shd w:fill="E5E5E5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555,741</w:t>
            </w:r>
          </w:p>
        </w:tc>
      </w:tr>
      <w:tr>
        <w:trPr/>
        <w:tc>
          <w:tcPr>
            <w:tcW w:w="2985" w:type="dxa"/>
            <w:tcBorders>
              <w:top w:val="single" w:sz="4" w:space="0" w:color="B6B6B6"/>
              <w:bottom w:val="single" w:sz="4" w:space="0" w:color="B6B6B6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George Poste, DVM, Ph.D., FRS</w:t>
            </w:r>
          </w:p>
        </w:tc>
        <w:tc>
          <w:tcPr>
            <w:tcW w:w="1621" w:type="dxa"/>
            <w:tcBorders>
              <w:top w:val="single" w:sz="4" w:space="0" w:color="B6B6B6"/>
              <w:bottom w:val="single" w:sz="4" w:space="0" w:color="B6B6B6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97,000</w:t>
            </w:r>
          </w:p>
        </w:tc>
        <w:tc>
          <w:tcPr>
            <w:tcW w:w="1486" w:type="dxa"/>
            <w:tcBorders>
              <w:top w:val="single" w:sz="4" w:space="0" w:color="B6B6B6"/>
              <w:bottom w:val="single" w:sz="4" w:space="0" w:color="B6B6B6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417,991</w:t>
            </w:r>
          </w:p>
        </w:tc>
        <w:tc>
          <w:tcPr>
            <w:tcW w:w="1606" w:type="dxa"/>
            <w:tcBorders>
              <w:top w:val="single" w:sz="4" w:space="0" w:color="B6B6B6"/>
              <w:bottom w:val="single" w:sz="4" w:space="0" w:color="B6B6B6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1576" w:type="dxa"/>
            <w:tcBorders>
              <w:top w:val="single" w:sz="4" w:space="0" w:color="B6B6B6"/>
              <w:bottom w:val="single" w:sz="4" w:space="0" w:color="B6B6B6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931" w:type="dxa"/>
            <w:tcBorders>
              <w:top w:val="single" w:sz="4" w:space="0" w:color="B6B6B6"/>
              <w:bottom w:val="single" w:sz="4" w:space="0" w:color="B6B6B6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514,991</w:t>
            </w:r>
          </w:p>
        </w:tc>
      </w:tr>
      <w:tr>
        <w:trPr/>
        <w:tc>
          <w:tcPr>
            <w:tcW w:w="2985" w:type="dxa"/>
            <w:tcBorders>
              <w:top w:val="single" w:sz="4" w:space="0" w:color="B6B6B6"/>
              <w:bottom w:val="single" w:sz="4" w:space="0" w:color="B6B6B6"/>
            </w:tcBorders>
            <w:shd w:fill="E5E5E5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Julie A. Smith</w:t>
            </w:r>
          </w:p>
        </w:tc>
        <w:tc>
          <w:tcPr>
            <w:tcW w:w="1621" w:type="dxa"/>
            <w:tcBorders>
              <w:top w:val="single" w:sz="4" w:space="0" w:color="B6B6B6"/>
              <w:bottom w:val="single" w:sz="4" w:space="0" w:color="B6B6B6"/>
            </w:tcBorders>
            <w:shd w:fill="E5E5E5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100,000</w:t>
            </w:r>
          </w:p>
        </w:tc>
        <w:tc>
          <w:tcPr>
            <w:tcW w:w="1486" w:type="dxa"/>
            <w:tcBorders>
              <w:top w:val="single" w:sz="4" w:space="0" w:color="B6B6B6"/>
              <w:bottom w:val="single" w:sz="4" w:space="0" w:color="B6B6B6"/>
            </w:tcBorders>
            <w:shd w:fill="E5E5E5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417,991</w:t>
            </w:r>
          </w:p>
        </w:tc>
        <w:tc>
          <w:tcPr>
            <w:tcW w:w="1606" w:type="dxa"/>
            <w:tcBorders>
              <w:top w:val="single" w:sz="4" w:space="0" w:color="B6B6B6"/>
              <w:bottom w:val="single" w:sz="4" w:space="0" w:color="B6B6B6"/>
            </w:tcBorders>
            <w:shd w:fill="E5E5E5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1576" w:type="dxa"/>
            <w:tcBorders>
              <w:top w:val="single" w:sz="4" w:space="0" w:color="B6B6B6"/>
              <w:bottom w:val="single" w:sz="4" w:space="0" w:color="B6B6B6"/>
            </w:tcBorders>
            <w:shd w:fill="E5E5E5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2,500</w:t>
            </w:r>
          </w:p>
        </w:tc>
        <w:tc>
          <w:tcPr>
            <w:tcW w:w="931" w:type="dxa"/>
            <w:tcBorders>
              <w:top w:val="single" w:sz="4" w:space="0" w:color="B6B6B6"/>
              <w:bottom w:val="single" w:sz="4" w:space="0" w:color="B6B6B6"/>
            </w:tcBorders>
            <w:shd w:fill="E5E5E5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520,491</w:t>
            </w:r>
          </w:p>
        </w:tc>
      </w:tr>
      <w:tr>
        <w:trPr/>
        <w:tc>
          <w:tcPr>
            <w:tcW w:w="2985" w:type="dxa"/>
            <w:tcBorders>
              <w:top w:val="single" w:sz="4" w:space="0" w:color="B6B6B6"/>
              <w:bottom w:val="single" w:sz="8" w:space="0" w:color="F47521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Jack L. Wyszomierski</w:t>
            </w:r>
          </w:p>
        </w:tc>
        <w:tc>
          <w:tcPr>
            <w:tcW w:w="1621" w:type="dxa"/>
            <w:tcBorders>
              <w:top w:val="single" w:sz="4" w:space="0" w:color="B6B6B6"/>
              <w:bottom w:val="single" w:sz="8" w:space="0" w:color="F47521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102,000</w:t>
            </w:r>
          </w:p>
        </w:tc>
        <w:tc>
          <w:tcPr>
            <w:tcW w:w="1486" w:type="dxa"/>
            <w:tcBorders>
              <w:top w:val="single" w:sz="4" w:space="0" w:color="B6B6B6"/>
              <w:bottom w:val="single" w:sz="8" w:space="0" w:color="F47521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417,991</w:t>
            </w:r>
          </w:p>
        </w:tc>
        <w:tc>
          <w:tcPr>
            <w:tcW w:w="1606" w:type="dxa"/>
            <w:tcBorders>
              <w:top w:val="single" w:sz="4" w:space="0" w:color="B6B6B6"/>
              <w:bottom w:val="single" w:sz="8" w:space="0" w:color="F47521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1576" w:type="dxa"/>
            <w:tcBorders>
              <w:top w:val="single" w:sz="4" w:space="0" w:color="B6B6B6"/>
              <w:bottom w:val="single" w:sz="8" w:space="0" w:color="F47521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931" w:type="dxa"/>
            <w:tcBorders>
              <w:top w:val="single" w:sz="4" w:space="0" w:color="B6B6B6"/>
              <w:bottom w:val="single" w:sz="8" w:space="0" w:color="F47521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519,991</w:t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(1)    On May 29, 2025, each of Drs. Beckerle, Eckhardt, Freire, Papadopoulos and Poste, Ms. Smith and Messrs. Heyman, Oliver and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Wyszomierski was granted an RSU award pursuant to the Directors’ Policy. Each of Drs. Beckerle, Eckhardt, Freire,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Papadopoulos and Poste, Ms. Smith and Messrs. Heyman, Oliver and Wyszomierski elected to receive 100% of their annual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award in the form of RSU awards. Amounts shown in this column reflect the grant date fair value of the RSU awards as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computed in accordance with Financial Accounting Standards Board, Accounting Standards Codification Topic 718 (ASC 718).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The assumptions used to calculate the value of the RSU awards are set forth in Note 9 of the Notes to Consolidated Financial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Statements included in our Annual Report on Form 10-K for the fiscal year ended January 2, 2026, filed with the SEC on </w:t>
      </w:r>
    </w:p>
    <w:p>
      <w:pPr>
        <w:pStyle w:val="TextBody"/>
        <w:bidi w:val="0"/>
        <w:spacing w:lineRule="atLeast" w:line="180" w:before="0" w:after="0"/>
        <w:jc w:val="left"/>
        <w:rPr/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>February 10, 2026. Please see “</w:t>
      </w:r>
      <w:hyperlink w:anchor="i6d44722bfc2543dbbba9716d9e560c58_91">
        <w:r>
          <w:rPr>
            <w:rStyle w:val="InternetLink"/>
            <w:rFonts w:ascii="sans-serif" w:hAnsi="sans-serif"/>
            <w:b w:val="false"/>
            <w:i w:val="false"/>
            <w:caps w:val="false"/>
            <w:smallCaps w:val="false"/>
            <w:color w:val="0000FF"/>
            <w:sz w:val="18"/>
            <w:u w:val="single"/>
          </w:rPr>
          <w:t>Equity Compensation Arrangements</w:t>
        </w:r>
      </w:hyperlink>
      <w:r>
        <w:rPr>
          <w:caps w:val="false"/>
          <w:smallCaps w:val="false"/>
          <w:strike w:val="false"/>
          <w:dstrike w:val="false"/>
          <w:color w:val="3F3F3F"/>
          <w:sz w:val="24"/>
          <w:u w:val="none"/>
          <w:effect w:val="none"/>
        </w:rPr>
        <w:t xml:space="preserve">”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above for a description of the RSU awards made to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>non-employee directors on May 29, 2025.</w:t>
      </w:r>
    </w:p>
    <w:p>
      <w:pPr>
        <w:pStyle w:val="TextBody"/>
        <w:bidi w:val="0"/>
        <w:spacing w:lineRule="atLeast" w:line="180" w:before="0" w:after="0"/>
        <w:jc w:val="left"/>
        <w:rPr>
          <w:caps w:val="false"/>
          <w:smallCaps w:val="false"/>
          <w:strike w:val="false"/>
          <w:dstrike w:val="false"/>
          <w:color w:val="3F3F3F"/>
          <w:u w:val="none"/>
          <w:effect w:val="none"/>
        </w:rPr>
      </w:pPr>
      <w:r>
        <w:rPr>
          <w:caps w:val="false"/>
          <w:smallCaps w:val="false"/>
          <w:strike w:val="false"/>
          <w:dstrike w:val="false"/>
          <w:color w:val="3F3F3F"/>
          <w:u w:val="none"/>
          <w:effect w:val="none"/>
        </w:rPr>
        <w:t xml:space="preserve">       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Only one RSU award was granted to each of Drs. Beckerle, Eckhardt, Freire, Papadopoulos and Poste, Ms. Smith and Messrs.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Heyman, Oliver and Wyszomierski during fiscal 2025 and, accordingly, the grant date fair value of that RSU award is reflected in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the table. The aggregate number of shares subject to all RSUs held by each of our non-employee directors as of January 2, 2026,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is as follows: Dr. Beckerle—21,380; Dr. Eckhardt —21,380; Dr. Freire—9,812; Mr. Heyman—18,900; Mr. Johnson—9,088; Mr.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Oliver—18,900; Dr. Papadopoulos—9,812; Dr. Poste—9,812; Ms. Smith—9,812; and Mr. Wyszomierski—9,812.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(2)    On May 29, 2025, Mr. Johnson was granted a stock option award pursuant to the Directors’ Policy. Mr. Johnson elected to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receive 100% of his annual award in the form of a stock option. Only one stock option award was granted to Mr. Johnson during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fiscal 2025 and, accordingly, the grant date fair value of that stock option is reflected in the table. Amounts shown in this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column reflect the grant date fair value of the option award as computed in accordance with ASC 718. The assumptions used to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calculate the value of the option awards are set forth in Note 9 of the Notes to Consolidated Financial Statements included in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our Annual Report on Form 10-K for the fiscal year ended January 2, 2026, filed with the SEC on February 10, 2026. The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aggregate number of shares subject to all stock options held by each of our non-employee directors as of January 2, 2026, is as </w:t>
      </w:r>
    </w:p>
    <w:tbl>
      <w:tblPr>
        <w:tblW w:w="174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61"/>
        <w:gridCol w:w="1381"/>
      </w:tblGrid>
      <w:tr>
        <w:trPr/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  <w:t>34</w:t>
            </w:r>
          </w:p>
        </w:tc>
        <w:tc>
          <w:tcPr>
            <w:tcW w:w="138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Exelixis, Inc.</w:t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/>
      </w:pPr>
      <w:hyperlink w:anchor="i6d44722bfc2543dbbba9716d9e560c58_16">
        <w:r>
          <w:rPr>
            <w:rStyle w:val="InternetLink"/>
            <w:rFonts w:ascii="sans-serif" w:hAnsi="sans-serif"/>
            <w:b w:val="false"/>
            <w:i w:val="false"/>
            <w:caps w:val="false"/>
            <w:smallCaps w:val="false"/>
            <w:color w:val="0000FF"/>
            <w:sz w:val="18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follows: Dr. Beckerle—16,710; Dr. Eckhardt—23,136; Dr. Freire—52,688; Mr. Heyman—36,353; Mr. Johnson—100,584; Mr. </w:t>
      </w:r>
    </w:p>
    <w:p>
      <w:pPr>
        <w:pStyle w:val="TextBody"/>
        <w:bidi w:val="0"/>
        <w:spacing w:lineRule="atLeast" w:line="180" w:before="0" w:after="0"/>
        <w:jc w:val="left"/>
        <w:rPr>
          <w:sz w:val="24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>Oliver—21,206;</w:t>
      </w:r>
      <w:r>
        <w:rPr>
          <w:caps w:val="false"/>
          <w:smallCaps w:val="false"/>
          <w:strike w:val="false"/>
          <w:dstrike w:val="false"/>
          <w:color w:val="3F3F3F"/>
          <w:sz w:val="24"/>
          <w:u w:val="none"/>
          <w:effect w:val="none"/>
        </w:rPr>
        <w:t xml:space="preserve">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>Dr. Papadopoulos—0; Dr. Poste—0;</w:t>
      </w:r>
      <w:r>
        <w:rPr>
          <w:caps w:val="false"/>
          <w:smallCaps w:val="false"/>
          <w:strike w:val="false"/>
          <w:dstrike w:val="false"/>
          <w:color w:val="3F3F3F"/>
          <w:sz w:val="24"/>
          <w:u w:val="none"/>
          <w:effect w:val="none"/>
        </w:rPr>
        <w:t xml:space="preserve">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>Ms. Smith—106,539; and Mr. Wyszomierski—52,688.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>(3)    These values reflect the amounts that were donated to charities by the company to match personal donations made by non-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employee directors in connection with requests by these directors made prior to January 2, 2026 under the company’s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matching gift program for 2025, which matches charitable donations by non-employee directors up to an aggregate of $2,500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>annually per director.</w:t>
      </w:r>
    </w:p>
    <w:tbl>
      <w:tblPr>
        <w:tblW w:w="256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176"/>
        <w:gridCol w:w="391"/>
      </w:tblGrid>
      <w:tr>
        <w:trPr/>
        <w:tc>
          <w:tcPr>
            <w:tcW w:w="21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7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40404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404040"/>
                <w:sz w:val="18"/>
                <w:u w:val="none"/>
                <w:effect w:val="none"/>
              </w:rPr>
              <w:t>2026 Proxy Statement</w:t>
            </w:r>
          </w:p>
        </w:tc>
        <w:tc>
          <w:tcPr>
            <w:tcW w:w="39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  <w:t>35</w:t>
            </w:r>
          </w:p>
        </w:tc>
      </w:tr>
    </w:tbl>
    <w:tbl>
      <w:tblPr>
        <w:tblW w:w="972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696"/>
        <w:gridCol w:w="8026"/>
      </w:tblGrid>
      <w:tr>
        <w:trPr/>
        <w:tc>
          <w:tcPr>
            <w:tcW w:w="16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9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6d44722bfc2543dbbba9716d9e560c58_16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color w:val="0000FF"/>
                  <w:sz w:val="18"/>
                  <w:u w:val="single"/>
                </w:rPr>
                <w:t>Table of Contents</w:t>
              </w:r>
            </w:hyperlink>
          </w:p>
        </w:tc>
        <w:tc>
          <w:tcPr>
            <w:tcW w:w="802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Proposal 2 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C4C02"/>
                <w:sz w:val="18"/>
                <w:u w:val="none"/>
                <w:effect w:val="none"/>
              </w:rPr>
              <w:t>| 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Ratification of Selection of Independent Registered Public Accounting Firm</w:t>
            </w:r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36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F47521"/>
          <w:sz w:val="36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F47521"/>
          <w:sz w:val="36"/>
          <w:u w:val="none"/>
          <w:effect w:val="none"/>
        </w:rPr>
        <w:t xml:space="preserve">PROPOSAL 2 </w:t>
      </w:r>
    </w:p>
    <w:p>
      <w:pPr>
        <w:pStyle w:val="TextBody"/>
        <w:bidi w:val="0"/>
        <w:spacing w:lineRule="atLeast" w:line="3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3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30"/>
          <w:u w:val="none"/>
          <w:effect w:val="none"/>
        </w:rPr>
        <w:t xml:space="preserve">RATIFICATION OF SELECTION OF INDEPENDENT REGISTERED PUBLIC </w:t>
      </w:r>
    </w:p>
    <w:p>
      <w:pPr>
        <w:pStyle w:val="TextBody"/>
        <w:bidi w:val="0"/>
        <w:spacing w:lineRule="atLeast" w:line="3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3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30"/>
          <w:u w:val="none"/>
          <w:effect w:val="none"/>
        </w:rPr>
        <w:t xml:space="preserve">ACCOUNTING FIRM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The Audit Committee of the Board has selected Ernst &amp; Young LLP as Exelixis’ independent registered public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accounting firm for the fiscal year ending January 1, 2027. The Board, on behalf of the Audit Committee, has further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directed that management submit the selection of the independent registered public accounting firm for ratification by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the stockholders at the Annual Meeting. Ernst &amp; Young LLP has audited our financial statements for each of the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twenty-five fiscal years in the period ended January 2, 2026. Representatives of Ernst &amp; Young LLP are expected to be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present at the Annual Meeting. They will have an opportunity to make a statement and will be available to respond to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appropriate questions.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Neither our Bylaws nor other governing documents or law require stockholder ratification of the selection of Ernst &amp;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Young LLP as Exelixis’ independent registered public accounting firm. However, the Board is submitting the selection of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Ernst &amp; Young LLP to the stockholders for ratification as a matter of good corporate governance. If the stockholders fail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to ratify the selection, the Audit Committee of the Board will reconsider whether or not to retain that firm. Even if the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selection is ratified, the Audit Committee of the Board in its discretion may direct the appointment of a different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independent registered public accounting firm at any time during the year if they determine that such a change would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be in the best interests of Exelixis and its stockholders.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The affirmative vote of the holders of a majority of the shares present or represented by proxy at the Annual Meeting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and entitled to vote on this proposal is required to ratify the selection of Ernst &amp; Young LLP. Abstentions will be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counted toward the tabulation of votes cast on this proposal and will have the same effect as votes against this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proposal. As discussed above, if your broker holds your shares, your broker is not entitled to vote your shares on this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proposal without your instruction. Broker non-votes, if any, will have no effect.</w:t>
      </w:r>
    </w:p>
    <w:tbl>
      <w:tblPr>
        <w:tblW w:w="991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9916"/>
      </w:tblGrid>
      <w:tr>
        <w:trPr/>
        <w:tc>
          <w:tcPr>
            <w:tcW w:w="99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916" w:type="dxa"/>
            <w:tcBorders/>
            <w:shd w:fill="E5E5E5" w:val="clear"/>
            <w:vAlign w:val="center"/>
          </w:tcPr>
          <w:p>
            <w:pPr>
              <w:pStyle w:val="TableContents"/>
              <w:bidi w:val="0"/>
              <w:spacing w:lineRule="atLeast" w:line="24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24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24"/>
                <w:u w:val="none"/>
                <w:effect w:val="none"/>
              </w:rPr>
              <w:t xml:space="preserve">THE BOARD OF DIRECTORS RECOMMENDS A VOTE “FOR” PROPOSAL 2. </w:t>
            </w:r>
          </w:p>
        </w:tc>
      </w:tr>
    </w:tbl>
    <w:tbl>
      <w:tblPr>
        <w:tblW w:w="174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61"/>
        <w:gridCol w:w="1381"/>
      </w:tblGrid>
      <w:tr>
        <w:trPr/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  <w:t>36</w:t>
            </w:r>
          </w:p>
        </w:tc>
        <w:tc>
          <w:tcPr>
            <w:tcW w:w="138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Exelixis, Inc.</w:t>
            </w:r>
          </w:p>
        </w:tc>
      </w:tr>
    </w:tbl>
    <w:tbl>
      <w:tblPr>
        <w:tblW w:w="1741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741"/>
      </w:tblGrid>
      <w:tr>
        <w:trPr/>
        <w:tc>
          <w:tcPr>
            <w:tcW w:w="17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4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6d44722bfc2543dbbba9716d9e560c58_16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color w:val="0000FF"/>
                  <w:sz w:val="18"/>
                  <w:u w:val="single"/>
                </w:rPr>
                <w:t>Table of Contents</w:t>
              </w:r>
            </w:hyperlink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F47521"/>
          <w:sz w:val="2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F47521"/>
          <w:sz w:val="28"/>
          <w:u w:val="none"/>
          <w:effect w:val="none"/>
        </w:rPr>
        <w:t>Principal Accountant Fees and Services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The aggregate fees billed by Ernst &amp; Young LLP for the last two fiscal years (fiscal 2025, which ended on January 2,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2026, and fiscal 2024, which ended on January 3, 2025) for the services described below are as follows: </w:t>
      </w:r>
    </w:p>
    <w:tbl>
      <w:tblPr>
        <w:tblW w:w="4923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206"/>
        <w:gridCol w:w="1336"/>
        <w:gridCol w:w="1381"/>
      </w:tblGrid>
      <w:tr>
        <w:trPr/>
        <w:tc>
          <w:tcPr>
            <w:tcW w:w="22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06" w:type="dxa"/>
            <w:vMerge w:val="restart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17" w:type="dxa"/>
            <w:gridSpan w:val="2"/>
            <w:tcBorders>
              <w:bottom w:val="single" w:sz="8" w:space="0" w:color="FFFFFF"/>
            </w:tcBorders>
            <w:shd w:fill="F47521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Fiscal Year Ended</w:t>
            </w:r>
          </w:p>
        </w:tc>
      </w:tr>
      <w:tr>
        <w:trPr/>
        <w:tc>
          <w:tcPr>
            <w:tcW w:w="2206" w:type="dxa"/>
            <w:vMerge w:val="continue"/>
            <w:tcBorders/>
            <w:shd w:fill="F47521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336" w:type="dxa"/>
            <w:tcBorders>
              <w:top w:val="single" w:sz="8" w:space="0" w:color="FFFFFF"/>
            </w:tcBorders>
            <w:shd w:fill="F47521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January 2,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2026</w:t>
            </w:r>
          </w:p>
        </w:tc>
        <w:tc>
          <w:tcPr>
            <w:tcW w:w="1381" w:type="dxa"/>
            <w:tcBorders>
              <w:top w:val="single" w:sz="8" w:space="0" w:color="FFFFFF"/>
              <w:right w:val="single" w:sz="6" w:space="0" w:color="FC4C02"/>
            </w:tcBorders>
            <w:shd w:fill="F47521" w:val="clear"/>
            <w:tcMar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January 3,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2025</w:t>
            </w:r>
          </w:p>
        </w:tc>
      </w:tr>
      <w:tr>
        <w:trPr/>
        <w:tc>
          <w:tcPr>
            <w:tcW w:w="2206" w:type="dxa"/>
            <w:tcBorders>
              <w:bottom w:val="single" w:sz="4" w:space="0" w:color="B6B6B6"/>
            </w:tcBorders>
            <w:shd w:fill="E5E5E5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Audit fees (1)</w:t>
            </w:r>
          </w:p>
        </w:tc>
        <w:tc>
          <w:tcPr>
            <w:tcW w:w="1336" w:type="dxa"/>
            <w:tcBorders>
              <w:bottom w:val="single" w:sz="4" w:space="0" w:color="B6B6B6"/>
            </w:tcBorders>
            <w:shd w:fill="E5E5E5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$3,037,750</w:t>
            </w:r>
          </w:p>
        </w:tc>
        <w:tc>
          <w:tcPr>
            <w:tcW w:w="1381" w:type="dxa"/>
            <w:tcBorders>
              <w:bottom w:val="single" w:sz="4" w:space="0" w:color="B6B6B6"/>
            </w:tcBorders>
            <w:shd w:fill="E5E5E5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$2,936,882</w:t>
            </w:r>
          </w:p>
        </w:tc>
      </w:tr>
      <w:tr>
        <w:trPr/>
        <w:tc>
          <w:tcPr>
            <w:tcW w:w="220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Audit-related fees (2)</w:t>
            </w:r>
          </w:p>
        </w:tc>
        <w:tc>
          <w:tcPr>
            <w:tcW w:w="133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197,500</w:t>
            </w:r>
          </w:p>
        </w:tc>
        <w:tc>
          <w:tcPr>
            <w:tcW w:w="138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240,000</w:t>
            </w:r>
          </w:p>
        </w:tc>
      </w:tr>
      <w:tr>
        <w:trPr/>
        <w:tc>
          <w:tcPr>
            <w:tcW w:w="2206" w:type="dxa"/>
            <w:tcBorders>
              <w:top w:val="single" w:sz="4" w:space="0" w:color="B6B6B6"/>
              <w:bottom w:val="single" w:sz="4" w:space="0" w:color="B6B6B6"/>
            </w:tcBorders>
            <w:shd w:fill="E5E5E5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Tax fees (3)</w:t>
            </w:r>
          </w:p>
        </w:tc>
        <w:tc>
          <w:tcPr>
            <w:tcW w:w="1336" w:type="dxa"/>
            <w:tcBorders>
              <w:top w:val="single" w:sz="4" w:space="0" w:color="B6B6B6"/>
              <w:bottom w:val="single" w:sz="4" w:space="0" w:color="B6B6B6"/>
            </w:tcBorders>
            <w:shd w:fill="E5E5E5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118,075</w:t>
            </w:r>
          </w:p>
        </w:tc>
        <w:tc>
          <w:tcPr>
            <w:tcW w:w="1381" w:type="dxa"/>
            <w:tcBorders>
              <w:top w:val="single" w:sz="4" w:space="0" w:color="B6B6B6"/>
              <w:bottom w:val="single" w:sz="4" w:space="0" w:color="B6B6B6"/>
            </w:tcBorders>
            <w:shd w:fill="E5E5E5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129,993</w:t>
            </w:r>
          </w:p>
        </w:tc>
      </w:tr>
      <w:tr>
        <w:trPr/>
        <w:tc>
          <w:tcPr>
            <w:tcW w:w="220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All other fees (4)</w:t>
            </w:r>
          </w:p>
        </w:tc>
        <w:tc>
          <w:tcPr>
            <w:tcW w:w="133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2,000</w:t>
            </w:r>
          </w:p>
        </w:tc>
        <w:tc>
          <w:tcPr>
            <w:tcW w:w="138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2,000</w:t>
            </w:r>
          </w:p>
        </w:tc>
      </w:tr>
      <w:tr>
        <w:trPr/>
        <w:tc>
          <w:tcPr>
            <w:tcW w:w="2206" w:type="dxa"/>
            <w:tcBorders>
              <w:top w:val="single" w:sz="4" w:space="0" w:color="B6B6B6"/>
              <w:bottom w:val="single" w:sz="8" w:space="0" w:color="F47521"/>
            </w:tcBorders>
            <w:shd w:fill="E5E5E5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Total Fees</w:t>
            </w:r>
          </w:p>
        </w:tc>
        <w:tc>
          <w:tcPr>
            <w:tcW w:w="1336" w:type="dxa"/>
            <w:tcBorders>
              <w:top w:val="single" w:sz="4" w:space="0" w:color="B6B6B6"/>
              <w:bottom w:val="single" w:sz="8" w:space="0" w:color="F47521"/>
            </w:tcBorders>
            <w:shd w:fill="E5E5E5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$3,355,325</w:t>
            </w:r>
          </w:p>
        </w:tc>
        <w:tc>
          <w:tcPr>
            <w:tcW w:w="1381" w:type="dxa"/>
            <w:tcBorders>
              <w:top w:val="single" w:sz="4" w:space="0" w:color="B6B6B6"/>
              <w:bottom w:val="single" w:sz="8" w:space="0" w:color="F47521"/>
            </w:tcBorders>
            <w:shd w:fill="E5E5E5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$3,308,875</w:t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/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>(1)</w:t>
      </w:r>
      <w:r>
        <w:rPr>
          <w:caps w:val="false"/>
          <w:smallCaps w:val="false"/>
          <w:strike w:val="false"/>
          <w:dstrike w:val="false"/>
          <w:color w:val="3F3F3F"/>
          <w:u w:val="none"/>
          <w:effect w:val="none"/>
        </w:rPr>
        <w:t>“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Audit fees” consist of fees billed for professional services rendered for the audit of our consolidated financial statements and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review of the interim consolidated financial statements included in quarterly reports and services that are normally provided by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Ernst &amp; Young LLP in connection with statutory and regulatory filings and other engagements such as consents and review of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>documents filed with the SEC.</w:t>
      </w:r>
    </w:p>
    <w:p>
      <w:pPr>
        <w:pStyle w:val="TextBody"/>
        <w:bidi w:val="0"/>
        <w:spacing w:lineRule="atLeast" w:line="180" w:before="0" w:after="0"/>
        <w:jc w:val="left"/>
        <w:rPr/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>(2)</w:t>
      </w:r>
      <w:r>
        <w:rPr>
          <w:caps w:val="false"/>
          <w:smallCaps w:val="false"/>
          <w:strike w:val="false"/>
          <w:dstrike w:val="false"/>
          <w:color w:val="3F3F3F"/>
          <w:u w:val="none"/>
          <w:effect w:val="none"/>
        </w:rPr>
        <w:t>“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Audit-related fees” consist of fees billed for assurance and related services that are reasonably related to the performance of </w:t>
      </w:r>
    </w:p>
    <w:p>
      <w:pPr>
        <w:pStyle w:val="TextBody"/>
        <w:bidi w:val="0"/>
        <w:spacing w:lineRule="atLeast" w:line="180" w:before="0" w:after="0"/>
        <w:jc w:val="left"/>
        <w:rPr>
          <w:sz w:val="24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>the audit or review of our consolidated financial statements and are not reported under “Audit fees.” During fiscal 2025</w:t>
      </w:r>
      <w:r>
        <w:rPr>
          <w:caps w:val="false"/>
          <w:smallCaps w:val="false"/>
          <w:strike w:val="false"/>
          <w:dstrike w:val="false"/>
          <w:color w:val="3F3F3F"/>
          <w:sz w:val="24"/>
          <w:u w:val="none"/>
          <w:effect w:val="none"/>
        </w:rPr>
        <w:t xml:space="preserve">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and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>2024, these services included consultations relating to various transactions.</w:t>
      </w:r>
    </w:p>
    <w:p>
      <w:pPr>
        <w:pStyle w:val="TextBody"/>
        <w:bidi w:val="0"/>
        <w:spacing w:lineRule="atLeast" w:line="180" w:before="0" w:after="0"/>
        <w:jc w:val="left"/>
        <w:rPr/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>(3)</w:t>
      </w:r>
      <w:r>
        <w:rPr>
          <w:caps w:val="false"/>
          <w:smallCaps w:val="false"/>
          <w:strike w:val="false"/>
          <w:dstrike w:val="false"/>
          <w:color w:val="3F3F3F"/>
          <w:u w:val="none"/>
          <w:effect w:val="none"/>
        </w:rPr>
        <w:t>“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>Tax fees” consist of fees for tax advice and tax planning.</w:t>
      </w:r>
    </w:p>
    <w:p>
      <w:pPr>
        <w:pStyle w:val="TextBody"/>
        <w:bidi w:val="0"/>
        <w:spacing w:lineRule="atLeast" w:line="180" w:before="0" w:after="0"/>
        <w:jc w:val="left"/>
        <w:rPr/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>(4)</w:t>
      </w:r>
      <w:r>
        <w:rPr>
          <w:caps w:val="false"/>
          <w:smallCaps w:val="false"/>
          <w:strike w:val="false"/>
          <w:dstrike w:val="false"/>
          <w:color w:val="3F3F3F"/>
          <w:u w:val="none"/>
          <w:effect w:val="none"/>
        </w:rPr>
        <w:t>“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All other fees” consist of fees for products and services other than the services described above and are related to an on-line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>subscription to an Ernst &amp; Young LLP database.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All fees described above were pre-approved by the Audit Committee. The Audit Committee has determined that the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rendering of the services other than audit services by Ernst &amp; Young LLP is compatible with maintaining the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independence of the independent registered public accounting firm.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</w:pPr>
      <w:r>
        <w:rPr>
          <w:rFonts w:ascii="sans-serif" w:hAnsi="sans-serif"/>
          <w:b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  <w:t>Pre-Approval of Services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During 2025</w:t>
      </w:r>
      <w:r>
        <w:rPr>
          <w:caps w:val="false"/>
          <w:smallCaps w:val="false"/>
          <w:strike w:val="false"/>
          <w:dstrike w:val="false"/>
          <w:color w:val="3F3F3F"/>
          <w:sz w:val="24"/>
          <w:u w:val="none"/>
          <w:effect w:val="none"/>
        </w:rPr>
        <w:t xml:space="preserve">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and 2024, the Audit Committee of the Board pre-approved the audit and non-audit services to be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performed by Exelixis’ independent registered public accounting firm, Ernst &amp; Young LLP. Non-audit services are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defined as services other than those provided in connection with an audit or a review of our financial statements. The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Audit Committee pre-approves all audit and non-audit services rendered by Ernst &amp; Young LLP. The Audit Committee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generally pre-approves specified services in the defined categories of audit services, audit-related services, tax services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and all other services up to specified amounts. Pre-approval may also be given as part of the Audit Committee’s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approval of the scope of the engagement of the independent registered public accounting firm or on an individual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explicit case-by-case basis before the independent auditor is engaged to provide each service. The Audit Committee or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its Chair, whom the Audit Committee has designated as a one-person subcommittee with pre-approval authority,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pre-approved all audit fees, audit-related fees, tax fees and other fees in 2025</w:t>
      </w:r>
      <w:r>
        <w:rPr>
          <w:caps w:val="false"/>
          <w:smallCaps w:val="false"/>
          <w:strike w:val="false"/>
          <w:dstrike w:val="false"/>
          <w:color w:val="3F3F3F"/>
          <w:sz w:val="24"/>
          <w:u w:val="none"/>
          <w:effect w:val="none"/>
        </w:rPr>
        <w:t xml:space="preserve">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and 2024. Any pre-approvals by the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subcommittee must be and were presented to the Audit Committee at its next scheduled meeting.</w:t>
      </w:r>
    </w:p>
    <w:tbl>
      <w:tblPr>
        <w:tblW w:w="256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176"/>
        <w:gridCol w:w="391"/>
      </w:tblGrid>
      <w:tr>
        <w:trPr/>
        <w:tc>
          <w:tcPr>
            <w:tcW w:w="21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7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40404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404040"/>
                <w:sz w:val="18"/>
                <w:u w:val="none"/>
                <w:effect w:val="none"/>
              </w:rPr>
              <w:t>2026 Proxy Statement</w:t>
            </w:r>
          </w:p>
        </w:tc>
        <w:tc>
          <w:tcPr>
            <w:tcW w:w="39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  <w:t>37</w:t>
            </w:r>
          </w:p>
        </w:tc>
      </w:tr>
    </w:tbl>
    <w:tbl>
      <w:tblPr>
        <w:tblW w:w="462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696"/>
        <w:gridCol w:w="2926"/>
      </w:tblGrid>
      <w:tr>
        <w:trPr/>
        <w:tc>
          <w:tcPr>
            <w:tcW w:w="16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9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9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6d44722bfc2543dbbba9716d9e560c58_16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color w:val="0000FF"/>
                  <w:sz w:val="18"/>
                  <w:u w:val="single"/>
                </w:rPr>
                <w:t>Table of Contents</w:t>
              </w:r>
            </w:hyperlink>
          </w:p>
        </w:tc>
        <w:tc>
          <w:tcPr>
            <w:tcW w:w="292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Report of the Audit Committee</w:t>
            </w:r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36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F47521"/>
          <w:sz w:val="36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F47521"/>
          <w:sz w:val="36"/>
          <w:u w:val="none"/>
          <w:effect w:val="none"/>
        </w:rPr>
        <w:t xml:space="preserve">REPORT OF THE AUDIT COMMITTEE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  <w:t xml:space="preserve">The material in this report is not “soliciting material,” is not deemed “filed” with the Securities and Exchange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  <w:t xml:space="preserve">Commission and is not deemed to be incorporated by reference in any filing of Exelixis under the Securities Act of 1933,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  <w:t xml:space="preserve">as amended, or the Securities Exchange Act of 1934, as amended, whether made before or after the date hereof and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  <w:t>irrespective of any general incorporation language in any such filing.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  <w:t xml:space="preserve">In connection with the audited consolidated financial statements for the fiscal year ended January 2, 2026, of Exelixis,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  <w:t>Inc., the Audit Committee of the Board of Directors of Exelixis has: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(1)reviewed and discussed the audited financial statements for the fiscal year ended January 2, 2026, with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management of Exelixis;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(2)discussed with Ernst &amp; Young LLP, Exelixis’ independent registered public accounting firm (Ernst &amp; Young),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the matters required to be discussed by the applicable requirements of the Public Company Accounting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Oversight Board (PCAOB) and the SEC; and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(3)received the written disclosures and the letter from Ernst &amp; Young required by the applicable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requirements of the PCAOB regarding Ernst &amp; Young’s communications with the Audit Committee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concerning independence and has discussed with Ernst &amp; Young that accounting firm’s independence.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Based on the foregoing, the Audit Committee has recommended to the Board of Directors that the audited financial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statements be included in Exelixis’ Annual Report on Form 10-K for the fiscal year ended January 2, 2026.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Audit Committee: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  <w:t xml:space="preserve">Jack L. Wyszomierski, Chair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  <w:t xml:space="preserve">David E. Johnson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  <w:t xml:space="preserve">Stelios Papadopoulos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  <w:t>Julie A. Smith</w:t>
      </w:r>
    </w:p>
    <w:tbl>
      <w:tblPr>
        <w:tblW w:w="174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61"/>
        <w:gridCol w:w="1381"/>
      </w:tblGrid>
      <w:tr>
        <w:trPr/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  <w:t>38</w:t>
            </w:r>
          </w:p>
        </w:tc>
        <w:tc>
          <w:tcPr>
            <w:tcW w:w="138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Exelixis, Inc.</w:t>
            </w:r>
          </w:p>
        </w:tc>
      </w:tr>
    </w:tbl>
    <w:tbl>
      <w:tblPr>
        <w:tblW w:w="1741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741"/>
      </w:tblGrid>
      <w:tr>
        <w:trPr/>
        <w:tc>
          <w:tcPr>
            <w:tcW w:w="17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4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6d44722bfc2543dbbba9716d9e560c58_16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color w:val="0000FF"/>
                  <w:sz w:val="18"/>
                  <w:u w:val="single"/>
                </w:rPr>
                <w:t>Table of Contents</w:t>
              </w:r>
            </w:hyperlink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36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F47521"/>
          <w:sz w:val="36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F47521"/>
          <w:sz w:val="36"/>
          <w:u w:val="none"/>
          <w:effect w:val="none"/>
        </w:rPr>
        <w:t>PROPOSAL 3</w:t>
      </w:r>
    </w:p>
    <w:p>
      <w:pPr>
        <w:pStyle w:val="TextBody"/>
        <w:bidi w:val="0"/>
        <w:spacing w:lineRule="atLeast" w:line="3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3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30"/>
          <w:u w:val="none"/>
          <w:effect w:val="none"/>
        </w:rPr>
        <w:t xml:space="preserve">AMENDMENT AND RESTATEMENT OF THE EXELIXIS, INC. 2017 EQUITY </w:t>
      </w:r>
    </w:p>
    <w:p>
      <w:pPr>
        <w:pStyle w:val="TextBody"/>
        <w:bidi w:val="0"/>
        <w:spacing w:lineRule="atLeast" w:line="3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3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30"/>
          <w:u w:val="none"/>
          <w:effect w:val="none"/>
        </w:rPr>
        <w:t>INCENTIVE PLAN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The Board approved an amendment and restatement of the Exelixis, Inc. 2017 Equity Incentive Plan (as amended and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restated by the Board in April 2022, which we refer to herein as the 2017 Plan) in April 2026, subject to approval by our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stockholders. For purposes of this Proposal 3, we refer to the 2017 Plan, as amended and restated by the Board in April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2026, as the “Amended 2017 Plan.” We are asking our stockholders to approve the Amended 2017 Plan at the Annual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Meeting.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The Amended 2017 Plan contains the following material changes from the 2017 Plan: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3F3F3F"/>
          <w:u w:val="none"/>
          <w:effect w:val="none"/>
        </w:rPr>
        <w:t>•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Subject to adjustment for certain changes in our capitalization, the aggregate number of shares of our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common stock that may be issued under the 2017 Plan has been increased by 2,000,000 shares under the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Amended 2017 Plan.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3F3F3F"/>
          <w:u w:val="none"/>
          <w:effect w:val="none"/>
        </w:rPr>
        <w:t>•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The multiplier used in the “fungible share counting” structure further described below has been removed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under the Amended 2017 Plan for each share issued pursuant to a full value award granted on or after May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26, 2026, and for each share that becomes available again for issuance under the terms of the Amended 2017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Plan on or after May 26, 2026, the share reserve will be increased by the same number of shares by which the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share reserve was reduced at the time the applicable award was granted.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</w:pPr>
      <w:r>
        <w:rPr>
          <w:rFonts w:ascii="sans-serif" w:hAnsi="sans-serif"/>
          <w:b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  <w:t xml:space="preserve">Why We Are Asking Our Stockholders to Approve the Amended 2017 Plan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We are seeking stockholder approval of the Amended 2017 Plan to increase the number of shares available for the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grant of RSU awards, PSU awards and other awards of company equity to our employees and directors. By adding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additional shares to our equity incentive program, we will be able to continue competing for key talent in our highly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competitive industry.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We are also seeking stockholder approval of the Amended 2017 Plan to remove the multiplier in the fungible share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counting ratio as further described below. This approach simplifies the share counting for our equity incentive program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and decreases the program’s perceived dilution, enhances transparency by providing a clearer and more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straightforward method for tracking share usage, and is more aligned with prevailing market standards and best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practices, which are increasingly favoring simplicity and transparency in equity plan administration.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The Compensation Committee is closely involved in the determination of what type and value of equity compensation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is necessary and appropriate to attract and incentivize the services of key employees and directors, and to provide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long-term incentives that align the interests of our employees and directors with the interests of our stockholders.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</w:pPr>
      <w:r>
        <w:rPr>
          <w:rFonts w:ascii="sans-serif" w:hAnsi="sans-serif"/>
          <w:b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  <w:t>Requested Share Increase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Subject to adjustment for certain changes in our capitalization, if this Proposal 3 is approved by our stockholders, we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will have 2,000,000 new shares available for grant under the Amended 2017 Plan after the Annual Meeting.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The rate at which we utilize and exhaust the shares available in our equity incentive program is determined by many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factors, including changes in our stock price and the rate of growth of our employee headcount. Given the number and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variability of these factors, we are not presently able to forecast how long the new pool of shares will last, permitting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us to attract and retain top talent. However, based on historical utilization and other factors, the Board determined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that our request for 2,000,000 new shares under the Amended 2017 Plan is reasonable, aligns with shareholder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interests, and is an appropriate amount that we believe would be broadly supported by our institutional investors.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Why You Should Vote to Approve the Amended 2017 Plan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  <w:t xml:space="preserve">Equity Awards Are an Important Part of Our Compensation Philosophy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The Board believes that our future success depends, in large part, on our ability to maintain a competitive position in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attracting, retaining and motivating employees and directors. The Board believes that the grant of equity awards is a </w:t>
      </w:r>
    </w:p>
    <w:tbl>
      <w:tblPr>
        <w:tblW w:w="256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176"/>
        <w:gridCol w:w="391"/>
      </w:tblGrid>
      <w:tr>
        <w:trPr/>
        <w:tc>
          <w:tcPr>
            <w:tcW w:w="21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7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40404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404040"/>
                <w:sz w:val="18"/>
                <w:u w:val="none"/>
                <w:effect w:val="none"/>
              </w:rPr>
              <w:t>2026 Proxy Statement</w:t>
            </w:r>
          </w:p>
        </w:tc>
        <w:tc>
          <w:tcPr>
            <w:tcW w:w="39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  <w:t>39</w:t>
            </w:r>
          </w:p>
        </w:tc>
      </w:tr>
    </w:tbl>
    <w:tbl>
      <w:tblPr>
        <w:tblW w:w="880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696"/>
        <w:gridCol w:w="7111"/>
      </w:tblGrid>
      <w:tr>
        <w:trPr/>
        <w:tc>
          <w:tcPr>
            <w:tcW w:w="16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9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6d44722bfc2543dbbba9716d9e560c58_16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color w:val="0000FF"/>
                  <w:sz w:val="18"/>
                  <w:u w:val="single"/>
                </w:rPr>
                <w:t>Table of Contents</w:t>
              </w:r>
            </w:hyperlink>
          </w:p>
        </w:tc>
        <w:tc>
          <w:tcPr>
            <w:tcW w:w="711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 xml:space="preserve">Proposal 3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  <w:t>|</w:t>
            </w: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 xml:space="preserve">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Amendment and Restatement of the 2017 Equity Incentive Plan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key element underlying our ability to attract, retain and motivate employees and directors, and better aligns the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interests of our employees and directors with those of our stockholders. The Amended 2017 Plan will allow us to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continue to provide equity-based incentives to our employees and directors. Therefore, the Board believes that the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Amended 2017 Plan is in the best interests of Exelixis and our stockholders and recommends a vote in favor of this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Proposal 3.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  <w:t xml:space="preserve">We Have Experienced and Expect to Continue to Experience Substantial Growth in Our Business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We believe 2026 will be a milestone-rich year for Exelixis. In addition to the continued growth of the cabozantinib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franchise and ongoing regulatory engagement for zanzalintinib, we anticipate key clinical readouts and planned trial </w:t>
      </w:r>
    </w:p>
    <w:p>
      <w:pPr>
        <w:pStyle w:val="TextBody"/>
        <w:bidi w:val="0"/>
        <w:spacing w:lineRule="atLeast" w:line="240" w:before="0" w:after="0"/>
        <w:jc w:val="left"/>
        <w:rPr/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initiations in support of zanzalintinib’s pivotal development, and progress across our early-stage pipeline.</w:t>
      </w:r>
      <w:r>
        <w:rPr>
          <w:caps w:val="false"/>
          <w:smallCaps w:val="false"/>
          <w:strike w:val="false"/>
          <w:dstrike w:val="false"/>
          <w:color w:val="3F3F3F"/>
          <w:u w:val="none"/>
          <w:effect w:val="none"/>
        </w:rPr>
        <w:t xml:space="preserve">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Further, we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have achieved nine consecutive years of operating profitability and have returned over $954 million to stockholders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through share repurchase programs in 2025. We have also announced an additional $750 million share repurchase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program to continue returning capital to our stockholders through December 31, 2026. As of January 2, 2026, we had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1,077</w:t>
      </w:r>
      <w:r>
        <w:rPr>
          <w:caps w:val="false"/>
          <w:smallCaps w:val="false"/>
          <w:strike w:val="false"/>
          <w:dstrike w:val="false"/>
          <w:color w:val="3F3F3F"/>
          <w:sz w:val="24"/>
          <w:u w:val="none"/>
          <w:effect w:val="none"/>
        </w:rPr>
        <w:t xml:space="preserve">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employees and 1,144 employees as of the Record Date (in each case, including full-time and part-time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employees).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The Board believes that the Amended 2017 Plan is necessary to ensure that the number of shares available for issuance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pursuant to equity awards will be sufficient to allow us to continue to attract, retain and motivate the services of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talented individuals essential to our long-term growth and financial success. The Board strongly believes that the grant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of equity awards is a key element underlying our ability to attract, retain and motivate our employees, including our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executives, and our directors, and is a substantial contributing factor to our success and the growth of our business. We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have relied significantly on equity awards in the form of RSU awards, PSU awards and stock options to attract, retain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and motivate key employees, and non-employee directors of the Board, and we believe that equity awards are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necessary for us to remain competitive in the marketplace for executive talent and other employees.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  <w:t xml:space="preserve">We Manage Our Equity Award Use Carefully and Dilution Is Reasonable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We believe that equity awards such as RSU awards, PSU awards and stock options are a vital part of our overall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compensation program, and we grant awards to substantially all of our employees. However, we recognize that this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compensation philosophy dilutes existing stockholders, and, therefore, we must responsibly manage the growth of our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equity compensation program. We are committed to monitoring our equity compensation share reserve carefully,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including our “burn rate,” to ensure that we maximize stockholders’ value by granting the appropriate number of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equity awards necessary to attract, retain and motivate our employees and directors.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  <w:t xml:space="preserve">The Size of Our Share Reserve Increase Request Is Reasonable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Subject to adjustment for certain changes in our capitalization, if this Proposal 3 is approved by our stockholders, we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will have 2,000,000 new shares available for grant under the Amended 2017 Plan after the Annual Meeting (for a total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of approximately 14,542,208 shares available for grant under the Amended 2017 Plan after the Annual Meeting (based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on the number of shares available for grant under the 2017 Plan as of the Record Date) (plus the Prior Plans’ Returning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Shares (as defined below), as such shares become available from time to time)).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The Board believes that our request for 2,000,000 new shares under the Amended 2017 Plan is necessary to provide an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appropriate amount of equity awards for attracting, retaining, and motivating our employees and directors in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accordance with our business plans, and is an amount that we believe a majority of our institutional investors would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support. </w:t>
      </w:r>
    </w:p>
    <w:tbl>
      <w:tblPr>
        <w:tblW w:w="174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61"/>
        <w:gridCol w:w="1381"/>
      </w:tblGrid>
      <w:tr>
        <w:trPr/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  <w:t>40</w:t>
            </w:r>
          </w:p>
        </w:tc>
        <w:tc>
          <w:tcPr>
            <w:tcW w:w="138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Exelixis, Inc.</w:t>
            </w:r>
          </w:p>
        </w:tc>
      </w:tr>
    </w:tbl>
    <w:tbl>
      <w:tblPr>
        <w:tblW w:w="1741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741"/>
      </w:tblGrid>
      <w:tr>
        <w:trPr/>
        <w:tc>
          <w:tcPr>
            <w:tcW w:w="17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4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6d44722bfc2543dbbba9716d9e560c58_16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color w:val="0000FF"/>
                  <w:sz w:val="18"/>
                  <w:u w:val="single"/>
                </w:rPr>
                <w:t>Table of Contents</w:t>
              </w:r>
            </w:hyperlink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  <w:t xml:space="preserve">The Amended 2017 Plan Combines Compensation and Governance Best Practices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The Amended 2017 Plan includes provisions that are designed to protect our stockholders’ interests and to reflect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corporate governance best practices, including: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3F3F3F"/>
          <w:u w:val="none"/>
          <w:effect w:val="none"/>
        </w:rPr>
        <w:t>•</w:t>
      </w:r>
      <w:r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  <w:t>No liberal share counting or recycling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. The following shares will not become available again for issuance under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the Amended 2017 Plan: (i) shares that are reacquired or withheld (or not issued) by us to satisfy the exercise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or purchase price of a stock award; (ii) shares that are reacquired or withheld (or not issued) by us to satisfy a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tax withholding obligation in connection with stock options or stock appreciation rights; (iii) shares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repurchased by us on the open market with the proceeds of the exercise price of a stock option or stock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appreciation right; and (iv) the gross number of shares subject to a stock appreciation right in the event that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such stock appreciation right is settled in shares.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3F3F3F"/>
          <w:u w:val="none"/>
          <w:effect w:val="none"/>
        </w:rPr>
        <w:t>•</w:t>
      </w:r>
      <w:r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  <w:t>Fungible share counting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. The Amended 2017 Plan simplifies the fungible share counting structure by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eliminating the multiplier contained in the 2017 Plan for awards granted on or after May 26, 2026. Under the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Amended 2017 Plan, beginning on May 26, 2026, all awards, whether an “appreciation award” (which is a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stock option or a stock appreciation right with respect to which the exercise or strike price is at least 100% of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the fair market value of our common stock on the date of grant) or “full value award” (which is a stock award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that is not an appreciation award), will reduce the share reserve on a one-for-one basis. In addition, for each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share that becomes available again for issuance under the terms of the Amended 2017 Plan on or after May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26, 2026, the share reserve will be increased by the same number of shares by which the share reserve was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reduced at the time the applicable award was granted.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3F3F3F"/>
          <w:u w:val="none"/>
          <w:effect w:val="none"/>
        </w:rPr>
        <w:t>•</w:t>
      </w:r>
      <w:r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  <w:t>Minimum vesting requirements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. The Amended 2017 Plan provides that no award may vest until at least 12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months following the date of grant of the award; provided, however, that shares up to five percent (5%) of the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aggregate number of shares that may be issued under the Amended 2017 Plan may be issued pursuant to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awards which do not meet such vesting requirements.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3F3F3F"/>
          <w:u w:val="none"/>
          <w:effect w:val="none"/>
        </w:rPr>
        <w:t>•</w:t>
      </w:r>
      <w:r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  <w:t>Maximum seven (7)-year term for stock options and stock appreciation rights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. The Amended 2017 Plan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provides that no stock option or stock appreciation right may have a term longer than seven (7) years.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3F3F3F"/>
          <w:u w:val="none"/>
          <w:effect w:val="none"/>
        </w:rPr>
        <w:t>•</w:t>
      </w:r>
      <w:r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  <w:t>Restrictions on dividends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. The Amended 2017 Plan provides that (i) no dividends or dividend equivalents may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be paid with respect to any shares subject to an award before the date such shares have vested, (ii) any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dividends or dividend equivalents that are credited with respect to any such shares will be subject to all of the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terms and conditions applicable to such shares under the terms of the applicable award agreement (including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any vesting conditions), and (iii) any dividends or dividend equivalents that are credited with respect to any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such shares will be forfeited to us on the date such shares are forfeited to or repurchased by us due to a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failure to vest.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3F3F3F"/>
          <w:u w:val="none"/>
          <w:effect w:val="none"/>
        </w:rPr>
        <w:t>•</w:t>
      </w:r>
      <w:r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  <w:t>Awards subject to forfeiture/clawback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. Awards granted under the Amended 2017 Plan will be subject to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recoupment in accordance with (i) the Clawback Policy and (ii) any clawback policy that we are required to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adopt pursuant to the listing standards of any national securities exchange or association on which our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securities are listed or as is otherwise required by the Dodd-Frank Wall Street Reform and Consumer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Protection Act or other applicable law. In addition, the Board may impose other clawback, recovery or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recoupment provisions in an award agreement, including a reacquisition right in respect of previously acquired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shares or other cash or property upon the occurrence of cause. For additional information on the Clawback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Policy, please see “Compensation Discussion and Analysis—Other Compensation Information—Clawback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Policy.”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3F3F3F"/>
          <w:u w:val="none"/>
          <w:effect w:val="none"/>
        </w:rPr>
        <w:t>•</w:t>
      </w:r>
      <w:r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  <w:t>Repricing not allowed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. The Amended 2017 Plan prohibits the repricing of outstanding stock options and stock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appreciation rights and the cancellation of any outstanding stock options or stock appreciation rights that have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an exercise price greater than the then-current fair market value of our common stock in exchange for cash or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other awards under the Amended 2017 Plan without prior stockholder approval.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3F3F3F"/>
          <w:u w:val="none"/>
          <w:effect w:val="none"/>
        </w:rPr>
        <w:t>•</w:t>
      </w:r>
      <w:r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  <w:t>No liberal change in control definition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. The change in control definition in the Amended 2017 Plan is not a </w:t>
      </w:r>
    </w:p>
    <w:p>
      <w:pPr>
        <w:pStyle w:val="TextBody"/>
        <w:bidi w:val="0"/>
        <w:spacing w:lineRule="atLeast" w:line="200" w:before="0" w:after="0"/>
        <w:jc w:val="left"/>
        <w:rPr>
          <w:caps w:val="false"/>
          <w:smallCaps w:val="false"/>
          <w:strike w:val="false"/>
          <w:dstrike w:val="false"/>
          <w:color w:val="3F3F3F"/>
          <w:u w:val="none"/>
          <w:effect w:val="none"/>
        </w:rPr>
      </w:pPr>
      <w:r>
        <w:rPr>
          <w:caps w:val="false"/>
          <w:smallCaps w:val="false"/>
          <w:strike w:val="false"/>
          <w:dstrike w:val="false"/>
          <w:color w:val="3F3F3F"/>
          <w:u w:val="none"/>
          <w:effect w:val="none"/>
        </w:rPr>
        <w:t>“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liberal” definition. A change in control transaction must actually occur in order for the change in control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provisions in the Amended 2017 Plan to be triggered.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3F3F3F"/>
          <w:u w:val="none"/>
          <w:effect w:val="none"/>
        </w:rPr>
        <w:t>•</w:t>
      </w:r>
      <w:r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  <w:t>Limit on non-employee director compensation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. The maximum number of shares subject to stock awards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granted during any calendar year to any of our non-employee directors, taken together with any cash fees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paid by Exelixis to such non-employee director during such calendar year, may not exceed $750,000 in total </w:t>
      </w:r>
    </w:p>
    <w:tbl>
      <w:tblPr>
        <w:tblW w:w="256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176"/>
        <w:gridCol w:w="391"/>
      </w:tblGrid>
      <w:tr>
        <w:trPr/>
        <w:tc>
          <w:tcPr>
            <w:tcW w:w="21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7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40404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404040"/>
                <w:sz w:val="18"/>
                <w:u w:val="none"/>
                <w:effect w:val="none"/>
              </w:rPr>
              <w:t>2026 Proxy Statement</w:t>
            </w:r>
          </w:p>
        </w:tc>
        <w:tc>
          <w:tcPr>
            <w:tcW w:w="39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  <w:t>41</w:t>
            </w:r>
          </w:p>
        </w:tc>
      </w:tr>
    </w:tbl>
    <w:tbl>
      <w:tblPr>
        <w:tblW w:w="880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696"/>
        <w:gridCol w:w="7111"/>
      </w:tblGrid>
      <w:tr>
        <w:trPr/>
        <w:tc>
          <w:tcPr>
            <w:tcW w:w="16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9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6d44722bfc2543dbbba9716d9e560c58_16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color w:val="0000FF"/>
                  <w:sz w:val="18"/>
                  <w:u w:val="single"/>
                </w:rPr>
                <w:t>Table of Contents</w:t>
              </w:r>
            </w:hyperlink>
          </w:p>
        </w:tc>
        <w:tc>
          <w:tcPr>
            <w:tcW w:w="711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 xml:space="preserve">Proposal 3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  <w:t>|</w:t>
            </w: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 xml:space="preserve">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Amendment and Restatement of the 2017 Equity Incentive Plan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value, or $1,500,000 in total value with respect to the calendar year in which the individual is first appointed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or elected to the Board (calculating the value of any such</w:t>
      </w:r>
      <w:r>
        <w:rPr>
          <w:caps w:val="false"/>
          <w:smallCaps w:val="false"/>
          <w:strike w:val="false"/>
          <w:dstrike w:val="false"/>
          <w:color w:val="3F3F3F"/>
          <w:u w:val="none"/>
          <w:effect w:val="none"/>
        </w:rPr>
        <w:t xml:space="preserve">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stock awards based on the grant date fair value of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such stock awards for financial reporting purposes).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</w:pPr>
      <w:r>
        <w:rPr>
          <w:rFonts w:ascii="sans-serif" w:hAnsi="sans-serif"/>
          <w:b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  <w:t xml:space="preserve">Overhang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The following table provides certain additional information regarding our equity incentive program.</w:t>
      </w: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8088"/>
        <w:gridCol w:w="2117"/>
      </w:tblGrid>
      <w:tr>
        <w:trPr/>
        <w:tc>
          <w:tcPr>
            <w:tcW w:w="80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1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088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17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  <w:t>As of Record Date</w:t>
            </w:r>
          </w:p>
        </w:tc>
      </w:tr>
      <w:tr>
        <w:trPr/>
        <w:tc>
          <w:tcPr>
            <w:tcW w:w="8088" w:type="dxa"/>
            <w:tcBorders>
              <w:bottom w:val="single" w:sz="4" w:space="0" w:color="B6B6B6"/>
            </w:tcBorders>
            <w:shd w:fill="E5E5E5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Total number of shares of common stock subject to outstanding stock options</w:t>
            </w:r>
          </w:p>
        </w:tc>
        <w:tc>
          <w:tcPr>
            <w:tcW w:w="2117" w:type="dxa"/>
            <w:tcBorders>
              <w:bottom w:val="single" w:sz="4" w:space="0" w:color="B6B6B6"/>
            </w:tcBorders>
            <w:shd w:fill="E5E5E5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1,532,809</w:t>
            </w:r>
          </w:p>
        </w:tc>
      </w:tr>
      <w:tr>
        <w:trPr/>
        <w:tc>
          <w:tcPr>
            <w:tcW w:w="8088" w:type="dxa"/>
            <w:tcBorders>
              <w:top w:val="single" w:sz="4" w:space="0" w:color="B6B6B6"/>
              <w:bottom w:val="single" w:sz="4" w:space="0" w:color="B6B6B6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Weighted-average exercise price of outstanding stock options</w:t>
            </w:r>
          </w:p>
        </w:tc>
        <w:tc>
          <w:tcPr>
            <w:tcW w:w="2117" w:type="dxa"/>
            <w:tcBorders>
              <w:top w:val="single" w:sz="4" w:space="0" w:color="B6B6B6"/>
              <w:bottom w:val="single" w:sz="4" w:space="0" w:color="B6B6B6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$21.52</w:t>
            </w:r>
          </w:p>
        </w:tc>
      </w:tr>
      <w:tr>
        <w:trPr/>
        <w:tc>
          <w:tcPr>
            <w:tcW w:w="8088" w:type="dxa"/>
            <w:tcBorders>
              <w:top w:val="single" w:sz="4" w:space="0" w:color="B6B6B6"/>
              <w:bottom w:val="single" w:sz="4" w:space="0" w:color="B6B6B6"/>
            </w:tcBorders>
            <w:shd w:fill="E5E5E5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Weighted-average remaining term of outstanding stock options</w:t>
            </w:r>
          </w:p>
        </w:tc>
        <w:tc>
          <w:tcPr>
            <w:tcW w:w="2117" w:type="dxa"/>
            <w:tcBorders>
              <w:top w:val="single" w:sz="4" w:space="0" w:color="B6B6B6"/>
              <w:bottom w:val="single" w:sz="4" w:space="0" w:color="B6B6B6"/>
            </w:tcBorders>
            <w:shd w:fill="E5E5E5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2.18 years</w:t>
            </w:r>
          </w:p>
        </w:tc>
      </w:tr>
      <w:tr>
        <w:trPr/>
        <w:tc>
          <w:tcPr>
            <w:tcW w:w="8088" w:type="dxa"/>
            <w:tcBorders>
              <w:top w:val="single" w:sz="4" w:space="0" w:color="B6B6B6"/>
              <w:bottom w:val="single" w:sz="4" w:space="0" w:color="B6B6B6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Total number of shares of common stock subject to outstanding full value awards</w:t>
            </w:r>
          </w:p>
        </w:tc>
        <w:tc>
          <w:tcPr>
            <w:tcW w:w="2117" w:type="dxa"/>
            <w:tcBorders>
              <w:top w:val="single" w:sz="4" w:space="0" w:color="B6B6B6"/>
              <w:bottom w:val="single" w:sz="4" w:space="0" w:color="B6B6B6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16,123,820</w:t>
            </w:r>
          </w:p>
        </w:tc>
      </w:tr>
      <w:tr>
        <w:trPr/>
        <w:tc>
          <w:tcPr>
            <w:tcW w:w="8088" w:type="dxa"/>
            <w:tcBorders>
              <w:top w:val="single" w:sz="4" w:space="0" w:color="B6B6B6"/>
              <w:bottom w:val="single" w:sz="4" w:space="0" w:color="B6B6B6"/>
            </w:tcBorders>
            <w:shd w:fill="E5E5E5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Total number of shares of common stock available for grant under the 2017 Plan (1)</w:t>
            </w:r>
          </w:p>
        </w:tc>
        <w:tc>
          <w:tcPr>
            <w:tcW w:w="2117" w:type="dxa"/>
            <w:tcBorders>
              <w:top w:val="single" w:sz="4" w:space="0" w:color="B6B6B6"/>
              <w:bottom w:val="single" w:sz="4" w:space="0" w:color="B6B6B6"/>
            </w:tcBorders>
            <w:shd w:fill="E5E5E5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12,542,208</w:t>
            </w:r>
          </w:p>
        </w:tc>
      </w:tr>
      <w:tr>
        <w:trPr/>
        <w:tc>
          <w:tcPr>
            <w:tcW w:w="8088" w:type="dxa"/>
            <w:tcBorders>
              <w:top w:val="single" w:sz="4" w:space="0" w:color="B6B6B6"/>
              <w:bottom w:val="single" w:sz="4" w:space="0" w:color="B6B6B6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Total number of shares of common stock outstanding</w:t>
            </w:r>
          </w:p>
        </w:tc>
        <w:tc>
          <w:tcPr>
            <w:tcW w:w="2117" w:type="dxa"/>
            <w:tcBorders>
              <w:top w:val="single" w:sz="4" w:space="0" w:color="B6B6B6"/>
              <w:bottom w:val="single" w:sz="4" w:space="0" w:color="B6B6B6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254,008,174</w:t>
            </w:r>
          </w:p>
        </w:tc>
      </w:tr>
      <w:tr>
        <w:trPr/>
        <w:tc>
          <w:tcPr>
            <w:tcW w:w="8088" w:type="dxa"/>
            <w:tcBorders>
              <w:top w:val="single" w:sz="4" w:space="0" w:color="B6B6B6"/>
              <w:bottom w:val="single" w:sz="8" w:space="0" w:color="F47521"/>
            </w:tcBorders>
            <w:shd w:fill="E5E5E5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Per-share closing price of common stock as reported on Nasdaq Global Select Market</w:t>
            </w:r>
          </w:p>
        </w:tc>
        <w:tc>
          <w:tcPr>
            <w:tcW w:w="2117" w:type="dxa"/>
            <w:tcBorders>
              <w:top w:val="single" w:sz="4" w:space="0" w:color="B6B6B6"/>
              <w:bottom w:val="single" w:sz="8" w:space="0" w:color="F47521"/>
            </w:tcBorders>
            <w:shd w:fill="E5E5E5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$42.89</w:t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(1)As of the Record Date, there were no shares of common stock available for grant under any of our equity incentive plans other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>than the 2017 Plan, as described in this table.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</w:pPr>
      <w:r>
        <w:rPr>
          <w:rFonts w:ascii="sans-serif" w:hAnsi="sans-serif"/>
          <w:b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  <w:t xml:space="preserve">Burn Rate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The following table provides detailed information regarding the activity related to our equity incentive plans for fiscal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years 2025, 2024 and 2023.</w:t>
      </w: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242"/>
        <w:gridCol w:w="1306"/>
        <w:gridCol w:w="1306"/>
        <w:gridCol w:w="1351"/>
      </w:tblGrid>
      <w:tr>
        <w:trPr/>
        <w:tc>
          <w:tcPr>
            <w:tcW w:w="624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6242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63" w:type="dxa"/>
            <w:gridSpan w:val="3"/>
            <w:tcBorders>
              <w:bottom w:val="single" w:sz="4" w:space="0" w:color="E5E5E5"/>
            </w:tcBorders>
            <w:shd w:fill="F47521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  <w:t>Fiscal Year</w:t>
            </w:r>
          </w:p>
        </w:tc>
      </w:tr>
      <w:tr>
        <w:trPr/>
        <w:tc>
          <w:tcPr>
            <w:tcW w:w="6242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06" w:type="dxa"/>
            <w:tcBorders>
              <w:top w:val="single" w:sz="4" w:space="0" w:color="E5E5E5"/>
            </w:tcBorders>
            <w:shd w:fill="F47521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  <w:t>2025</w:t>
            </w:r>
          </w:p>
        </w:tc>
        <w:tc>
          <w:tcPr>
            <w:tcW w:w="1306" w:type="dxa"/>
            <w:tcBorders>
              <w:top w:val="single" w:sz="4" w:space="0" w:color="E5E5E5"/>
            </w:tcBorders>
            <w:shd w:fill="F47521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  <w:t>2024</w:t>
            </w:r>
          </w:p>
        </w:tc>
        <w:tc>
          <w:tcPr>
            <w:tcW w:w="1351" w:type="dxa"/>
            <w:tcBorders>
              <w:top w:val="single" w:sz="4" w:space="0" w:color="E5E5E5"/>
            </w:tcBorders>
            <w:shd w:fill="F47521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  <w:t>2023</w:t>
            </w:r>
          </w:p>
        </w:tc>
      </w:tr>
      <w:tr>
        <w:trPr/>
        <w:tc>
          <w:tcPr>
            <w:tcW w:w="6242" w:type="dxa"/>
            <w:tcBorders>
              <w:bottom w:val="single" w:sz="4" w:space="0" w:color="B6B6B6"/>
            </w:tcBorders>
            <w:shd w:fill="E5E5E5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Total number of shares of common stock subject to appreciation awards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granted</w:t>
            </w:r>
          </w:p>
        </w:tc>
        <w:tc>
          <w:tcPr>
            <w:tcW w:w="1306" w:type="dxa"/>
            <w:tcBorders>
              <w:bottom w:val="single" w:sz="4" w:space="0" w:color="B6B6B6"/>
            </w:tcBorders>
            <w:shd w:fill="E5E5E5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21,000</w:t>
            </w:r>
          </w:p>
        </w:tc>
        <w:tc>
          <w:tcPr>
            <w:tcW w:w="1306" w:type="dxa"/>
            <w:tcBorders>
              <w:bottom w:val="single" w:sz="4" w:space="0" w:color="B6B6B6"/>
            </w:tcBorders>
            <w:shd w:fill="E5E5E5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124,000</w:t>
            </w:r>
          </w:p>
        </w:tc>
        <w:tc>
          <w:tcPr>
            <w:tcW w:w="1351" w:type="dxa"/>
            <w:tcBorders>
              <w:bottom w:val="single" w:sz="4" w:space="0" w:color="B6B6B6"/>
            </w:tcBorders>
            <w:shd w:fill="E5E5E5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357,000</w:t>
            </w:r>
          </w:p>
        </w:tc>
      </w:tr>
      <w:tr>
        <w:trPr/>
        <w:tc>
          <w:tcPr>
            <w:tcW w:w="6242" w:type="dxa"/>
            <w:tcBorders>
              <w:top w:val="single" w:sz="4" w:space="0" w:color="B6B6B6"/>
              <w:bottom w:val="single" w:sz="4" w:space="0" w:color="B6B6B6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Total number of shares of common stock subject to full value awards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granted</w:t>
            </w:r>
          </w:p>
        </w:tc>
        <w:tc>
          <w:tcPr>
            <w:tcW w:w="1306" w:type="dxa"/>
            <w:tcBorders>
              <w:top w:val="single" w:sz="4" w:space="0" w:color="B6B6B6"/>
              <w:bottom w:val="single" w:sz="4" w:space="0" w:color="B6B6B6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11,751,000</w:t>
            </w:r>
          </w:p>
        </w:tc>
        <w:tc>
          <w:tcPr>
            <w:tcW w:w="1306" w:type="dxa"/>
            <w:tcBorders>
              <w:top w:val="single" w:sz="4" w:space="0" w:color="B6B6B6"/>
              <w:bottom w:val="single" w:sz="4" w:space="0" w:color="B6B6B6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6,166,000</w:t>
            </w:r>
          </w:p>
        </w:tc>
        <w:tc>
          <w:tcPr>
            <w:tcW w:w="1351" w:type="dxa"/>
            <w:tcBorders>
              <w:top w:val="single" w:sz="4" w:space="0" w:color="B6B6B6"/>
              <w:bottom w:val="single" w:sz="4" w:space="0" w:color="B6B6B6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5,028,000</w:t>
            </w:r>
          </w:p>
        </w:tc>
      </w:tr>
      <w:tr>
        <w:trPr/>
        <w:tc>
          <w:tcPr>
            <w:tcW w:w="6242" w:type="dxa"/>
            <w:tcBorders>
              <w:top w:val="single" w:sz="4" w:space="0" w:color="B6B6B6"/>
              <w:bottom w:val="single" w:sz="4" w:space="0" w:color="B6B6B6"/>
            </w:tcBorders>
            <w:shd w:fill="E5E5E5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Weighted-average number of shares of common stock outstanding</w:t>
            </w:r>
          </w:p>
        </w:tc>
        <w:tc>
          <w:tcPr>
            <w:tcW w:w="1306" w:type="dxa"/>
            <w:tcBorders>
              <w:top w:val="single" w:sz="4" w:space="0" w:color="B6B6B6"/>
              <w:bottom w:val="single" w:sz="4" w:space="0" w:color="B6B6B6"/>
            </w:tcBorders>
            <w:shd w:fill="E5E5E5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271,567,000</w:t>
            </w:r>
          </w:p>
        </w:tc>
        <w:tc>
          <w:tcPr>
            <w:tcW w:w="1306" w:type="dxa"/>
            <w:tcBorders>
              <w:top w:val="single" w:sz="4" w:space="0" w:color="B6B6B6"/>
              <w:bottom w:val="single" w:sz="4" w:space="0" w:color="B6B6B6"/>
            </w:tcBorders>
            <w:shd w:fill="E5E5E5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290,030,000</w:t>
            </w:r>
          </w:p>
        </w:tc>
        <w:tc>
          <w:tcPr>
            <w:tcW w:w="1351" w:type="dxa"/>
            <w:tcBorders>
              <w:top w:val="single" w:sz="4" w:space="0" w:color="B6B6B6"/>
              <w:bottom w:val="single" w:sz="4" w:space="0" w:color="B6B6B6"/>
            </w:tcBorders>
            <w:shd w:fill="E5E5E5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318,151,000</w:t>
            </w:r>
          </w:p>
        </w:tc>
      </w:tr>
      <w:tr>
        <w:trPr/>
        <w:tc>
          <w:tcPr>
            <w:tcW w:w="6242" w:type="dxa"/>
            <w:tcBorders>
              <w:top w:val="single" w:sz="4" w:space="0" w:color="B6B6B6"/>
              <w:bottom w:val="single" w:sz="8" w:space="0" w:color="F47521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Unadjusted Burn Rate (1)</w:t>
            </w:r>
          </w:p>
        </w:tc>
        <w:tc>
          <w:tcPr>
            <w:tcW w:w="1306" w:type="dxa"/>
            <w:tcBorders>
              <w:top w:val="single" w:sz="4" w:space="0" w:color="B6B6B6"/>
              <w:bottom w:val="single" w:sz="8" w:space="0" w:color="F47521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4.33%</w:t>
            </w:r>
          </w:p>
        </w:tc>
        <w:tc>
          <w:tcPr>
            <w:tcW w:w="1306" w:type="dxa"/>
            <w:tcBorders>
              <w:top w:val="single" w:sz="4" w:space="0" w:color="B6B6B6"/>
              <w:bottom w:val="single" w:sz="8" w:space="0" w:color="F47521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2.17%</w:t>
            </w:r>
          </w:p>
        </w:tc>
        <w:tc>
          <w:tcPr>
            <w:tcW w:w="1351" w:type="dxa"/>
            <w:tcBorders>
              <w:top w:val="single" w:sz="4" w:space="0" w:color="B6B6B6"/>
              <w:bottom w:val="single" w:sz="8" w:space="0" w:color="F47521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1.69%</w:t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(1)Unadjusted Burn Rate is calculated as: (shares subject to appreciation awards granted + shares subject to full value awards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granted)/weighted average common stock outstanding.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</w:pPr>
      <w:r>
        <w:rPr>
          <w:rFonts w:ascii="sans-serif" w:hAnsi="sans-serif"/>
          <w:b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  <w:t xml:space="preserve">Stockholder Approval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If this Proposal 3 is approved by our stockholders, the Amended 2017 Plan will become effective as of the date of the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Annual Meeting. In the event that our stockholders do not approve this Proposal 3, the Amended 2017 Plan will not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become effective and the 2017 Plan will continue to be effective in accordance with its terms.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</w:pPr>
      <w:r>
        <w:rPr>
          <w:rFonts w:ascii="sans-serif" w:hAnsi="sans-serif"/>
          <w:b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  <w:t xml:space="preserve">Description of the Amended 2017 Plan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The material features of the Amended 2017 Plan are described below. The following description of the Amended 2017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Plan is a summary only and is qualified in its entirety by reference to the complete text of the Amended 2017 Plan.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Stockholders are urged to read the actual text of the Amended 2017 Plan in its entirety.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  <w:t xml:space="preserve">Purpose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The Amended 2017 Plan is designed to secure and retain the services of our employees, directors and consultants,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provide incentives for our employees, directors and consultants to exert maximum efforts for the success of Exelixis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and our affiliates, and provide a means by which our employees, directors and consultants may be given an opportunity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to benefit from increases in the value of our common stock. </w:t>
      </w:r>
    </w:p>
    <w:tbl>
      <w:tblPr>
        <w:tblW w:w="174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61"/>
        <w:gridCol w:w="1381"/>
      </w:tblGrid>
      <w:tr>
        <w:trPr/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  <w:t>42</w:t>
            </w:r>
          </w:p>
        </w:tc>
        <w:tc>
          <w:tcPr>
            <w:tcW w:w="138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Exelixis, Inc.</w:t>
            </w:r>
          </w:p>
        </w:tc>
      </w:tr>
    </w:tbl>
    <w:tbl>
      <w:tblPr>
        <w:tblW w:w="1741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741"/>
      </w:tblGrid>
      <w:tr>
        <w:trPr/>
        <w:tc>
          <w:tcPr>
            <w:tcW w:w="17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4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6d44722bfc2543dbbba9716d9e560c58_16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color w:val="0000FF"/>
                  <w:sz w:val="18"/>
                  <w:u w:val="single"/>
                </w:rPr>
                <w:t>Table of Contents</w:t>
              </w:r>
            </w:hyperlink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  <w:t xml:space="preserve">Successor to 2014 Plan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The Amended 2017 Plan is intended to be the successor to the Exelixis, Inc. 2014 Equity Incentive Plan (2014 Plan).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  <w:t xml:space="preserve">Types of Awards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The terms of the Amended 2017 Plan provide for the grant of incentive stock options, nonstatutory stock options, stock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appreciation rights, restricted stock awards, RSU awards, other stock awards, and performance awards that may be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settled in cash, stock, or other property.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  <w:t xml:space="preserve">Shares Available for Awards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Subject to adjustment for certain changes in our capitalization, the aggregate number of shares of our common stock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that may be issued under the Amended 2017 Plan (Share Reserve) will not exceed the sum of (i) 453,064 shares (the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number of unallocated shares that were available for grant under the 2014 Plan as of the effective date of the 2017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Plan), (ii) 24,000,000 additional shares that were reserved as of the effective date of the 2017 Plan, (iii) 21,000,000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additional shares that were approved at the 2020 Annual Meeting, (iv) 28,500,000 additional shares that were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approved at the 2022 Annual Meeting, and (v) 2,000,000 newly requested shares, plus the Prior Plans’ Returning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Shares, as such shares become available from time to time.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The “Prior Plans’ Returning Shares” are shares subject to outstanding stock awards granted under any of the following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plans (which we refer to as the Prior Plans for purposes of this Proposal 3): the 2014 Plan, the Exelixis, Inc. 2000 Equity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Incentive Plan, the Exelixis, Inc. 2000 Non-Employee Directors’ Stock Option Plan, the Exelixis, Inc. 2011 Equity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Incentive Plan, and the Exelixis, Inc. 2016 Inducement Award Plan, in each case that, from and after the effective date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of the 2017 Plan, (i) expire or terminate for any reason prior to exercise or settlement, (ii) are forfeited, cancelled or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otherwise returned to us because of the failure to meet a contingency or condition required for the vesting of such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shares, or (iii) other than with respect to outstanding appreciation awards granted under the Prior Plans, are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reacquired or withheld (or not issued) by us to satisfy a tax withholding obligation in connection with a stock award.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The number of shares of our common stock available for issuance under the Amended 2017 Plan will be reduced by (i)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one (1) share for each share of common stock issued pursuant to an appreciation award granted under the Amended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2017 Plan, (ii) one and half (1.5) shares for each share of common stock issued pursuant to a full value award granted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under the Amended 2017 Plan prior to May 25, 2022, (iii) two (2) shares for each share of common stock issued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pursuant to a full value award granted under the Amended 2017 Plan on or after May 25, 2022 and before May 26,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2026, and (iv) one (1) share for each share of common stock issued pursuant to a full value award granted under the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Amended 2017 Plan on or after May 26, 2026.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If (i) any shares of common stock subject to a stock award granted under the Amended 2017 Plan are not issued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because the stock award expires or otherwise terminates without all of the shares covered by the stock award having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been issued or is settled in cash, (ii) any shares of common stock issued pursuant to a stock award granted under the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Amended 2017 Plan are forfeited back to or repurchased by us because of the failure to meet a contingency or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condition required for the vesting of such shares, or (iii) with respect to a full value award granted under the Amended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2017 Plan, any shares of common stock are reacquired or withheld (or not issued) by us to satisfy a tax withholding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obligation in connection with the award, then such shares (which we refer to as the Amended 2017 Plan Returning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Shares for purposes of this Proposal 3) will again become available for issuance under the Amended 2017 Plan. For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each Amended 2017 Plan Returning Share or Prior Plans’ Returning Share subject to a full value award, the number of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shares of common stock available for issuance under the Amended 2017 Plan will increase by (i) one and half (1.5)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shares for each such Amended 2017 Plan Returning Share or Prior Plans’ Returning Share that returns to the Amended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2017 Plan prior to May 25, 2022, (ii) two (2) shares for each such Amended 2017 Plan Returning Share or Prior Plans’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Returning Share that returns to the Amended 2017 Plan on or after May 25, 2022 and before May 26, 2026, and (iii) for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each such Amended 2017 Plan Returning Share or Prior Plans’ Returning Share that returns to the Amended 2017 Plan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on or after May 26, 2026, the same number of shares by which the Share Reserve was reduced at the time the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applicable award was originally granted.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Any shares of common stock reacquired or withheld (or not issued) by us to satisfy the exercise or purchase price of a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stock award granted under the Amended 2017 Plan or a Prior Plan will no longer be available for issuance under the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Amended 2017 Plan, including any shares subject to a stock award that are not delivered to a participant because the </w:t>
      </w:r>
    </w:p>
    <w:tbl>
      <w:tblPr>
        <w:tblW w:w="256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176"/>
        <w:gridCol w:w="391"/>
      </w:tblGrid>
      <w:tr>
        <w:trPr/>
        <w:tc>
          <w:tcPr>
            <w:tcW w:w="21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7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40404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404040"/>
                <w:sz w:val="18"/>
                <w:u w:val="none"/>
                <w:effect w:val="none"/>
              </w:rPr>
              <w:t>2026 Proxy Statement</w:t>
            </w:r>
          </w:p>
        </w:tc>
        <w:tc>
          <w:tcPr>
            <w:tcW w:w="39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  <w:t>43</w:t>
            </w:r>
          </w:p>
        </w:tc>
      </w:tr>
    </w:tbl>
    <w:tbl>
      <w:tblPr>
        <w:tblW w:w="880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696"/>
        <w:gridCol w:w="7111"/>
      </w:tblGrid>
      <w:tr>
        <w:trPr/>
        <w:tc>
          <w:tcPr>
            <w:tcW w:w="16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9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6d44722bfc2543dbbba9716d9e560c58_16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color w:val="0000FF"/>
                  <w:sz w:val="18"/>
                  <w:u w:val="single"/>
                </w:rPr>
                <w:t>Table of Contents</w:t>
              </w:r>
            </w:hyperlink>
          </w:p>
        </w:tc>
        <w:tc>
          <w:tcPr>
            <w:tcW w:w="711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 xml:space="preserve">Proposal 3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  <w:t>|</w:t>
            </w: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 xml:space="preserve">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Amendment and Restatement of the 2017 Equity Incentive Plan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stock award is exercised through a reduction of shares subject to the stock award. Any shares reacquired or withheld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(or not issued) by us to satisfy a tax withholding obligation in connection with an appreciation award granted under the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Amended 2017 Plan or a Prior Plan, or any shares repurchased by us on the open market with the proceeds of the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exercise price of an appreciation award granted under the Amended 2017 Plan or a Prior Plan will no longer be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available for issuance under the Amended 2017 Plan. In the event that a stock appreciation right granted under the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Amended 2017 Plan or a Prior Plan is settled in shares of common stock, the gross number of shares subject to such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stock appreciation right will no longer be available for issuance under the Amended 2017 Plan.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  <w:t xml:space="preserve">Eligibility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All of our (including our affiliates’) employees, non-employee directors and consultants are eligible to participate in the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Amended 2017 Plan and may receive all types of awards other than incentive stock options. Incentive stock options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may be granted under the Amended 2017 Plan only to our (including our affiliates’) employees.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As of the Record Date, we (including our affiliates) had 1,144 employees (including full-time and part-time employees)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and 10 non-employee directors. Historically, we have rarely granted equity awards to consultants, and we expect to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continue this practice.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  <w:t xml:space="preserve">Individual Award Limits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Under the Amended 2017 Plan, subject to adjustment for certain changes in our capitalization, no participant will be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eligible to be granted during any calendar year more than: (i) a maximum of 5,000,000 shares of our common stock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subject to stock options, stock appreciation rights and other stock awards whose value is determined by reference to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an increase over an exercise or strike price of at least 100% of the fair market value of our common stock on the date of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grant; (ii) a maximum of 5,000,000 shares of our common stock subject to performance stock awards; and (iii) a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maximum of $10,000,000 subject to performance cash awards.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  <w:t xml:space="preserve">Non-Employee Director Compensation Limit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The maximum number of shares of our common stock subject to stock awards granted during any calendar year to any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of our non-employee directors, taken together with any cash fees paid by Exelixis to such non-employee director during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such calendar year, will not exceed $750,000 in total value, or $1,500,000 in total value with respect to the calendar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year in which the individual is first appointed or elected to the Board (calculating the value of any such stock awards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based on the grant date fair value of such stock awards for financial reporting purposes).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  <w:t xml:space="preserve">Administration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The Amended 2017 Plan will be administered by the Board, which may in turn delegate authority to administer the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Amended 2017 Plan to a committee. The Board has delegated concurrent authority to administer the Amended 2017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Plan to the Compensation Committee, but may, at any time, revest in itself some or all of the power delegated to the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Compensation Committee. The Board and the Compensation Committee are each considered to be a “Plan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Administrator” for purposes of this Proposal 3. Subject to the terms of the Amended 2017 Plan (including certain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minimum vesting requirements (see “Minimum Vesting Requirements” below)), the Plan Administrator may determine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the recipients, the types of awards to be granted, the number of shares of our common stock subject to or the cash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value of awards, and the terms and conditions of awards granted under the Amended 2017 Plan, including the period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of their exercisability and vesting. The Plan Administrator also has the authority to provide for accelerated exercisability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and vesting of awards to the extent permitted under the Amended 2017 Plan. Subject to the limitations set forth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below, the Plan Administrator also determines the fair market value applicable to a stock award and the exercise or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strike price of stock options and stock appreciation rights granted under the Amended 2017 Plan.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The Plan Administrator may also delegate to one or more officers the authority to designate employees who are not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officers to be recipients of certain stock awards and the number of shares of our common stock subject to such stock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awards. Under any such delegation, the Plan Administrator will specify the total number of shares of our common stock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that may be subject to the stock awards granted by such officer. The officer may not grant a stock award to himself or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herself. </w:t>
      </w:r>
    </w:p>
    <w:tbl>
      <w:tblPr>
        <w:tblW w:w="174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61"/>
        <w:gridCol w:w="1381"/>
      </w:tblGrid>
      <w:tr>
        <w:trPr/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  <w:t>44</w:t>
            </w:r>
          </w:p>
        </w:tc>
        <w:tc>
          <w:tcPr>
            <w:tcW w:w="138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Exelixis, Inc.</w:t>
            </w:r>
          </w:p>
        </w:tc>
      </w:tr>
    </w:tbl>
    <w:tbl>
      <w:tblPr>
        <w:tblW w:w="1741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741"/>
      </w:tblGrid>
      <w:tr>
        <w:trPr/>
        <w:tc>
          <w:tcPr>
            <w:tcW w:w="17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4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6d44722bfc2543dbbba9716d9e560c58_16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color w:val="0000FF"/>
                  <w:sz w:val="18"/>
                  <w:u w:val="single"/>
                </w:rPr>
                <w:t>Table of Contents</w:t>
              </w:r>
            </w:hyperlink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  <w:t xml:space="preserve">Repricing; Cancellation and Re-Grant of Awards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Under the Amended 2017 Plan, the Plan Administrator does not have the authority to reprice any outstanding stock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option or stock appreciation right by reducing the exercise or strike price of the stock option or stock appreciation right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or to cancel any outstanding stock option or stock appreciation right that has an exercise or strike price greater than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the then-current fair market value of our common stock in exchange for cash or other awards without obtaining the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approval of our stockholders. Such approval must be obtained within 12 months prior to such an event.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  <w:t xml:space="preserve">Minimum Vesting Requirements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Under the Amended 2017 Plan, no award may vest until at least 12 months following the date of grant of the award;</w:t>
      </w:r>
      <w:r>
        <w:rPr>
          <w:strike w:val="false"/>
          <w:dstrike w:val="false"/>
          <w:color w:val="3F3F3F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  <w:t>provided, however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, that shares up to 5% of the Share Reserve may be issued pursuant to awards which do not meet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such vesting requirements.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  <w:t>Dividends and Dividend Equivalents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The Amended 2017 Plan provides that dividends or dividend equivalents may be paid or credited with respect to any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shares of our common stock subject to an award, as determined by the Board and contained in the applicable award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agreement;</w:t>
      </w:r>
      <w:r>
        <w:rPr>
          <w:strike w:val="false"/>
          <w:dstrike w:val="false"/>
          <w:color w:val="3F3F3F"/>
          <w:u w:val="none"/>
          <w:effect w:val="none"/>
        </w:rPr>
        <w:t xml:space="preserve"> </w:t>
      </w:r>
      <w:r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  <w:t>provided, however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, that (i) no dividends or dividend equivalents may be paid with respect to any such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shares before the date such shares have vested, (ii) any dividends or dividend equivalents that are credited with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respect to any such shares will be subject to all of the terms and conditions applicable to such shares under the terms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of the applicable award agreement (including any vesting conditions), and (iii) any dividends or dividend equivalents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that are credited with respect to any such shares will be forfeited to us on the date such shares are forfeited to or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repurchased by us due to a failure to vest.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  <w:t>Section 162(m) Transition Relief for Performance-Based Compensation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Under Section 162(m) of the Code, compensation paid to any publicly held corporation’s “covered employees” (as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defined under Section 162(m) of the Code) that exceeds $1 million per taxable year for any covered employee is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generally non-deductible. Certain provisions in the Amended 2017 Plan refer to the “performance-based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compensation” exception to the $1 million deductibility limit under Section 162(m) of the Code. Pursuant to the Tax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Cuts and Jobs Act, this exception was repealed with respect to taxable years beginning after December 31, 2017.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However, an award may still be eligible for this exception if, among other requirements, it is intended to qualify, and is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eligible to qualify, as “performance-based compensation” under Section 162(m) of the Code pursuant to the transition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relief provided by the Tax Cuts and Jobs Act for remuneration provided pursuant to a written binding contract which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was in effect on November 2, 2017 and which was not modified in any material respect on or after such date. For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purposes of this Proposal 3, the term “Section 162(m) Transition Relief” refers to such transition relief. Accordingly, the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provisions in the Amended 2017 Plan which refer to the “performance-based compensation” exception under Section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162(m) of the Code will only apply to any award that is intended to qualify, and is eligible to qualify, as “performance-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based compensation” under Section 162(m) of the Code pursuant to the Section 162(m) Transition Relief and,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therefore, such provisions are not applicable to any other awards granted under the Amended 2017 Plan. However,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even if an award is intended to qualify as “performance-based compensation” under Section 162(m) of the Code, no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assurance can be given that the award will in fact qualify for the Section 162(m) Transition Relief or the “performance-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based compensation” exception under Section 162(m) of the Code.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  <w:t xml:space="preserve">Stock Options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Stock options may be granted under the Amended 2017 Plan pursuant to stock option agreements. The Amended 2017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Plan permits the grant of stock options that are intended to qualify as incentive stock options, or ISOs, and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nonstatutory stock options, or NSOs.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The exercise price of a stock option granted under the Amended 2017 Plan may not be less than 100% of the fair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market value of the common stock subject to the stock option on the date of grant and, in some cases (see “Limitations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on Incentive Stock Options” below), may not be less than 110% of such fair market value.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The term of stock options granted under the Amended 2017 Plan may not exceed seven (7) years and, in some cases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(see “Limitations on Incentive Stock Options” below), may not exceed five (5) years. Except as otherwise provided in a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participant’s stock option agreement or other agreement with us or one of our affiliates, if a participant’s service </w:t>
      </w:r>
    </w:p>
    <w:tbl>
      <w:tblPr>
        <w:tblW w:w="256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176"/>
        <w:gridCol w:w="391"/>
      </w:tblGrid>
      <w:tr>
        <w:trPr/>
        <w:tc>
          <w:tcPr>
            <w:tcW w:w="21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7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40404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404040"/>
                <w:sz w:val="18"/>
                <w:u w:val="none"/>
                <w:effect w:val="none"/>
              </w:rPr>
              <w:t>2026 Proxy Statement</w:t>
            </w:r>
          </w:p>
        </w:tc>
        <w:tc>
          <w:tcPr>
            <w:tcW w:w="39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  <w:t>45</w:t>
            </w:r>
          </w:p>
        </w:tc>
      </w:tr>
    </w:tbl>
    <w:tbl>
      <w:tblPr>
        <w:tblW w:w="880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696"/>
        <w:gridCol w:w="7111"/>
      </w:tblGrid>
      <w:tr>
        <w:trPr/>
        <w:tc>
          <w:tcPr>
            <w:tcW w:w="16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9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6d44722bfc2543dbbba9716d9e560c58_16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color w:val="0000FF"/>
                  <w:sz w:val="18"/>
                  <w:u w:val="single"/>
                </w:rPr>
                <w:t>Table of Contents</w:t>
              </w:r>
            </w:hyperlink>
          </w:p>
        </w:tc>
        <w:tc>
          <w:tcPr>
            <w:tcW w:w="711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 xml:space="preserve">Proposal 3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  <w:t>|</w:t>
            </w: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 xml:space="preserve">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Amendment and Restatement of the 2017 Equity Incentive Plan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relationship with us or any of our affiliates (referred to in this Proposal 3 as continuous service) terminates (other than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for cause and other than upon the participant’s death or disability), the participant may exercise any vested stock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options for up to three (3) months following the participant’s termination of continuous service. Except as otherwise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provided in a participant’s stock option agreement or other agreement with us or one of our affiliates, if a participant’s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continuous service terminates due to the participant’s disability or death (or the participant dies within a specified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period, if any, following termination of continuous service), the participant, or his or her beneficiary, as applicable, may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exercise any vested stock options for up to 12 months following the participant’s termination due to the participant’s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disability or for up to 18 months following the participant’s death. Except as explicitly provided otherwise in a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participant’s stock option agreement or other written agreement with us or one of our affiliates, if a participant’s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continuous service is terminated for cause (as defined in the Amended 2017 Plan), all stock options held by the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participant will terminate upon the participant’s termination of continuous service and the participant will be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prohibited from exercising any stock option from and after such termination date. Except as otherwise provided in a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participant’s stock option agreement or other agreement with us or one of our affiliates, the term of a stock option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may be extended if the exercise of the stock option following the participant’s termination of continuous service (other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than for cause and other than upon the participant’s death or disability) would be prohibited by applicable securities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laws or if the sale of any common stock received upon exercise of the stock option following the participant’s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termination of continuous service (other than for cause) would violate our insider trading policy. In no event, however,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may a stock option be exercised after its original expiration date.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Acceptable forms of consideration for the purchase of our common stock pursuant to the exercise of a stock option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under the Amended 2017 Plan will be determined by the Plan Administrator and may include payment: (i) by cash,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check, bank draft or money order payable to us; (ii) pursuant to a program developed under Regulation T as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promulgated by the Federal Reserve Board; (iii) by delivery to us of shares of our common stock (either by actual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delivery or attestation); (iv) by a net exercise arrangement (for NSOs only); or (v) in other legal consideration approved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by the Plan Administrator.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Subject to certain minimum vesting requirements (see “Minimum Vesting Requirements” above), stock options granted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under the Amended 2017 Plan may become exercisable in cumulative increments, or “vest,” as determined by the Plan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Administrator at the rate specified in the stock option agreement. Shares covered by different stock options granted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under the Amended 2017 Plan may be subject to different vesting schedules as the Plan Administrator may determine.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The Plan Administrator may impose limitations on the transferability of stock options granted under the Amended 2017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Plan in its discretion. Generally, a participant may not transfer a stock option granted under the Amended 2017 Plan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other than by will or the laws of descent and distribution or, subject to approval by the Plan Administrator, pursuant to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 domestic relations order or an official marital settlement agreement. However, the Plan Administrator may permit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transfer of a stock option in a manner that is not prohibited by applicable tax and securities laws. In addition, subject to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approval by the Plan Administrator, a participant may designate a beneficiary who may exercise the stock option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following the participant’s death. Notwithstanding the foregoing, no stock option may be transferred to any financial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institution without prior stockholder approval.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  <w:t xml:space="preserve">Limitations on Incentive Stock Options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The aggregate fair market value, determined at the time of grant, of shares of our common stock with respect to ISOs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that are exercisable for the first time by a participant during any calendar year under all of our stock plans may not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exceed $100,000. The stock options or portions of stock options that exceed this limit or otherwise fail to qualify as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ISOs are treated as NSOs. No ISO may be granted to any person who, at the time of grant, owns or is deemed to own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stock possessing more than 10% of our total combined voting power or that of any affiliate unless the following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conditions are satisfied: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3F3F3F"/>
          <w:u w:val="none"/>
          <w:effect w:val="none"/>
        </w:rPr>
        <w:t>•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the exercise price of the ISO must be at least 110% of the fair market value of the common stock subject to the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ISO on the date of grant; and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3F3F3F"/>
          <w:u w:val="none"/>
          <w:effect w:val="none"/>
        </w:rPr>
        <w:t>•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the term of the ISO must not exceed five (5) years from the date of grant.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Subject to adjustment for certain changes in our capitalization, the aggregate maximum number of shares of our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common stock that may be issued pursuant to the exercise of ISOs under the Amended 2017 Plan is 50,000,000 shares.</w:t>
      </w:r>
    </w:p>
    <w:tbl>
      <w:tblPr>
        <w:tblW w:w="174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61"/>
        <w:gridCol w:w="1381"/>
      </w:tblGrid>
      <w:tr>
        <w:trPr/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  <w:t>46</w:t>
            </w:r>
          </w:p>
        </w:tc>
        <w:tc>
          <w:tcPr>
            <w:tcW w:w="138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Exelixis, Inc.</w:t>
            </w:r>
          </w:p>
        </w:tc>
      </w:tr>
    </w:tbl>
    <w:tbl>
      <w:tblPr>
        <w:tblW w:w="1741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741"/>
      </w:tblGrid>
      <w:tr>
        <w:trPr/>
        <w:tc>
          <w:tcPr>
            <w:tcW w:w="17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4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6d44722bfc2543dbbba9716d9e560c58_16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color w:val="0000FF"/>
                  <w:sz w:val="18"/>
                  <w:u w:val="single"/>
                </w:rPr>
                <w:t>Table of Contents</w:t>
              </w:r>
            </w:hyperlink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  <w:t>Stock Appreciation Rights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Stock appreciation rights may be granted under the Amended 2017 Plan pursuant to stock appreciation right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agreements. Each stock appreciation right is denominated in common stock share equivalents. The strike price of each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stock appreciation right will be determined by the Plan Administrator, but will in no event be less than 100% of the fair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market value of the common stock subject to the stock appreciation right on the date of grant. Subject to certain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minimum vesting requirements (see “Minimum Vesting Requirements” above), the Plan Administrator may also impose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restrictions or conditions upon the vesting of stock appreciation rights that it deems appropriate. The appreciation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distribution payable upon exercise of a stock appreciation right may be paid in shares of our common stock, in cash, in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 combination of cash and stock, or in any other form of consideration determined by the Plan Administrator and set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forth in the stock appreciation right agreement. The term of stock appreciation rights granted under the Amended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2017 Plan may not exceed seven (7) years. Stock appreciation rights will be subject to the same conditions upon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termination of continuous service and restrictions on transfer as stock options under the Amended 2017 Plan.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  <w:t>Restricted Stock Awards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Restricted stock awards may be granted under the Amended 2017 Plan pursuant to restricted stock award agreements.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 restricted stock award may be granted in consideration for cash, check, bank draft or money order payable to us, the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participant’s services performed for us or any of our affiliates, or any other form of legal consideration acceptable to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the Plan Administrator. Subject to certain minimum vesting requirements (see “Minimum Vesting Requirements”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above), shares of our common stock acquired under a restricted stock award may be subject to forfeiture to or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repurchase by us in accordance with a vesting schedule to be determined by the Plan Administrator. Rights to acquire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shares of our common stock under a restricted stock award may be transferred only upon such terms and conditions as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are set forth in the restricted stock award agreement;</w:t>
      </w:r>
      <w:r>
        <w:rPr>
          <w:strike w:val="false"/>
          <w:dstrike w:val="false"/>
          <w:color w:val="3F3F3F"/>
          <w:u w:val="none"/>
          <w:effect w:val="none"/>
        </w:rPr>
        <w:t xml:space="preserve"> </w:t>
      </w:r>
      <w:r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  <w:t>provided, however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, that no restricted stock award may be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transferred to any financial institution without prior stockholder approval. Upon a participant’s termination of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continuous service for any reason, any shares subject to restricted stock awards held by the participant that have not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vested as of such termination date may be forfeited to or repurchased by us.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  <w:t>RSU Awards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RSU awards may be granted under the Amended 2017 Plan pursuant to RSU award agreements. Payment of any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purchase price may be made in any form of legal consideration acceptable to the Plan Administrator. An RSU award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may be settled by the delivery of shares of our common stock, in cash, in a combination of cash and stock, or in any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other form of consideration determined by the Plan Administrator and set forth in the RSU award agreement. Subject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to certain minimum vesting requirements (see “Minimum Vesting Requirements” above), RSU awards may be subject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to vesting in accordance with a vesting schedule to be determined by the Plan Administrator. Except as otherwise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provided in a participant’s RSU award agreement, RSUs that have not vested will be forfeited upon the participant’s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termination of continuous service for any reason.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  <w:t>Performance Awards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The Amended 2017 Plan allows us to grant performance stock and cash awards.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 performance stock award is a stock award that is payable (including that may be granted, may vest, or may be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exercised) contingent upon the attainment of pre-determined performance goals during a performance period. A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performance stock award may require the completion of a specified period of continuous service. Subject to certain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minimum vesting requirements (see “Minimum Vesting Requirements” above), the length of any performance period,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the performance goals to be achieved during the performance period, and the measure of whether and to what degree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such performance goals have been attained will be determined by the Compensation Committee, except that the Plan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Administrator also may make any such determinations to the extent that the award is not intended to qualify as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performance-based compensation under Section 162(m) of the Code. In addition, to the extent permitted by applicable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law and the performance stock award agreement, the Plan Administrator may determine that cash may be used in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payment of performance stock awards.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 performance cash award is a cash award that is payable contingent upon the attainment of pre-determined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performance goals during a performance period. A performance cash award may require the completion of a specified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period of continuous service. Subject to certain minimum vesting requirements (see “Minimum Vesting Requirements” </w:t>
      </w:r>
    </w:p>
    <w:tbl>
      <w:tblPr>
        <w:tblW w:w="256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176"/>
        <w:gridCol w:w="391"/>
      </w:tblGrid>
      <w:tr>
        <w:trPr/>
        <w:tc>
          <w:tcPr>
            <w:tcW w:w="21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7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40404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404040"/>
                <w:sz w:val="18"/>
                <w:u w:val="none"/>
                <w:effect w:val="none"/>
              </w:rPr>
              <w:t>2026 Proxy Statement</w:t>
            </w:r>
          </w:p>
        </w:tc>
        <w:tc>
          <w:tcPr>
            <w:tcW w:w="39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  <w:t>47</w:t>
            </w:r>
          </w:p>
        </w:tc>
      </w:tr>
    </w:tbl>
    <w:tbl>
      <w:tblPr>
        <w:tblW w:w="880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696"/>
        <w:gridCol w:w="7111"/>
      </w:tblGrid>
      <w:tr>
        <w:trPr/>
        <w:tc>
          <w:tcPr>
            <w:tcW w:w="16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9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6d44722bfc2543dbbba9716d9e560c58_16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color w:val="0000FF"/>
                  <w:sz w:val="18"/>
                  <w:u w:val="single"/>
                </w:rPr>
                <w:t>Table of Contents</w:t>
              </w:r>
            </w:hyperlink>
          </w:p>
        </w:tc>
        <w:tc>
          <w:tcPr>
            <w:tcW w:w="711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 xml:space="preserve">Proposal 3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  <w:t>|</w:t>
            </w: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 xml:space="preserve">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Amendment and Restatement of the 2017 Equity Incentive Plan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above), the length of any performance period, the performance goals to be achieved during the performance period,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and the measure of whether and to what degree such performance goals have been attained will be determined by the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Compensation Committee, except that the Plan Administrator also may make any such determinations to the extent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that the award is not intended to qualify as performance-based compensation under Section 162(m) of the Code. The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Plan Administrator may specify the form of payment of performance cash awards, which may be cash or other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property, or may provide for a participant to have the option for his or her performance cash award to be paid in cash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or other property.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Performance goals under the Amended 2017 Plan will be based on any one or more of the following performance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criteria: (1) earnings (including earnings per share and net earnings); (2) earnings before interest, taxes and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depreciation; (3) earnings before interest, taxes, depreciation and amortization; (4) total stockholder return; (5) return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on equity or average stockholder’s equity; (6) return on assets, investment, or capital employed; (7) stock price; (8)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margin (including gross margin); (9) income (before or after taxes); (10) operating income; (11) operating income after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taxes; (12) pre-tax profit; (13) operating cash flow; (14) sales or revenue targets; (15) increases in revenues or product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revenues; (16) expenses and cost reduction goals; (17) improvement in or attainment of working capital levels; (18)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economic value added (or an equivalent metric); (19) market share; (20) cash flow; (21) cash flow per share; (22) share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price performance; (23) debt reduction; (24) implementation or completion of projects or processes; (25) customer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satisfaction; (26) stockholders’ equity; (27) capital expenditures; (28) debt levels; (29) operating profit or net operating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profit; (30) workforce diversity; (31) growth of net income or operating income; (32) billings; and (33) to the extent that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an award is not intended to comply with Section 162(m) of the Code, other measures of performance selected by the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Plan Administrator.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Performance goals may be based on a company-wide basis, with respect to one or more business units, divisions,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affiliates or business segments, and in either absolute terms or relative to the performance of one or more comparable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companies or the performance of one or more relevant indices. Under the Amended 2017 Plan, unless specified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otherwise by the Compensation Committee (or, if not required for compliance with Section 162(m) of the Code, the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Plan Administrator) (i) in the award agreement at the time the award is granted or (ii) in such other document setting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forth the performance goals at the time the performance goals are established, the Compensation Committee (or, if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not required for compliance with Section 162(m) of the Code, the Plan Administrator) will appropriately make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adjustments in the method of calculating the attainment of performance goals for a performance period: (1) to exclude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restructuring and/or other nonrecurring charges; (2) to exclude exchange rate effects, as applicable, for non-U.S. dollar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denominated performance goals; (3) to exclude the effects of changes to generally accepted accounting principles; (4)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to exclude the effects of any statutory adjustments to corporate tax rates; and (5) to exclude the effects of any items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that are “unusual” in nature or occur “infrequently” as determined under generally accepted accounting principles. In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addition, the Compensation Committee (or, if not required for compliance with Section 162(m) of the Code, the Plan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Administrator) retains the discretion to reduce or eliminate the compensation or economic benefit due upon the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attainment of any performance goals and to define the manner of calculating the performance criteria it selects to use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for a performance period.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  <w:t xml:space="preserve">Other Stock Awards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Other forms of stock awards valued in whole or in part by reference to, or otherwise based on, our common stock may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be granted either alone or in addition to other stock awards under the Amended 2017 Plan. Subject to the terms of the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Amended 2017 Plan (including certain minimum vesting requirements (see “Minimum Vesting Requirements” above)),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the Plan Administrator will have sole and complete authority to determine the persons to whom and the time or times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at which such other stock awards will be granted, the number of shares of our common stock to be granted and all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other terms and conditions of such other stock awards.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  <w:t>Clawback Policy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Awards granted under the Amended 2017 Plan will be subject to recoupment in accordance with (i) the Clawback Policy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and (ii) any clawback policy that we are required to adopt pursuant to the listing standards of any national securities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exchange or association on which our securities are listed or as is otherwise required by the Dodd-Frank Wall Street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Reform and Consumer Protection Act or other applicable law. In addition, the Plan Administrator may impose other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clawback, recovery or recoupment provisions in an award agreement as the Plan Administrator determines necessary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or appropriate, including a reacquisition right in respect of previously acquired shares of our common stock or other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cash or property upon the occurrence of cause. For additional information on the Clawback Policy, please see </w:t>
      </w:r>
    </w:p>
    <w:tbl>
      <w:tblPr>
        <w:tblW w:w="174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61"/>
        <w:gridCol w:w="1381"/>
      </w:tblGrid>
      <w:tr>
        <w:trPr/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  <w:t>48</w:t>
            </w:r>
          </w:p>
        </w:tc>
        <w:tc>
          <w:tcPr>
            <w:tcW w:w="138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Exelixis, Inc.</w:t>
            </w:r>
          </w:p>
        </w:tc>
      </w:tr>
    </w:tbl>
    <w:tbl>
      <w:tblPr>
        <w:tblW w:w="1741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741"/>
      </w:tblGrid>
      <w:tr>
        <w:trPr/>
        <w:tc>
          <w:tcPr>
            <w:tcW w:w="17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4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6d44722bfc2543dbbba9716d9e560c58_16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color w:val="0000FF"/>
                  <w:sz w:val="18"/>
                  <w:u w:val="single"/>
                </w:rPr>
                <w:t>Table of Contents</w:t>
              </w:r>
            </w:hyperlink>
          </w:p>
        </w:tc>
      </w:tr>
    </w:tbl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3F3F3F"/>
          <w:u w:val="none"/>
          <w:effect w:val="none"/>
        </w:rPr>
        <w:t>“</w:t>
      </w:r>
      <w:hyperlink w:anchor="i6d44722bfc2543dbbba9716d9e560c58_172">
        <w:r>
          <w:rPr>
            <w:rStyle w:val="InternetLink"/>
            <w:rFonts w:ascii="sans-serif" w:hAnsi="sans-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Compensation Discussion and Analysis—Other Compensation Information—Clawback Policy.</w:t>
        </w:r>
      </w:hyperlink>
      <w:r>
        <w:rPr>
          <w:caps w:val="false"/>
          <w:smallCaps w:val="false"/>
          <w:strike w:val="false"/>
          <w:dstrike w:val="false"/>
          <w:color w:val="3F3F3F"/>
          <w:u w:val="none"/>
          <w:effect w:val="none"/>
        </w:rPr>
        <w:t>”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  <w:t>Changes to Capital Structure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In the event of certain capitalization adjustments, the Plan Administrator will appropriately adjust: (i) the class(es) and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maximum number of securities subject to the Amended 2017 Plan; (ii) the class(es) and maximum number of securities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that may be issued pursuant to the exercise of ISOs; (iii) the class(es) and maximum number of securities that may be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awarded to any participant pursuant to the individual award limits under the Amended 2017 Plan; and (iv) the class(es)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and number of securities and price per share of stock subject to outstanding stock awards.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  <w:t>Corporate Transaction and Change in Control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The following applies to stock awards under the Amended 2017 Plan in the event of a corporate transaction (as defined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in the Amended 2017 Plan) or a change in control (as defined in the Amended 2017 Plan) (each of which we refer to as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 Transaction for purposes of this Proposal 3), unless otherwise provided in a participant’s stock award agreement or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other written arrangement with us or one of our affiliates or in any director compensation policy.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In the event of a Transaction, any stock awards outstanding under the Amended 2017 Plan may be assumed, continued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or substituted for by any surviving or acquiring corporation (or its parent company), and any reacquisition or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repurchase rights held by us with respect to the stock award may be assigned to the successor (or its parent company).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If the surviving or acquiring corporation (or its parent company) does not assume, continue or substitute for such stock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awards, then (i) with respect to any such stock awards that are held by participants whose continuous service has not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terminated prior to the effective time of the Transaction (Current Participants), the vesting (and exercisability, if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applicable) of such stock awards will be accelerated in full (and with respect to any such stock awards that are subject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to performance-based vesting conditions or requirements, vesting will be deemed to be satisfied at the target level of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performance) to a date prior to the effective time of the Transaction (contingent upon the effectiveness of the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Transaction), and such stock awards will terminate if not exercised (if applicable) at or prior to the effective time of the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Transaction, and any reacquisition or repurchase rights held by us with respect to such stock awards will lapse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(contingent upon the effectiveness of the Transaction), and (ii) any such stock awards that are held by persons other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than Current Participants will terminate if not exercised (if applicable) prior to the effective time of the Transaction,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except that any reacquisition or repurchase rights held by us with respect to such stock awards will not terminate and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may continue to be exercised notwithstanding the Transaction.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In the event a stock award will terminate if not exercised prior to the effective time of a Transaction, the Plan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Administrator may provide that the holder of such stock award may not exercise such stock award but instead will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receive a payment equal in value to the excess (if any) of (i) the value of the property the participant would have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received upon exercise of such stock award immediately prior to the effective time of the Transaction over (ii) any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exercise price payable in connection with such exercise.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For purposes of the Amended 2017 Plan, a corporate transaction generally will be deemed to occur in the event of the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consummation of: (i) a sale, lease or other disposition of all or substantially all of our assets; (ii) an acquisition by a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person, entity or group of the beneficial ownership of our securities representing at least 50% of the combined voting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power entitled to vote in the election of our directors; (iii) a merger, consolidation or similar transaction in which we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are not the surviving corporation; or (iv) a reverse merger, consolidation or similar transaction in which we are the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surviving corporation but shares of our outstanding common stock are converted into other property by virtue of the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transaction.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For purposes of the Amended 2017 Plan, a change in control generally will be deemed to occur in the event of the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consummation of: (i) a sale, lease or other disposition of all or substantially all of our assets; (ii) an acquisition by a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person, entity or group of the beneficial ownership of our securities representing at least 50% of the combined voting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power entitled to vote in the election of our directors other than by virtue of a merger, consolidation or similar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transaction; (iii) a merger, consolidation or similar transaction in which we are not the surviving corporation; or (iv) a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reverse merger, consolidation or similar transaction in which we are the surviving corporation but shares of our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outstanding common stock are converted into other property by virtue of the transaction.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  <w:t>Control Acquisition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The following applies to stock awards under the Amended 2017 Plan in the event of a control acquisition (as defined in </w:t>
      </w:r>
    </w:p>
    <w:tbl>
      <w:tblPr>
        <w:tblW w:w="256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176"/>
        <w:gridCol w:w="391"/>
      </w:tblGrid>
      <w:tr>
        <w:trPr/>
        <w:tc>
          <w:tcPr>
            <w:tcW w:w="21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7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40404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404040"/>
                <w:sz w:val="18"/>
                <w:u w:val="none"/>
                <w:effect w:val="none"/>
              </w:rPr>
              <w:t>2026 Proxy Statement</w:t>
            </w:r>
          </w:p>
        </w:tc>
        <w:tc>
          <w:tcPr>
            <w:tcW w:w="39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  <w:t>49</w:t>
            </w:r>
          </w:p>
        </w:tc>
      </w:tr>
    </w:tbl>
    <w:tbl>
      <w:tblPr>
        <w:tblW w:w="880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696"/>
        <w:gridCol w:w="7111"/>
      </w:tblGrid>
      <w:tr>
        <w:trPr/>
        <w:tc>
          <w:tcPr>
            <w:tcW w:w="16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9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6d44722bfc2543dbbba9716d9e560c58_16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color w:val="0000FF"/>
                  <w:sz w:val="18"/>
                  <w:u w:val="single"/>
                </w:rPr>
                <w:t>Table of Contents</w:t>
              </w:r>
            </w:hyperlink>
          </w:p>
        </w:tc>
        <w:tc>
          <w:tcPr>
            <w:tcW w:w="711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 xml:space="preserve">Proposal 3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  <w:t>|</w:t>
            </w: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 xml:space="preserve">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Amendment and Restatement of the 2017 Equity Incentive Plan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the Amended 2017 Plan), unless otherwise provided in a participant’s stock award agreement or other written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arrangement with us or one of our affiliates or in any director compensation policy.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In the event of a control acquisition that was not approved by the Plan Administrator prior to the consummation of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such transaction, the vesting (and exercisability, if applicable) of any stock awards that are held by Current Participants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will be accelerated in full (and with respect to any such stock awards that are subject to performance-based vesting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conditions or requirements, vesting will be deemed to be satisfied at the target level of performance) to a date prior to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the effective time of the control acquisition (contingent upon the effectiveness of the control acquisition), and any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reacquisition or repurchase rights held by us with respect to such stock awards will lapse (contingent upon the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effectiveness of the control acquisition).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For purposes of the Amended 2017 Plan, a control acquisition generally will be deemed to occur in the event of the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consummation of an acquisition by a person, entity or group of the beneficial ownership of our securities representing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at least 50% of the combined voting power entitled to vote in the election of our directors.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  <w:t>Change in Control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The following applies to stock awards under the Amended 2017 Plan in the event of a change in control (as defined in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the Amended 2017 Plan), unless otherwise provided in a participant’s stock award agreement or other written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arrangement with us or one of our affiliates or in any director compensation policy.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If a change in control occurs and within one (1) month before, as of, or within 13 months after, the effective time of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such change in control, a participant’s continuous service terminates due to an involuntary termination (not including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death or disability) without cause (as defined in the Amended 2017 Plan) or due to a voluntary termination with good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reason (as defined in the Amended 2017 Plan), then the vesting (and exercisability, if applicable) of such participant’s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stock awards will be accelerated in accordance with the vesting schedule applicable to such stock awards as if (i) with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respect to any such stock awards that are subject to vesting conditions or requirements based solely on such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participant’s continuous service, such participant’s continuous service had continued for 12 months following the date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of termination, and (ii) with respect to any such stock awards that are subject to performance-based vesting conditions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or requirements, vesting has been satisfied at the target level of performance. Any such acceleration will occur on the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date of termination, or if later, the effective date of the change in control.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  <w:t>Plan Amendments and Termination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The Plan Administrator will have the authority to amend or terminate the Amended 2017 Plan at any time. However,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except as otherwise provided in the Amended 2017 Plan or an award agreement, no amendment or termination of the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Amended 2017 Plan may materially impair a participant’s rights under his or her outstanding awards without the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participant’s consent. We will obtain stockholder approval of any amendment to the Amended 2017 Plan as required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by applicable law and listing requirements. No incentive stock options may be granted under the Amended 2017 Plan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after the tenth anniversary of the date the Amended 2017 Plan was adopted by our Board.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</w:pPr>
      <w:r>
        <w:rPr>
          <w:rFonts w:ascii="sans-serif" w:hAnsi="sans-serif"/>
          <w:b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  <w:t>U.S. Federal Income Tax Consequences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The following is a summary of the principal United States federal income tax consequences to participants and us with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respect to participation in the Amended 2017 Plan. This summary is not intended to be exhaustive and does not discuss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the income tax laws of any local, state or foreign jurisdiction in which a participant may reside. The information is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based upon current federal income tax rules and therefore is subject to change when those rules change. Because the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tax consequences to any participant may depend on his or her particular situation, each participant should consult the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participant’s tax adviser regarding the federal, state, local and other tax consequences of the grant or exercise of an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award or the disposition of stock acquired under the Amended 2017 Plan. The Amended 2017 Plan is not qualified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under the provisions of Section 401(a) of the Code and is not subject to any of the provisions of the Employee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Retirement Income Security Act of 1974. Our ability to realize the benefit of any tax deductions described below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depends on our generation of taxable income as well as the requirement of reasonableness, the provisions of Section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162(m) of the Code and the satisfaction of our tax reporting obligations.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  <w:t>Nonstatutory Stock Options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Generally, there is no taxation upon the grant of an NSO if the stock option is granted with an exercise price equal to </w:t>
      </w:r>
    </w:p>
    <w:tbl>
      <w:tblPr>
        <w:tblW w:w="174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61"/>
        <w:gridCol w:w="1381"/>
      </w:tblGrid>
      <w:tr>
        <w:trPr/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  <w:t>50</w:t>
            </w:r>
          </w:p>
        </w:tc>
        <w:tc>
          <w:tcPr>
            <w:tcW w:w="138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Exelixis, Inc.</w:t>
            </w:r>
          </w:p>
        </w:tc>
      </w:tr>
    </w:tbl>
    <w:tbl>
      <w:tblPr>
        <w:tblW w:w="1741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741"/>
      </w:tblGrid>
      <w:tr>
        <w:trPr/>
        <w:tc>
          <w:tcPr>
            <w:tcW w:w="17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4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6d44722bfc2543dbbba9716d9e560c58_16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color w:val="0000FF"/>
                  <w:sz w:val="18"/>
                  <w:u w:val="single"/>
                </w:rPr>
                <w:t>Table of Contents</w:t>
              </w:r>
            </w:hyperlink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the fair market value of the underlying stock on the grant date. Upon exercise, a participant will recognize ordinary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income equal to the excess, if any, of the fair market value of the underlying stock on the date of exercise of the stock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option over the exercise price. If the participant is employed by us or one of our affiliates, that income will be subject to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withholding taxes. The participant’s tax basis in those shares will be equal to their fair market value on the date of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exercise of the stock option, and the participant’s capital gain holding period for those shares will begin on that date.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Subject to the requirement of reasonableness, the provisions of Section 162(m) of the Code and the satisfaction of a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tax reporting obligation, we will generally be entitled to a tax deduction equal to the taxable ordinary income realized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by the participant.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  <w:t>Incentive Stock Options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The Amended 2017 Plan provides for the grant of stock options that are intended to qualify as “incentive stock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options,” as defined in Section 422 of the Code. Under the Code, a participant generally is not subject to ordinary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income tax upon the grant or exercise of an ISO. If the participant holds a share received upon exercise of an ISO for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more than two (2) years from the date the stock option was granted and more than one (1) year from the date the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stock option was exercised, which is referred to as the required holding period, the difference, if any, between the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amount realized on a sale or other taxable disposition of that share and the participant’s tax basis in that share will be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long-term capital gain or loss.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If, however, a participant disposes of a share acquired upon exercise of an ISO before the end of the required holding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period, which is referred to as a disqualifying disposition, the participant generally will recognize ordinary income in the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year of the disqualifying disposition equal to the excess, if any, of the fair market value of the share on the date of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exercise of the stock option over the exercise price. However, if the sales proceeds are less than the fair market value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of the share on the date of exercise of the stock option, the amount of ordinary income recognized by the participant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will not exceed the gain, if any, realized on the sale. If the amount realized on a disqualifying disposition exceeds the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fair market value of the share on the date of exercise of the stock option, that excess will be short-term or long-term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capital gain, depending on whether the holding period for the share exceeds one (1) year.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For purposes of the alternative minimum tax, the amount by which the fair market value of a share of stock acquired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upon exercise of an ISO exceeds the exercise price of the stock option generally will be an adjustment included in the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participant’s alternative minimum taxable income for the year in which the stock option is exercised. If, however, there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is a disqualifying disposition of the share in the year in which the stock option is exercised, there will be no adjustment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for alternative minimum tax purposes with respect to that share. In computing alternative minimum taxable income,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the tax basis of a share acquired upon exercise of an ISO is increased by the amount of the adjustment taken into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account with respect to that share for alternative minimum tax purposes in the year the stock option is exercised.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We are not allowed a tax deduction with respect to the grant or exercise of an ISO or the disposition of a share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acquired upon exercise of an ISO after the required holding period. If there is a disqualifying disposition of a share,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however, we will generally be entitled to a tax deduction equal to the taxable ordinary income realized by the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participant, subject to the requirement of reasonableness and the provisions of Section 162(m) of the Code, and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provided that either the employee includes that amount in income or we timely satisfy our reporting requirements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with respect to that amount.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  <w:t>Restricted Stock Awards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Generally, the recipient of a restricted stock award will recognize ordinary income at the time the stock is received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equal to the excess, if any, of the fair market value of the stock received over any amount paid by the recipient in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exchange for the stock. If, however, the stock is not vested when it is received (for example, if the employee is required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to work for a period of time in order to have the right to sell the stock), the recipient generally will not recognize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income until the stock becomes vested, at which time the recipient will recognize ordinary income equal to the excess,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if any, of the fair market value of the stock on the date it becomes vested over any amount paid by the recipient in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exchange for the stock. A recipient may, however, file an election with the Internal Revenue Service, within 30 days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following his or her receipt of the stock award, to recognize ordinary income, as of the date the recipient receives the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award, equal to the excess, if any, of the fair market value of the stock on the date the award is granted over any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amount paid by the recipient for the stock.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The recipient’s basis for the determination of gain or loss upon the subsequent disposition of shares acquired from a </w:t>
      </w:r>
    </w:p>
    <w:tbl>
      <w:tblPr>
        <w:tblW w:w="256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176"/>
        <w:gridCol w:w="391"/>
      </w:tblGrid>
      <w:tr>
        <w:trPr/>
        <w:tc>
          <w:tcPr>
            <w:tcW w:w="21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7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40404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404040"/>
                <w:sz w:val="18"/>
                <w:u w:val="none"/>
                <w:effect w:val="none"/>
              </w:rPr>
              <w:t>2026 Proxy Statement</w:t>
            </w:r>
          </w:p>
        </w:tc>
        <w:tc>
          <w:tcPr>
            <w:tcW w:w="39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  <w:t>51</w:t>
            </w:r>
          </w:p>
        </w:tc>
      </w:tr>
    </w:tbl>
    <w:tbl>
      <w:tblPr>
        <w:tblW w:w="880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696"/>
        <w:gridCol w:w="7111"/>
      </w:tblGrid>
      <w:tr>
        <w:trPr/>
        <w:tc>
          <w:tcPr>
            <w:tcW w:w="16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9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6d44722bfc2543dbbba9716d9e560c58_16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color w:val="0000FF"/>
                  <w:sz w:val="18"/>
                  <w:u w:val="single"/>
                </w:rPr>
                <w:t>Table of Contents</w:t>
              </w:r>
            </w:hyperlink>
          </w:p>
        </w:tc>
        <w:tc>
          <w:tcPr>
            <w:tcW w:w="711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 xml:space="preserve">Proposal 3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  <w:t>|</w:t>
            </w: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 xml:space="preserve">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Amendment and Restatement of the 2017 Equity Incentive Plan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restricted stock award will be the amount paid for such shares plus any ordinary income recognized either when the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stock is received or when the stock becomes vested.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Subject to the requirement of reasonableness, the provisions of Section 162(m) of the Code and the satisfaction of a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tax reporting obligation, we will generally be entitled to a tax deduction equal to the taxable ordinary income realized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by the recipient of the restricted stock award.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  <w:t>RSU Awards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Generally, the recipient of an RSU award structured to comply with the requirements of Section 409A of the Code or an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exemption from Section 409A of the Code will recognize ordinary income at the time the stock is delivered equal to the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excess, if any, of the fair market value of the stock received over any amount paid by the recipient in exchange for the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stock. To comply with the requirements of Section 409A of the Code, the stock subject to a restricted stock unit award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may generally only be delivered upon one of the following events: a fixed calendar date (or dates), separation from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service, death, disability or a change in control. If delivery occurs on another date, unless the restricted stock unit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award otherwise complies with or qualifies for an exemption from the requirements of Section 409A of the Code, in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addition to the tax treatment described above, the recipient will owe an additional 20% federal tax and interest on any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taxes owed.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The recipient’s basis for the determination of gain or loss upon the subsequent disposition of shares acquired from an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RSU award will be the amount paid for such shares plus any ordinary income recognized when the stock is delivered.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Subject to the requirement of reasonableness, the provisions of Section 162(m) of the Code and the satisfaction of a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tax reporting obligation, we will generally be entitled to a tax deduction equal to the taxable ordinary income realized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by the recipient of the RSU award.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  <w:t>Stock Appreciation Rights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Generally, if a stock appreciation right is granted with an exercise price equal to the fair market value of the underlying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stock on the grant date, the recipient will recognize ordinary income equal to the fair market value of the stock or cash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received upon such exercise.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Subject to the requirement of reasonableness, the provisions of Section 162(m) of the Code, and the satisfaction of a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tax reporting obligation, we will generally be entitled to a tax deduction equal to the taxable ordinary income realized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by the recipient of the stock appreciation right.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  <w:t>Section 162(m) of the Code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Under Section 162(m) of the Code, compensation paid to any publicly held corporation’s “covered employees” (as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defined under Section 162(m) of the Code) that exceeds $1 million per taxable year for any covered employee is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generally non-deductible. Prior to the enactment of the Tax Cuts and Jobs Act, compensation that qualified as </w:t>
      </w:r>
    </w:p>
    <w:p>
      <w:pPr>
        <w:pStyle w:val="TextBody"/>
        <w:bidi w:val="0"/>
        <w:spacing w:lineRule="atLeast" w:line="200" w:before="0" w:after="0"/>
        <w:jc w:val="left"/>
        <w:rPr>
          <w:caps w:val="false"/>
          <w:smallCaps w:val="false"/>
          <w:strike w:val="false"/>
          <w:dstrike w:val="false"/>
          <w:color w:val="3F3F3F"/>
          <w:u w:val="none"/>
          <w:effect w:val="none"/>
        </w:rPr>
      </w:pPr>
      <w:r>
        <w:rPr>
          <w:caps w:val="false"/>
          <w:smallCaps w:val="false"/>
          <w:strike w:val="false"/>
          <w:dstrike w:val="false"/>
          <w:color w:val="3F3F3F"/>
          <w:u w:val="none"/>
          <w:effect w:val="none"/>
        </w:rPr>
        <w:t>“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performance-based compensation” under Section 162(m) of the Code was not subject to this deduction limitation.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Pursuant to the Tax Cuts and Jobs Act, this exception for “performance-based compensation” under Section 162(m) of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the Code was repealed with respect to taxable years beginning after December 31, 2017, except that certain transition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relief is provided for remuneration provided pursuant to a written binding contract which was in effect on November 2,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2017 and which was not modified in any material respect on or after such date. As a result, compensation paid to any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of our “covered employees” in excess of $1 million per taxable year generally will not be deductible unless, among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other requirements, it is intended to qualify, and is eligible to qualify, as “performance-based compensation” under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Section 162(m) of the Code pursuant to the transition relief described above. Because of certain ambiguities and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uncertainties as to the application and interpretation of Section 162(m) of the Code, as well as other factors beyond the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control of the Compensation Committee, no assurance can be given that any award granted under the Amended 2017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Plan will be eligible for such transition relief and, therefore, eligible for the “performance-based compensation”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exception under Section 162(m) of the Code.</w:t>
      </w:r>
    </w:p>
    <w:tbl>
      <w:tblPr>
        <w:tblW w:w="174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61"/>
        <w:gridCol w:w="1381"/>
      </w:tblGrid>
      <w:tr>
        <w:trPr/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  <w:t>52</w:t>
            </w:r>
          </w:p>
        </w:tc>
        <w:tc>
          <w:tcPr>
            <w:tcW w:w="138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Exelixis, Inc.</w:t>
            </w:r>
          </w:p>
        </w:tc>
      </w:tr>
    </w:tbl>
    <w:tbl>
      <w:tblPr>
        <w:tblW w:w="1741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741"/>
      </w:tblGrid>
      <w:tr>
        <w:trPr/>
        <w:tc>
          <w:tcPr>
            <w:tcW w:w="17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4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6d44722bfc2543dbbba9716d9e560c58_16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color w:val="0000FF"/>
                  <w:sz w:val="18"/>
                  <w:u w:val="single"/>
                </w:rPr>
                <w:t>Table of Contents</w:t>
              </w:r>
            </w:hyperlink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</w:pPr>
      <w:r>
        <w:rPr>
          <w:rFonts w:ascii="sans-serif" w:hAnsi="sans-serif"/>
          <w:b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  <w:t xml:space="preserve">New Plan Benefits under Amended 2017 Plan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</w:pPr>
      <w:r>
        <w:rPr>
          <w:rFonts w:ascii="sans-serif" w:hAnsi="sans-serif"/>
          <w:b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  <w:t xml:space="preserve">Amended 2017 Plan </w:t>
      </w: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665"/>
        <w:gridCol w:w="1745"/>
        <w:gridCol w:w="1795"/>
      </w:tblGrid>
      <w:tr>
        <w:trPr/>
        <w:tc>
          <w:tcPr>
            <w:tcW w:w="666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9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6665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Name and Position</w:t>
            </w:r>
          </w:p>
        </w:tc>
        <w:tc>
          <w:tcPr>
            <w:tcW w:w="1745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Dollar Value</w:t>
            </w:r>
          </w:p>
        </w:tc>
        <w:tc>
          <w:tcPr>
            <w:tcW w:w="1795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Number of Shares</w:t>
            </w:r>
          </w:p>
        </w:tc>
      </w:tr>
      <w:tr>
        <w:trPr/>
        <w:tc>
          <w:tcPr>
            <w:tcW w:w="6665" w:type="dxa"/>
            <w:tcBorders>
              <w:bottom w:val="single" w:sz="4" w:space="0" w:color="B6B6B6"/>
            </w:tcBorders>
            <w:shd w:fill="E5E5E5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Michael M. Morrissey, Ph.D. </w:t>
            </w:r>
          </w:p>
        </w:tc>
        <w:tc>
          <w:tcPr>
            <w:tcW w:w="1745" w:type="dxa"/>
            <w:tcBorders>
              <w:bottom w:val="single" w:sz="4" w:space="0" w:color="B6B6B6"/>
            </w:tcBorders>
            <w:shd w:fill="E5E5E5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(1)</w:t>
            </w:r>
          </w:p>
        </w:tc>
        <w:tc>
          <w:tcPr>
            <w:tcW w:w="1795" w:type="dxa"/>
            <w:tcBorders>
              <w:bottom w:val="single" w:sz="4" w:space="0" w:color="B6B6B6"/>
            </w:tcBorders>
            <w:shd w:fill="E5E5E5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(1)</w:t>
            </w:r>
          </w:p>
        </w:tc>
      </w:tr>
      <w:tr>
        <w:trPr/>
        <w:tc>
          <w:tcPr>
            <w:tcW w:w="6665" w:type="dxa"/>
            <w:tcBorders>
              <w:top w:val="single" w:sz="4" w:space="0" w:color="B6B6B6"/>
              <w:bottom w:val="single" w:sz="4" w:space="0" w:color="B6B6B6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President and Chief Executive Officer</w:t>
            </w:r>
          </w:p>
        </w:tc>
        <w:tc>
          <w:tcPr>
            <w:tcW w:w="1745" w:type="dxa"/>
            <w:tcBorders>
              <w:top w:val="single" w:sz="4" w:space="0" w:color="B6B6B6"/>
              <w:bottom w:val="single" w:sz="4" w:space="0" w:color="B6B6B6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95" w:type="dxa"/>
            <w:tcBorders>
              <w:top w:val="single" w:sz="4" w:space="0" w:color="B6B6B6"/>
              <w:bottom w:val="single" w:sz="4" w:space="0" w:color="B6B6B6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6665" w:type="dxa"/>
            <w:tcBorders>
              <w:top w:val="single" w:sz="4" w:space="0" w:color="B6B6B6"/>
              <w:bottom w:val="single" w:sz="4" w:space="0" w:color="B6B6B6"/>
            </w:tcBorders>
            <w:shd w:fill="E5E5E5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Christopher J. Senner </w:t>
            </w:r>
          </w:p>
        </w:tc>
        <w:tc>
          <w:tcPr>
            <w:tcW w:w="1745" w:type="dxa"/>
            <w:tcBorders>
              <w:top w:val="single" w:sz="4" w:space="0" w:color="B6B6B6"/>
              <w:bottom w:val="single" w:sz="4" w:space="0" w:color="B6B6B6"/>
            </w:tcBorders>
            <w:shd w:fill="E5E5E5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(1)</w:t>
            </w:r>
          </w:p>
        </w:tc>
        <w:tc>
          <w:tcPr>
            <w:tcW w:w="1795" w:type="dxa"/>
            <w:tcBorders>
              <w:top w:val="single" w:sz="4" w:space="0" w:color="B6B6B6"/>
              <w:bottom w:val="single" w:sz="4" w:space="0" w:color="B6B6B6"/>
            </w:tcBorders>
            <w:shd w:fill="E5E5E5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(1)</w:t>
            </w:r>
          </w:p>
        </w:tc>
      </w:tr>
      <w:tr>
        <w:trPr/>
        <w:tc>
          <w:tcPr>
            <w:tcW w:w="6665" w:type="dxa"/>
            <w:tcBorders>
              <w:top w:val="single" w:sz="4" w:space="0" w:color="B6B6B6"/>
              <w:bottom w:val="single" w:sz="4" w:space="0" w:color="B6B6B6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Executive Vice President and Chief Financial Officer</w:t>
            </w:r>
          </w:p>
        </w:tc>
        <w:tc>
          <w:tcPr>
            <w:tcW w:w="1745" w:type="dxa"/>
            <w:tcBorders>
              <w:top w:val="single" w:sz="4" w:space="0" w:color="B6B6B6"/>
              <w:bottom w:val="single" w:sz="4" w:space="0" w:color="B6B6B6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95" w:type="dxa"/>
            <w:tcBorders>
              <w:top w:val="single" w:sz="4" w:space="0" w:color="B6B6B6"/>
              <w:bottom w:val="single" w:sz="4" w:space="0" w:color="B6B6B6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6665" w:type="dxa"/>
            <w:tcBorders>
              <w:top w:val="single" w:sz="4" w:space="0" w:color="B6B6B6"/>
              <w:bottom w:val="single" w:sz="4" w:space="0" w:color="B6B6B6"/>
            </w:tcBorders>
            <w:shd w:fill="E5E5E5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Dana Aftab, Ph.D. </w:t>
            </w:r>
          </w:p>
        </w:tc>
        <w:tc>
          <w:tcPr>
            <w:tcW w:w="1745" w:type="dxa"/>
            <w:tcBorders>
              <w:top w:val="single" w:sz="4" w:space="0" w:color="B6B6B6"/>
              <w:bottom w:val="single" w:sz="4" w:space="0" w:color="B6B6B6"/>
            </w:tcBorders>
            <w:shd w:fill="E5E5E5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(1)</w:t>
            </w:r>
          </w:p>
        </w:tc>
        <w:tc>
          <w:tcPr>
            <w:tcW w:w="1795" w:type="dxa"/>
            <w:tcBorders>
              <w:top w:val="single" w:sz="4" w:space="0" w:color="B6B6B6"/>
              <w:bottom w:val="single" w:sz="4" w:space="0" w:color="B6B6B6"/>
            </w:tcBorders>
            <w:shd w:fill="E5E5E5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(1)</w:t>
            </w:r>
          </w:p>
        </w:tc>
      </w:tr>
      <w:tr>
        <w:trPr/>
        <w:tc>
          <w:tcPr>
            <w:tcW w:w="6665" w:type="dxa"/>
            <w:tcBorders>
              <w:top w:val="single" w:sz="4" w:space="0" w:color="B6B6B6"/>
              <w:bottom w:val="single" w:sz="4" w:space="0" w:color="B6B6B6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Executive Vice President, Research and Development</w:t>
            </w:r>
          </w:p>
        </w:tc>
        <w:tc>
          <w:tcPr>
            <w:tcW w:w="1745" w:type="dxa"/>
            <w:tcBorders>
              <w:top w:val="single" w:sz="4" w:space="0" w:color="B6B6B6"/>
              <w:bottom w:val="single" w:sz="4" w:space="0" w:color="B6B6B6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95" w:type="dxa"/>
            <w:tcBorders>
              <w:top w:val="single" w:sz="4" w:space="0" w:color="B6B6B6"/>
              <w:bottom w:val="single" w:sz="4" w:space="0" w:color="B6B6B6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6665" w:type="dxa"/>
            <w:tcBorders>
              <w:top w:val="single" w:sz="4" w:space="0" w:color="B6B6B6"/>
              <w:bottom w:val="single" w:sz="4" w:space="0" w:color="B6B6B6"/>
            </w:tcBorders>
            <w:shd w:fill="E5E5E5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Patrick J. Haley</w:t>
            </w:r>
          </w:p>
        </w:tc>
        <w:tc>
          <w:tcPr>
            <w:tcW w:w="1745" w:type="dxa"/>
            <w:tcBorders>
              <w:top w:val="single" w:sz="4" w:space="0" w:color="B6B6B6"/>
              <w:bottom w:val="single" w:sz="4" w:space="0" w:color="B6B6B6"/>
            </w:tcBorders>
            <w:shd w:fill="E5E5E5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(1)</w:t>
            </w:r>
          </w:p>
        </w:tc>
        <w:tc>
          <w:tcPr>
            <w:tcW w:w="1795" w:type="dxa"/>
            <w:tcBorders>
              <w:top w:val="single" w:sz="4" w:space="0" w:color="B6B6B6"/>
              <w:bottom w:val="single" w:sz="4" w:space="0" w:color="B6B6B6"/>
            </w:tcBorders>
            <w:shd w:fill="E5E5E5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(1)</w:t>
            </w:r>
          </w:p>
        </w:tc>
      </w:tr>
      <w:tr>
        <w:trPr/>
        <w:tc>
          <w:tcPr>
            <w:tcW w:w="6665" w:type="dxa"/>
            <w:tcBorders>
              <w:top w:val="single" w:sz="4" w:space="0" w:color="B6B6B6"/>
              <w:bottom w:val="single" w:sz="4" w:space="0" w:color="B6B6B6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Executive Vice President, Commercial</w:t>
            </w:r>
          </w:p>
        </w:tc>
        <w:tc>
          <w:tcPr>
            <w:tcW w:w="1745" w:type="dxa"/>
            <w:tcBorders>
              <w:top w:val="single" w:sz="4" w:space="0" w:color="B6B6B6"/>
              <w:bottom w:val="single" w:sz="4" w:space="0" w:color="B6B6B6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95" w:type="dxa"/>
            <w:tcBorders>
              <w:top w:val="single" w:sz="4" w:space="0" w:color="B6B6B6"/>
              <w:bottom w:val="single" w:sz="4" w:space="0" w:color="B6B6B6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6665" w:type="dxa"/>
            <w:tcBorders>
              <w:top w:val="single" w:sz="4" w:space="0" w:color="B6B6B6"/>
              <w:bottom w:val="single" w:sz="4" w:space="0" w:color="B6B6B6"/>
            </w:tcBorders>
            <w:shd w:fill="E5E5E5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Brenda J. Hefti, J.D., Ph.D. </w:t>
            </w:r>
          </w:p>
        </w:tc>
        <w:tc>
          <w:tcPr>
            <w:tcW w:w="1745" w:type="dxa"/>
            <w:tcBorders>
              <w:top w:val="single" w:sz="4" w:space="0" w:color="B6B6B6"/>
              <w:bottom w:val="single" w:sz="4" w:space="0" w:color="B6B6B6"/>
            </w:tcBorders>
            <w:shd w:fill="E5E5E5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(1)</w:t>
            </w:r>
          </w:p>
        </w:tc>
        <w:tc>
          <w:tcPr>
            <w:tcW w:w="1795" w:type="dxa"/>
            <w:tcBorders>
              <w:top w:val="single" w:sz="4" w:space="0" w:color="B6B6B6"/>
              <w:bottom w:val="single" w:sz="4" w:space="0" w:color="B6B6B6"/>
            </w:tcBorders>
            <w:shd w:fill="E5E5E5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(1)</w:t>
            </w:r>
          </w:p>
        </w:tc>
      </w:tr>
      <w:tr>
        <w:trPr/>
        <w:tc>
          <w:tcPr>
            <w:tcW w:w="6665" w:type="dxa"/>
            <w:tcBorders>
              <w:top w:val="single" w:sz="4" w:space="0" w:color="B6B6B6"/>
              <w:bottom w:val="single" w:sz="4" w:space="0" w:color="B6B6B6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Senior Vice President and General Counsel</w:t>
            </w:r>
          </w:p>
        </w:tc>
        <w:tc>
          <w:tcPr>
            <w:tcW w:w="1745" w:type="dxa"/>
            <w:tcBorders>
              <w:top w:val="single" w:sz="4" w:space="0" w:color="B6B6B6"/>
              <w:bottom w:val="single" w:sz="4" w:space="0" w:color="B6B6B6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95" w:type="dxa"/>
            <w:tcBorders>
              <w:top w:val="single" w:sz="4" w:space="0" w:color="B6B6B6"/>
              <w:bottom w:val="single" w:sz="4" w:space="0" w:color="B6B6B6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6665" w:type="dxa"/>
            <w:tcBorders>
              <w:top w:val="single" w:sz="4" w:space="0" w:color="B6B6B6"/>
              <w:bottom w:val="single" w:sz="4" w:space="0" w:color="B6B6B6"/>
            </w:tcBorders>
            <w:shd w:fill="E5E5E5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  <w:shd w:fill="E5E5E5" w:val="clear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  <w:shd w:fill="E5E5E5" w:val="clear"/>
              </w:rPr>
              <w:t>All current executive officers as a group</w:t>
            </w:r>
          </w:p>
        </w:tc>
        <w:tc>
          <w:tcPr>
            <w:tcW w:w="1745" w:type="dxa"/>
            <w:tcBorders>
              <w:top w:val="single" w:sz="4" w:space="0" w:color="B6B6B6"/>
              <w:bottom w:val="single" w:sz="4" w:space="0" w:color="B6B6B6"/>
            </w:tcBorders>
            <w:shd w:fill="E5E5E5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95" w:type="dxa"/>
            <w:tcBorders>
              <w:top w:val="single" w:sz="4" w:space="0" w:color="B6B6B6"/>
              <w:bottom w:val="single" w:sz="4" w:space="0" w:color="B6B6B6"/>
            </w:tcBorders>
            <w:shd w:fill="E5E5E5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6665" w:type="dxa"/>
            <w:tcBorders>
              <w:top w:val="single" w:sz="4" w:space="0" w:color="B6B6B6"/>
              <w:bottom w:val="single" w:sz="4" w:space="0" w:color="B6B6B6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All current directors who are not executive officers as a group </w:t>
            </w:r>
          </w:p>
        </w:tc>
        <w:tc>
          <w:tcPr>
            <w:tcW w:w="1745" w:type="dxa"/>
            <w:tcBorders>
              <w:top w:val="single" w:sz="4" w:space="0" w:color="B6B6B6"/>
              <w:bottom w:val="single" w:sz="4" w:space="0" w:color="B6B6B6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$4,000,000 per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calendar year</w:t>
            </w:r>
          </w:p>
        </w:tc>
        <w:tc>
          <w:tcPr>
            <w:tcW w:w="1795" w:type="dxa"/>
            <w:tcBorders>
              <w:top w:val="single" w:sz="4" w:space="0" w:color="B6B6B6"/>
              <w:bottom w:val="single" w:sz="4" w:space="0" w:color="B6B6B6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(2)</w:t>
            </w:r>
          </w:p>
        </w:tc>
      </w:tr>
      <w:tr>
        <w:trPr/>
        <w:tc>
          <w:tcPr>
            <w:tcW w:w="6665" w:type="dxa"/>
            <w:tcBorders>
              <w:top w:val="single" w:sz="4" w:space="0" w:color="B6B6B6"/>
              <w:bottom w:val="single" w:sz="8" w:space="0" w:color="F47521"/>
            </w:tcBorders>
            <w:shd w:fill="E5E5E5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All employees, including all current officers who are not executive officers, as a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group </w:t>
            </w:r>
          </w:p>
        </w:tc>
        <w:tc>
          <w:tcPr>
            <w:tcW w:w="1745" w:type="dxa"/>
            <w:tcBorders>
              <w:top w:val="single" w:sz="4" w:space="0" w:color="B6B6B6"/>
              <w:bottom w:val="single" w:sz="8" w:space="0" w:color="F47521"/>
            </w:tcBorders>
            <w:shd w:fill="E5E5E5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(1)</w:t>
            </w:r>
          </w:p>
        </w:tc>
        <w:tc>
          <w:tcPr>
            <w:tcW w:w="1795" w:type="dxa"/>
            <w:tcBorders>
              <w:top w:val="single" w:sz="4" w:space="0" w:color="B6B6B6"/>
              <w:bottom w:val="single" w:sz="8" w:space="0" w:color="F47521"/>
            </w:tcBorders>
            <w:shd w:fill="E5E5E5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(1)</w:t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(1)Awards granted under the Amended 2017 Plan to our executive officers and other employees are discretionary and are not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subject to set benefits or amounts under the terms of the Amended 2017 Plan, and the Board and the Compensation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Committee have not granted any awards under the Amended 2017 Plan subject to stockholder approval of this Proposal 3.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Accordingly, the benefits or amounts that will be received by or allocated to our executive officers and other employees under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the Amended 2017 Plan are not determinable.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(2)Awards granted under the Amended 2017 Plan to our non-employee directors are discretionary and are not subject to set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>benefits or amounts under the terms of the Amended 2017 Plan. However, pursuant to our equity compensation policy for non-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employee directors, each of our current non-employee directors automatically will be granted annual awards in the form of a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stock option and RSU award (or in the form of a stock option or RSU award only, if elected by such individual) on the day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following each of our annual meetings of stockholders, provided that such individual is a non-employee director on such date.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The total dollar value of each non-employee director’s annual awards will be $400,000. The number of shares of our common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stock subject to each such award will be based on the valuation methodology established by the Board, which is in part based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on the average of the daily closing sale prices of our common stock during the 30-calendar day period prior to the grant date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and, therefore, is not determinable at this time. On and after the date of the Annual Meeting, any such awards will be granted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under the Amended 2017 Plan if this Proposal 3 is approved by our stockholders. For additional information regarding our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equity compensation policy for non-employee directors, see the “Compensation of Directors” section above. </w:t>
      </w:r>
    </w:p>
    <w:tbl>
      <w:tblPr>
        <w:tblW w:w="256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176"/>
        <w:gridCol w:w="391"/>
      </w:tblGrid>
      <w:tr>
        <w:trPr/>
        <w:tc>
          <w:tcPr>
            <w:tcW w:w="21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7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40404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404040"/>
                <w:sz w:val="18"/>
                <w:u w:val="none"/>
                <w:effect w:val="none"/>
              </w:rPr>
              <w:t>2026 Proxy Statement</w:t>
            </w:r>
          </w:p>
        </w:tc>
        <w:tc>
          <w:tcPr>
            <w:tcW w:w="39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  <w:t>53</w:t>
            </w:r>
          </w:p>
        </w:tc>
      </w:tr>
    </w:tbl>
    <w:tbl>
      <w:tblPr>
        <w:tblW w:w="880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696"/>
        <w:gridCol w:w="7111"/>
      </w:tblGrid>
      <w:tr>
        <w:trPr/>
        <w:tc>
          <w:tcPr>
            <w:tcW w:w="16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9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6d44722bfc2543dbbba9716d9e560c58_16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color w:val="0000FF"/>
                  <w:sz w:val="18"/>
                  <w:u w:val="single"/>
                </w:rPr>
                <w:t>Table of Contents</w:t>
              </w:r>
            </w:hyperlink>
          </w:p>
        </w:tc>
        <w:tc>
          <w:tcPr>
            <w:tcW w:w="711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 xml:space="preserve">Proposal 3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  <w:t>|</w:t>
            </w: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 xml:space="preserve">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Amendment and Restatement of the 2017 Equity Incentive Plan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  <w:t xml:space="preserve">Additional Plan Information of the 2017 Plan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The following table sets forth, for each of the individuals and the various groups indicated, the total number of shares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of our common stock subject to outstanding awards that have been granted under the 2017 Plan since its approval by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our stockholders in 2017 through the Record Date. </w:t>
      </w: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62"/>
        <w:gridCol w:w="1446"/>
        <w:gridCol w:w="1797"/>
      </w:tblGrid>
      <w:tr>
        <w:trPr/>
        <w:tc>
          <w:tcPr>
            <w:tcW w:w="696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9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6962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Name and Position</w:t>
            </w:r>
          </w:p>
        </w:tc>
        <w:tc>
          <w:tcPr>
            <w:tcW w:w="1446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 xml:space="preserve">Outstanding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Options</w:t>
            </w:r>
          </w:p>
        </w:tc>
        <w:tc>
          <w:tcPr>
            <w:tcW w:w="1797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 xml:space="preserve">Outstanding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Stock Awards (1)</w:t>
            </w:r>
          </w:p>
        </w:tc>
      </w:tr>
      <w:tr>
        <w:trPr/>
        <w:tc>
          <w:tcPr>
            <w:tcW w:w="6962" w:type="dxa"/>
            <w:tcBorders>
              <w:bottom w:val="single" w:sz="4" w:space="0" w:color="B6B6B6"/>
            </w:tcBorders>
            <w:shd w:fill="E5E5E5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Michael M. Morrissey, Ph.D.</w:t>
            </w:r>
          </w:p>
        </w:tc>
        <w:tc>
          <w:tcPr>
            <w:tcW w:w="1446" w:type="dxa"/>
            <w:tcBorders>
              <w:bottom w:val="single" w:sz="4" w:space="0" w:color="B6B6B6"/>
            </w:tcBorders>
            <w:shd w:fill="E5E5E5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1797" w:type="dxa"/>
            <w:tcBorders>
              <w:bottom w:val="single" w:sz="4" w:space="0" w:color="B6B6B6"/>
            </w:tcBorders>
            <w:shd w:fill="E5E5E5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2,201,568</w:t>
            </w:r>
          </w:p>
        </w:tc>
      </w:tr>
      <w:tr>
        <w:trPr/>
        <w:tc>
          <w:tcPr>
            <w:tcW w:w="6962" w:type="dxa"/>
            <w:tcBorders>
              <w:top w:val="single" w:sz="4" w:space="0" w:color="B6B6B6"/>
              <w:bottom w:val="single" w:sz="4" w:space="0" w:color="B6B6B6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President and Chief Executive Officer</w:t>
            </w:r>
          </w:p>
        </w:tc>
        <w:tc>
          <w:tcPr>
            <w:tcW w:w="1446" w:type="dxa"/>
            <w:tcBorders>
              <w:top w:val="single" w:sz="4" w:space="0" w:color="B6B6B6"/>
              <w:bottom w:val="single" w:sz="4" w:space="0" w:color="B6B6B6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97" w:type="dxa"/>
            <w:tcBorders>
              <w:top w:val="single" w:sz="4" w:space="0" w:color="B6B6B6"/>
              <w:bottom w:val="single" w:sz="4" w:space="0" w:color="B6B6B6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6962" w:type="dxa"/>
            <w:tcBorders>
              <w:top w:val="single" w:sz="4" w:space="0" w:color="B6B6B6"/>
              <w:bottom w:val="single" w:sz="4" w:space="0" w:color="B6B6B6"/>
            </w:tcBorders>
            <w:shd w:fill="E5E5E5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Christopher J. Senner</w:t>
            </w:r>
          </w:p>
        </w:tc>
        <w:tc>
          <w:tcPr>
            <w:tcW w:w="1446" w:type="dxa"/>
            <w:tcBorders>
              <w:top w:val="single" w:sz="4" w:space="0" w:color="B6B6B6"/>
              <w:bottom w:val="single" w:sz="4" w:space="0" w:color="B6B6B6"/>
            </w:tcBorders>
            <w:shd w:fill="E5E5E5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1797" w:type="dxa"/>
            <w:tcBorders>
              <w:top w:val="single" w:sz="4" w:space="0" w:color="B6B6B6"/>
              <w:bottom w:val="single" w:sz="4" w:space="0" w:color="B6B6B6"/>
            </w:tcBorders>
            <w:shd w:fill="E5E5E5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673,495</w:t>
            </w:r>
          </w:p>
        </w:tc>
      </w:tr>
      <w:tr>
        <w:trPr/>
        <w:tc>
          <w:tcPr>
            <w:tcW w:w="6962" w:type="dxa"/>
            <w:tcBorders>
              <w:top w:val="single" w:sz="4" w:space="0" w:color="B6B6B6"/>
              <w:bottom w:val="single" w:sz="4" w:space="0" w:color="B6B6B6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Executive Vice President and Chief Financial Officer</w:t>
            </w:r>
          </w:p>
        </w:tc>
        <w:tc>
          <w:tcPr>
            <w:tcW w:w="1446" w:type="dxa"/>
            <w:tcBorders>
              <w:top w:val="single" w:sz="4" w:space="0" w:color="B6B6B6"/>
              <w:bottom w:val="single" w:sz="4" w:space="0" w:color="B6B6B6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97" w:type="dxa"/>
            <w:tcBorders>
              <w:top w:val="single" w:sz="4" w:space="0" w:color="B6B6B6"/>
              <w:bottom w:val="single" w:sz="4" w:space="0" w:color="B6B6B6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6962" w:type="dxa"/>
            <w:tcBorders>
              <w:top w:val="single" w:sz="4" w:space="0" w:color="B6B6B6"/>
              <w:bottom w:val="single" w:sz="4" w:space="0" w:color="B6B6B6"/>
            </w:tcBorders>
            <w:shd w:fill="E5E5E5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Dana Aftab, Ph.D. </w:t>
            </w:r>
          </w:p>
        </w:tc>
        <w:tc>
          <w:tcPr>
            <w:tcW w:w="1446" w:type="dxa"/>
            <w:tcBorders>
              <w:top w:val="single" w:sz="4" w:space="0" w:color="B6B6B6"/>
              <w:bottom w:val="single" w:sz="4" w:space="0" w:color="B6B6B6"/>
            </w:tcBorders>
            <w:shd w:fill="E5E5E5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1797" w:type="dxa"/>
            <w:tcBorders>
              <w:top w:val="single" w:sz="4" w:space="0" w:color="B6B6B6"/>
              <w:bottom w:val="single" w:sz="4" w:space="0" w:color="B6B6B6"/>
            </w:tcBorders>
            <w:shd w:fill="E5E5E5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630,638</w:t>
            </w:r>
          </w:p>
        </w:tc>
      </w:tr>
      <w:tr>
        <w:trPr/>
        <w:tc>
          <w:tcPr>
            <w:tcW w:w="6962" w:type="dxa"/>
            <w:tcBorders>
              <w:top w:val="single" w:sz="4" w:space="0" w:color="B6B6B6"/>
              <w:bottom w:val="single" w:sz="4" w:space="0" w:color="B6B6B6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Executive Vice President, Research and Development</w:t>
            </w:r>
          </w:p>
        </w:tc>
        <w:tc>
          <w:tcPr>
            <w:tcW w:w="1446" w:type="dxa"/>
            <w:tcBorders>
              <w:top w:val="single" w:sz="4" w:space="0" w:color="B6B6B6"/>
              <w:bottom w:val="single" w:sz="4" w:space="0" w:color="B6B6B6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97" w:type="dxa"/>
            <w:tcBorders>
              <w:top w:val="single" w:sz="4" w:space="0" w:color="B6B6B6"/>
              <w:bottom w:val="single" w:sz="4" w:space="0" w:color="B6B6B6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6962" w:type="dxa"/>
            <w:tcBorders>
              <w:top w:val="single" w:sz="4" w:space="0" w:color="B6B6B6"/>
              <w:bottom w:val="single" w:sz="4" w:space="0" w:color="B6B6B6"/>
            </w:tcBorders>
            <w:shd w:fill="E5E5E5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Patrick J. Haley</w:t>
            </w:r>
          </w:p>
        </w:tc>
        <w:tc>
          <w:tcPr>
            <w:tcW w:w="1446" w:type="dxa"/>
            <w:tcBorders>
              <w:top w:val="single" w:sz="4" w:space="0" w:color="B6B6B6"/>
              <w:bottom w:val="single" w:sz="4" w:space="0" w:color="B6B6B6"/>
            </w:tcBorders>
            <w:shd w:fill="E5E5E5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1797" w:type="dxa"/>
            <w:tcBorders>
              <w:top w:val="single" w:sz="4" w:space="0" w:color="B6B6B6"/>
              <w:bottom w:val="single" w:sz="4" w:space="0" w:color="B6B6B6"/>
            </w:tcBorders>
            <w:shd w:fill="E5E5E5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573,894</w:t>
            </w:r>
          </w:p>
        </w:tc>
      </w:tr>
      <w:tr>
        <w:trPr/>
        <w:tc>
          <w:tcPr>
            <w:tcW w:w="6962" w:type="dxa"/>
            <w:tcBorders>
              <w:top w:val="single" w:sz="4" w:space="0" w:color="B6B6B6"/>
              <w:bottom w:val="single" w:sz="4" w:space="0" w:color="B6B6B6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Executive Vice President, Commercial</w:t>
            </w:r>
          </w:p>
        </w:tc>
        <w:tc>
          <w:tcPr>
            <w:tcW w:w="1446" w:type="dxa"/>
            <w:tcBorders>
              <w:top w:val="single" w:sz="4" w:space="0" w:color="B6B6B6"/>
              <w:bottom w:val="single" w:sz="4" w:space="0" w:color="B6B6B6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97" w:type="dxa"/>
            <w:tcBorders>
              <w:top w:val="single" w:sz="4" w:space="0" w:color="B6B6B6"/>
              <w:bottom w:val="single" w:sz="4" w:space="0" w:color="B6B6B6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6962" w:type="dxa"/>
            <w:tcBorders>
              <w:top w:val="single" w:sz="4" w:space="0" w:color="B6B6B6"/>
              <w:bottom w:val="single" w:sz="4" w:space="0" w:color="B6B6B6"/>
            </w:tcBorders>
            <w:shd w:fill="E5E5E5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Brenda J. Hefti, J.D., Ph.D.</w:t>
            </w:r>
          </w:p>
        </w:tc>
        <w:tc>
          <w:tcPr>
            <w:tcW w:w="1446" w:type="dxa"/>
            <w:tcBorders>
              <w:top w:val="single" w:sz="4" w:space="0" w:color="B6B6B6"/>
              <w:bottom w:val="single" w:sz="4" w:space="0" w:color="B6B6B6"/>
            </w:tcBorders>
            <w:shd w:fill="E5E5E5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1797" w:type="dxa"/>
            <w:tcBorders>
              <w:top w:val="single" w:sz="4" w:space="0" w:color="B6B6B6"/>
              <w:bottom w:val="single" w:sz="4" w:space="0" w:color="B6B6B6"/>
            </w:tcBorders>
            <w:shd w:fill="E5E5E5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171,240</w:t>
            </w:r>
          </w:p>
        </w:tc>
      </w:tr>
      <w:tr>
        <w:trPr/>
        <w:tc>
          <w:tcPr>
            <w:tcW w:w="6962" w:type="dxa"/>
            <w:tcBorders>
              <w:top w:val="single" w:sz="4" w:space="0" w:color="B6B6B6"/>
              <w:bottom w:val="single" w:sz="4" w:space="0" w:color="B6B6B6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Senior Vice President and General Counsel</w:t>
            </w:r>
          </w:p>
        </w:tc>
        <w:tc>
          <w:tcPr>
            <w:tcW w:w="1446" w:type="dxa"/>
            <w:tcBorders>
              <w:top w:val="single" w:sz="4" w:space="0" w:color="B6B6B6"/>
              <w:bottom w:val="single" w:sz="4" w:space="0" w:color="B6B6B6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97" w:type="dxa"/>
            <w:tcBorders>
              <w:top w:val="single" w:sz="4" w:space="0" w:color="B6B6B6"/>
              <w:bottom w:val="single" w:sz="4" w:space="0" w:color="B6B6B6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6962" w:type="dxa"/>
            <w:tcBorders>
              <w:top w:val="single" w:sz="4" w:space="0" w:color="B6B6B6"/>
              <w:bottom w:val="single" w:sz="4" w:space="0" w:color="B6B6B6"/>
            </w:tcBorders>
            <w:shd w:fill="E5E5E5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All current executive officers as a group</w:t>
            </w:r>
          </w:p>
        </w:tc>
        <w:tc>
          <w:tcPr>
            <w:tcW w:w="1446" w:type="dxa"/>
            <w:tcBorders>
              <w:top w:val="single" w:sz="4" w:space="0" w:color="B6B6B6"/>
              <w:bottom w:val="single" w:sz="4" w:space="0" w:color="B6B6B6"/>
            </w:tcBorders>
            <w:shd w:fill="E5E5E5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1797" w:type="dxa"/>
            <w:tcBorders>
              <w:top w:val="single" w:sz="4" w:space="0" w:color="B6B6B6"/>
              <w:bottom w:val="single" w:sz="4" w:space="0" w:color="B6B6B6"/>
            </w:tcBorders>
            <w:shd w:fill="E5E5E5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4,250,835</w:t>
            </w:r>
          </w:p>
        </w:tc>
      </w:tr>
      <w:tr>
        <w:trPr/>
        <w:tc>
          <w:tcPr>
            <w:tcW w:w="6962" w:type="dxa"/>
            <w:tcBorders>
              <w:top w:val="single" w:sz="4" w:space="0" w:color="B6B6B6"/>
              <w:bottom w:val="single" w:sz="4" w:space="0" w:color="B6B6B6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All current directors who are not executive officers as a group</w:t>
            </w:r>
          </w:p>
        </w:tc>
        <w:tc>
          <w:tcPr>
            <w:tcW w:w="1446" w:type="dxa"/>
            <w:tcBorders>
              <w:top w:val="single" w:sz="4" w:space="0" w:color="B6B6B6"/>
              <w:bottom w:val="single" w:sz="4" w:space="0" w:color="B6B6B6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273,643</w:t>
            </w:r>
          </w:p>
        </w:tc>
        <w:tc>
          <w:tcPr>
            <w:tcW w:w="1797" w:type="dxa"/>
            <w:tcBorders>
              <w:top w:val="single" w:sz="4" w:space="0" w:color="B6B6B6"/>
              <w:bottom w:val="single" w:sz="4" w:space="0" w:color="B6B6B6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130,996</w:t>
            </w:r>
          </w:p>
        </w:tc>
      </w:tr>
      <w:tr>
        <w:trPr/>
        <w:tc>
          <w:tcPr>
            <w:tcW w:w="6962" w:type="dxa"/>
            <w:tcBorders>
              <w:top w:val="single" w:sz="4" w:space="0" w:color="B6B6B6"/>
              <w:bottom w:val="single" w:sz="4" w:space="0" w:color="B6B6B6"/>
            </w:tcBorders>
            <w:shd w:fill="E5E5E5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Each nominee for election as a director</w:t>
            </w:r>
          </w:p>
        </w:tc>
        <w:tc>
          <w:tcPr>
            <w:tcW w:w="1446" w:type="dxa"/>
            <w:tcBorders>
              <w:top w:val="single" w:sz="4" w:space="0" w:color="B6B6B6"/>
              <w:bottom w:val="single" w:sz="4" w:space="0" w:color="B6B6B6"/>
            </w:tcBorders>
            <w:shd w:fill="E5E5E5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1797" w:type="dxa"/>
            <w:tcBorders>
              <w:top w:val="single" w:sz="4" w:space="0" w:color="B6B6B6"/>
              <w:bottom w:val="single" w:sz="4" w:space="0" w:color="B6B6B6"/>
            </w:tcBorders>
            <w:shd w:fill="E5E5E5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6962" w:type="dxa"/>
            <w:tcBorders>
              <w:top w:val="single" w:sz="4" w:space="0" w:color="B6B6B6"/>
              <w:bottom w:val="single" w:sz="4" w:space="0" w:color="B6B6B6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Mary C. Beckerle, Ph.D.</w:t>
            </w:r>
          </w:p>
        </w:tc>
        <w:tc>
          <w:tcPr>
            <w:tcW w:w="1446" w:type="dxa"/>
            <w:tcBorders>
              <w:top w:val="single" w:sz="4" w:space="0" w:color="B6B6B6"/>
              <w:bottom w:val="single" w:sz="4" w:space="0" w:color="B6B6B6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16,710</w:t>
            </w:r>
          </w:p>
        </w:tc>
        <w:tc>
          <w:tcPr>
            <w:tcW w:w="1797" w:type="dxa"/>
            <w:tcBorders>
              <w:top w:val="single" w:sz="4" w:space="0" w:color="B6B6B6"/>
              <w:bottom w:val="single" w:sz="4" w:space="0" w:color="B6B6B6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17,524</w:t>
            </w:r>
          </w:p>
        </w:tc>
      </w:tr>
      <w:tr>
        <w:trPr/>
        <w:tc>
          <w:tcPr>
            <w:tcW w:w="6962" w:type="dxa"/>
            <w:tcBorders>
              <w:top w:val="single" w:sz="4" w:space="0" w:color="B6B6B6"/>
              <w:bottom w:val="single" w:sz="4" w:space="0" w:color="B6B6B6"/>
            </w:tcBorders>
            <w:shd w:fill="E5E5E5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S. Gail Eckhardt, M.D.</w:t>
            </w:r>
          </w:p>
        </w:tc>
        <w:tc>
          <w:tcPr>
            <w:tcW w:w="1446" w:type="dxa"/>
            <w:tcBorders>
              <w:top w:val="single" w:sz="4" w:space="0" w:color="B6B6B6"/>
              <w:bottom w:val="single" w:sz="4" w:space="0" w:color="B6B6B6"/>
            </w:tcBorders>
            <w:shd w:fill="E5E5E5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23,136</w:t>
            </w:r>
          </w:p>
        </w:tc>
        <w:tc>
          <w:tcPr>
            <w:tcW w:w="1797" w:type="dxa"/>
            <w:tcBorders>
              <w:top w:val="single" w:sz="4" w:space="0" w:color="B6B6B6"/>
              <w:bottom w:val="single" w:sz="4" w:space="0" w:color="B6B6B6"/>
            </w:tcBorders>
            <w:shd w:fill="E5E5E5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17,524</w:t>
            </w:r>
          </w:p>
        </w:tc>
      </w:tr>
      <w:tr>
        <w:trPr/>
        <w:tc>
          <w:tcPr>
            <w:tcW w:w="6962" w:type="dxa"/>
            <w:tcBorders>
              <w:top w:val="single" w:sz="4" w:space="0" w:color="B6B6B6"/>
              <w:bottom w:val="single" w:sz="4" w:space="0" w:color="B6B6B6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Maria C. Freire, Ph.D.</w:t>
            </w:r>
          </w:p>
        </w:tc>
        <w:tc>
          <w:tcPr>
            <w:tcW w:w="1446" w:type="dxa"/>
            <w:tcBorders>
              <w:top w:val="single" w:sz="4" w:space="0" w:color="B6B6B6"/>
              <w:bottom w:val="single" w:sz="4" w:space="0" w:color="B6B6B6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52,688</w:t>
            </w:r>
          </w:p>
        </w:tc>
        <w:tc>
          <w:tcPr>
            <w:tcW w:w="1797" w:type="dxa"/>
            <w:tcBorders>
              <w:top w:val="single" w:sz="4" w:space="0" w:color="B6B6B6"/>
              <w:bottom w:val="single" w:sz="4" w:space="0" w:color="B6B6B6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9,812</w:t>
            </w:r>
          </w:p>
        </w:tc>
      </w:tr>
      <w:tr>
        <w:trPr/>
        <w:tc>
          <w:tcPr>
            <w:tcW w:w="6962" w:type="dxa"/>
            <w:tcBorders>
              <w:top w:val="single" w:sz="4" w:space="0" w:color="B6B6B6"/>
              <w:bottom w:val="single" w:sz="4" w:space="0" w:color="B6B6B6"/>
            </w:tcBorders>
            <w:shd w:fill="E5E5E5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Tomas J. Heyman</w:t>
            </w:r>
          </w:p>
        </w:tc>
        <w:tc>
          <w:tcPr>
            <w:tcW w:w="1446" w:type="dxa"/>
            <w:tcBorders>
              <w:top w:val="single" w:sz="4" w:space="0" w:color="B6B6B6"/>
              <w:bottom w:val="single" w:sz="4" w:space="0" w:color="B6B6B6"/>
            </w:tcBorders>
            <w:shd w:fill="E5E5E5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36,353</w:t>
            </w:r>
          </w:p>
        </w:tc>
        <w:tc>
          <w:tcPr>
            <w:tcW w:w="1797" w:type="dxa"/>
            <w:tcBorders>
              <w:top w:val="single" w:sz="4" w:space="0" w:color="B6B6B6"/>
              <w:bottom w:val="single" w:sz="4" w:space="0" w:color="B6B6B6"/>
            </w:tcBorders>
            <w:shd w:fill="E5E5E5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18,900</w:t>
            </w:r>
          </w:p>
        </w:tc>
      </w:tr>
      <w:tr>
        <w:trPr/>
        <w:tc>
          <w:tcPr>
            <w:tcW w:w="6962" w:type="dxa"/>
            <w:tcBorders>
              <w:top w:val="single" w:sz="4" w:space="0" w:color="B6B6B6"/>
              <w:bottom w:val="single" w:sz="4" w:space="0" w:color="B6B6B6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Michael M. Morrissey, Ph.D. </w:t>
            </w:r>
          </w:p>
        </w:tc>
        <w:tc>
          <w:tcPr>
            <w:tcW w:w="1446" w:type="dxa"/>
            <w:tcBorders>
              <w:top w:val="single" w:sz="4" w:space="0" w:color="B6B6B6"/>
              <w:bottom w:val="single" w:sz="4" w:space="0" w:color="B6B6B6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  <w:shd w:fill="FFFFFF" w:val="clear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  <w:shd w:fill="FFFFFF" w:val="clear"/>
              </w:rPr>
              <w:t>—</w:t>
            </w:r>
          </w:p>
        </w:tc>
        <w:tc>
          <w:tcPr>
            <w:tcW w:w="1797" w:type="dxa"/>
            <w:tcBorders>
              <w:top w:val="single" w:sz="4" w:space="0" w:color="B6B6B6"/>
              <w:bottom w:val="single" w:sz="4" w:space="0" w:color="B6B6B6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  <w:shd w:fill="FFFFFF" w:val="clear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  <w:shd w:fill="FFFFFF" w:val="clear"/>
              </w:rPr>
              <w:t>2,201,568</w:t>
            </w:r>
          </w:p>
        </w:tc>
      </w:tr>
      <w:tr>
        <w:trPr/>
        <w:tc>
          <w:tcPr>
            <w:tcW w:w="6962" w:type="dxa"/>
            <w:tcBorders>
              <w:top w:val="single" w:sz="4" w:space="0" w:color="B6B6B6"/>
              <w:bottom w:val="single" w:sz="4" w:space="0" w:color="B6B6B6"/>
            </w:tcBorders>
            <w:shd w:fill="E5E5E5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David E. Johnson</w:t>
            </w:r>
          </w:p>
        </w:tc>
        <w:tc>
          <w:tcPr>
            <w:tcW w:w="1446" w:type="dxa"/>
            <w:tcBorders>
              <w:top w:val="single" w:sz="4" w:space="0" w:color="B6B6B6"/>
              <w:bottom w:val="single" w:sz="4" w:space="0" w:color="B6B6B6"/>
            </w:tcBorders>
            <w:shd w:fill="E5E5E5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100,584</w:t>
            </w:r>
          </w:p>
        </w:tc>
        <w:tc>
          <w:tcPr>
            <w:tcW w:w="1797" w:type="dxa"/>
            <w:tcBorders>
              <w:top w:val="single" w:sz="4" w:space="0" w:color="B6B6B6"/>
              <w:bottom w:val="single" w:sz="4" w:space="0" w:color="B6B6B6"/>
            </w:tcBorders>
            <w:shd w:fill="E5E5E5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9,088</w:t>
            </w:r>
          </w:p>
        </w:tc>
      </w:tr>
      <w:tr>
        <w:trPr/>
        <w:tc>
          <w:tcPr>
            <w:tcW w:w="6962" w:type="dxa"/>
            <w:tcBorders>
              <w:top w:val="single" w:sz="4" w:space="0" w:color="B6B6B6"/>
              <w:bottom w:val="single" w:sz="4" w:space="0" w:color="B6B6B6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Robert L. Oliver, Jr.</w:t>
            </w:r>
          </w:p>
        </w:tc>
        <w:tc>
          <w:tcPr>
            <w:tcW w:w="1446" w:type="dxa"/>
            <w:tcBorders>
              <w:top w:val="single" w:sz="4" w:space="0" w:color="B6B6B6"/>
              <w:bottom w:val="single" w:sz="4" w:space="0" w:color="B6B6B6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12,118</w:t>
            </w:r>
          </w:p>
        </w:tc>
        <w:tc>
          <w:tcPr>
            <w:tcW w:w="1797" w:type="dxa"/>
            <w:tcBorders>
              <w:top w:val="single" w:sz="4" w:space="0" w:color="B6B6B6"/>
              <w:bottom w:val="single" w:sz="4" w:space="0" w:color="B6B6B6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18,900</w:t>
            </w:r>
          </w:p>
        </w:tc>
      </w:tr>
      <w:tr>
        <w:trPr/>
        <w:tc>
          <w:tcPr>
            <w:tcW w:w="6962" w:type="dxa"/>
            <w:tcBorders>
              <w:top w:val="single" w:sz="4" w:space="0" w:color="B6B6B6"/>
              <w:bottom w:val="single" w:sz="4" w:space="0" w:color="B6B6B6"/>
            </w:tcBorders>
            <w:shd w:fill="E5E5E5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Stelios Papadopoulos, Ph.D.</w:t>
            </w:r>
          </w:p>
        </w:tc>
        <w:tc>
          <w:tcPr>
            <w:tcW w:w="1446" w:type="dxa"/>
            <w:tcBorders>
              <w:top w:val="single" w:sz="4" w:space="0" w:color="B6B6B6"/>
              <w:bottom w:val="single" w:sz="4" w:space="0" w:color="B6B6B6"/>
            </w:tcBorders>
            <w:shd w:fill="E5E5E5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1797" w:type="dxa"/>
            <w:tcBorders>
              <w:top w:val="single" w:sz="4" w:space="0" w:color="B6B6B6"/>
              <w:bottom w:val="single" w:sz="4" w:space="0" w:color="B6B6B6"/>
            </w:tcBorders>
            <w:shd w:fill="E5E5E5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9,812</w:t>
            </w:r>
          </w:p>
        </w:tc>
      </w:tr>
      <w:tr>
        <w:trPr/>
        <w:tc>
          <w:tcPr>
            <w:tcW w:w="6962" w:type="dxa"/>
            <w:tcBorders>
              <w:top w:val="single" w:sz="4" w:space="0" w:color="B6B6B6"/>
              <w:bottom w:val="single" w:sz="4" w:space="0" w:color="B6B6B6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George Poste, DVM, Ph.D., FRS</w:t>
            </w:r>
          </w:p>
        </w:tc>
        <w:tc>
          <w:tcPr>
            <w:tcW w:w="1446" w:type="dxa"/>
            <w:tcBorders>
              <w:top w:val="single" w:sz="4" w:space="0" w:color="B6B6B6"/>
              <w:bottom w:val="single" w:sz="4" w:space="0" w:color="B6B6B6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1797" w:type="dxa"/>
            <w:tcBorders>
              <w:top w:val="single" w:sz="4" w:space="0" w:color="B6B6B6"/>
              <w:bottom w:val="single" w:sz="4" w:space="0" w:color="B6B6B6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9,812</w:t>
            </w:r>
          </w:p>
        </w:tc>
      </w:tr>
      <w:tr>
        <w:trPr/>
        <w:tc>
          <w:tcPr>
            <w:tcW w:w="6962" w:type="dxa"/>
            <w:tcBorders>
              <w:top w:val="single" w:sz="4" w:space="0" w:color="B6B6B6"/>
              <w:bottom w:val="single" w:sz="4" w:space="0" w:color="B6B6B6"/>
            </w:tcBorders>
            <w:shd w:fill="E5E5E5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Julie Anne Smith</w:t>
            </w:r>
          </w:p>
        </w:tc>
        <w:tc>
          <w:tcPr>
            <w:tcW w:w="1446" w:type="dxa"/>
            <w:tcBorders>
              <w:top w:val="single" w:sz="4" w:space="0" w:color="B6B6B6"/>
              <w:bottom w:val="single" w:sz="4" w:space="0" w:color="B6B6B6"/>
            </w:tcBorders>
            <w:shd w:fill="E5E5E5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1797" w:type="dxa"/>
            <w:tcBorders>
              <w:top w:val="single" w:sz="4" w:space="0" w:color="B6B6B6"/>
              <w:bottom w:val="single" w:sz="4" w:space="0" w:color="B6B6B6"/>
            </w:tcBorders>
            <w:shd w:fill="E5E5E5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9,812</w:t>
            </w:r>
          </w:p>
        </w:tc>
      </w:tr>
      <w:tr>
        <w:trPr/>
        <w:tc>
          <w:tcPr>
            <w:tcW w:w="6962" w:type="dxa"/>
            <w:tcBorders>
              <w:top w:val="single" w:sz="4" w:space="0" w:color="B6B6B6"/>
              <w:bottom w:val="single" w:sz="4" w:space="0" w:color="B6B6B6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Jack L. Wyszomierski</w:t>
            </w:r>
          </w:p>
        </w:tc>
        <w:tc>
          <w:tcPr>
            <w:tcW w:w="1446" w:type="dxa"/>
            <w:tcBorders>
              <w:top w:val="single" w:sz="4" w:space="0" w:color="B6B6B6"/>
              <w:bottom w:val="single" w:sz="4" w:space="0" w:color="B6B6B6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32,054</w:t>
            </w:r>
          </w:p>
        </w:tc>
        <w:tc>
          <w:tcPr>
            <w:tcW w:w="1797" w:type="dxa"/>
            <w:tcBorders>
              <w:top w:val="single" w:sz="4" w:space="0" w:color="B6B6B6"/>
              <w:bottom w:val="single" w:sz="4" w:space="0" w:color="B6B6B6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9,812</w:t>
            </w:r>
          </w:p>
        </w:tc>
      </w:tr>
      <w:tr>
        <w:trPr/>
        <w:tc>
          <w:tcPr>
            <w:tcW w:w="6962" w:type="dxa"/>
            <w:tcBorders>
              <w:top w:val="single" w:sz="4" w:space="0" w:color="B6B6B6"/>
              <w:bottom w:val="single" w:sz="4" w:space="0" w:color="B6B6B6"/>
            </w:tcBorders>
            <w:shd w:fill="E5E5E5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Each associate of any executive officers, current directors or director nominees</w:t>
            </w:r>
          </w:p>
        </w:tc>
        <w:tc>
          <w:tcPr>
            <w:tcW w:w="1446" w:type="dxa"/>
            <w:tcBorders>
              <w:top w:val="single" w:sz="4" w:space="0" w:color="B6B6B6"/>
              <w:bottom w:val="single" w:sz="4" w:space="0" w:color="B6B6B6"/>
            </w:tcBorders>
            <w:shd w:fill="E5E5E5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1797" w:type="dxa"/>
            <w:tcBorders>
              <w:top w:val="single" w:sz="4" w:space="0" w:color="B6B6B6"/>
              <w:bottom w:val="single" w:sz="4" w:space="0" w:color="B6B6B6"/>
            </w:tcBorders>
            <w:shd w:fill="E5E5E5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6962" w:type="dxa"/>
            <w:tcBorders>
              <w:top w:val="single" w:sz="4" w:space="0" w:color="B6B6B6"/>
              <w:bottom w:val="single" w:sz="4" w:space="0" w:color="B6B6B6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Each other person who received or is to receive 5% of awards</w:t>
            </w:r>
          </w:p>
        </w:tc>
        <w:tc>
          <w:tcPr>
            <w:tcW w:w="1446" w:type="dxa"/>
            <w:tcBorders>
              <w:top w:val="single" w:sz="4" w:space="0" w:color="B6B6B6"/>
              <w:bottom w:val="single" w:sz="4" w:space="0" w:color="B6B6B6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1797" w:type="dxa"/>
            <w:tcBorders>
              <w:top w:val="single" w:sz="4" w:space="0" w:color="B6B6B6"/>
              <w:bottom w:val="single" w:sz="4" w:space="0" w:color="B6B6B6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6962" w:type="dxa"/>
            <w:tcBorders>
              <w:top w:val="single" w:sz="4" w:space="0" w:color="B6B6B6"/>
              <w:bottom w:val="single" w:sz="8" w:space="0" w:color="F47521"/>
            </w:tcBorders>
            <w:shd w:fill="E5E5E5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All employees, including all current officers who are not executive officers, as a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group</w:t>
            </w:r>
          </w:p>
        </w:tc>
        <w:tc>
          <w:tcPr>
            <w:tcW w:w="1446" w:type="dxa"/>
            <w:tcBorders>
              <w:top w:val="single" w:sz="4" w:space="0" w:color="B6B6B6"/>
              <w:bottom w:val="single" w:sz="8" w:space="0" w:color="F47521"/>
            </w:tcBorders>
            <w:shd w:fill="E5E5E5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650,702</w:t>
            </w:r>
          </w:p>
        </w:tc>
        <w:tc>
          <w:tcPr>
            <w:tcW w:w="1797" w:type="dxa"/>
            <w:tcBorders>
              <w:top w:val="single" w:sz="4" w:space="0" w:color="B6B6B6"/>
              <w:bottom w:val="single" w:sz="8" w:space="0" w:color="F47521"/>
            </w:tcBorders>
            <w:shd w:fill="E5E5E5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11,610,993</w:t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(1)Amounts shown in this column represent the number of shares of our common stock subject to outstanding awards at target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>level, to the extent that achievement of the applicable performance criteria has not been certified.</w:t>
      </w:r>
    </w:p>
    <w:tbl>
      <w:tblPr>
        <w:tblW w:w="174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61"/>
        <w:gridCol w:w="1381"/>
      </w:tblGrid>
      <w:tr>
        <w:trPr/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  <w:t>54</w:t>
            </w:r>
          </w:p>
        </w:tc>
        <w:tc>
          <w:tcPr>
            <w:tcW w:w="138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Exelixis, Inc.</w:t>
            </w:r>
          </w:p>
        </w:tc>
      </w:tr>
    </w:tbl>
    <w:tbl>
      <w:tblPr>
        <w:tblW w:w="1741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741"/>
      </w:tblGrid>
      <w:tr>
        <w:trPr/>
        <w:tc>
          <w:tcPr>
            <w:tcW w:w="17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4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6d44722bfc2543dbbba9716d9e560c58_16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color w:val="0000FF"/>
                  <w:sz w:val="18"/>
                  <w:u w:val="single"/>
                </w:rPr>
                <w:t>Table of Contents</w:t>
              </w:r>
            </w:hyperlink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sans-serif" w:hAnsi="sans-serif"/>
          <w:b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Equity Compensation Plan Information</w:t>
      </w:r>
      <w:r>
        <w:rPr>
          <w:caps w:val="false"/>
          <w:smallCaps w:val="false"/>
          <w:strike w:val="false"/>
          <w:dstrike w:val="false"/>
          <w:color w:val="3F3F3F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The following table provides certain information about our common stock that may be issued upon the exercise of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stock options and other rights under all of our existing equity compensation plans as of January 2, 2026, which consists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of our 2000 Employee Stock Purchase Plan (as amended and restated, the ESPP), and the 2017 Plan:</w:t>
      </w: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470"/>
        <w:gridCol w:w="2026"/>
        <w:gridCol w:w="1996"/>
        <w:gridCol w:w="357"/>
        <w:gridCol w:w="2356"/>
      </w:tblGrid>
      <w:tr>
        <w:trPr/>
        <w:tc>
          <w:tcPr>
            <w:tcW w:w="347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70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Plan Category</w:t>
            </w:r>
          </w:p>
        </w:tc>
        <w:tc>
          <w:tcPr>
            <w:tcW w:w="2026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Number of securities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to be issued  upon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 xml:space="preserve">exercise of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outstanding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 xml:space="preserve">options, warrants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and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rights (a)</w:t>
            </w:r>
          </w:p>
        </w:tc>
        <w:tc>
          <w:tcPr>
            <w:tcW w:w="1996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Weighted-average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exercise price of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outstanding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 xml:space="preserve">options, warrants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and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rights (b)</w:t>
            </w:r>
          </w:p>
        </w:tc>
        <w:tc>
          <w:tcPr>
            <w:tcW w:w="357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56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 xml:space="preserve">Number of securities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remaining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 xml:space="preserve">available for future 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issuance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 xml:space="preserve">under equity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compensation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 xml:space="preserve">plans (excluding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securities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 xml:space="preserve">reflected in column (a))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(c)</w:t>
            </w:r>
          </w:p>
        </w:tc>
      </w:tr>
      <w:tr>
        <w:trPr/>
        <w:tc>
          <w:tcPr>
            <w:tcW w:w="3470" w:type="dxa"/>
            <w:tcBorders>
              <w:bottom w:val="single" w:sz="8" w:space="0" w:color="F47521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Equity compensation plans approved by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stockholders (1)</w:t>
            </w:r>
          </w:p>
        </w:tc>
        <w:tc>
          <w:tcPr>
            <w:tcW w:w="2026" w:type="dxa"/>
            <w:tcBorders>
              <w:bottom w:val="single" w:sz="8" w:space="0" w:color="F47521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19,604</w:t>
            </w:r>
          </w:p>
        </w:tc>
        <w:tc>
          <w:tcPr>
            <w:tcW w:w="1996" w:type="dxa"/>
            <w:tcBorders>
              <w:bottom w:val="single" w:sz="8" w:space="0" w:color="F47521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$2.63</w:t>
            </w:r>
          </w:p>
        </w:tc>
        <w:tc>
          <w:tcPr>
            <w:tcW w:w="357" w:type="dxa"/>
            <w:tcBorders>
              <w:bottom w:val="single" w:sz="8" w:space="0" w:color="F47521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(2)</w:t>
            </w:r>
          </w:p>
        </w:tc>
        <w:tc>
          <w:tcPr>
            <w:tcW w:w="2356" w:type="dxa"/>
            <w:tcBorders>
              <w:bottom w:val="single" w:sz="8" w:space="0" w:color="F47521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22,406</w:t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(1)Equity plans approved by our stockholders include the 2017 Plan and the ESPP. As of January 2, 2026, a total of 6.6 million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shares of our common stock remained available for issuance under the ESPP, and up to a maximum of 0.7 million shares of our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common stock may be purchased in the current purchase period. The shares issuable pursuant to our ESPP are not included in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the number of shares to be issued pursuant to rights outstanding or the weighted-average exercise price of such rights as of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January 2, 2026, as those numbers are not known.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(2)The weighted-average exercise price takes into account the shares subject to outstanding restricted stock units (RSUs),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including such awards with market conditions, which have no exercise price. The weighted-average exercise price, excluding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>such outstanding RSUs, is $21.31.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  <w:t xml:space="preserve">Required Vote and Board of Directors Recommendation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The affirmative vote of the holders of a majority of the shares present or represented by proxy and entitled to vote at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the Annual Meeting is required to approve the Amended 2017 Plan. Abstentions will be counted toward the tabulation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of votes cast on the proposal and will have the same effect as votes against this proposal. Broker non-votes will have no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effect and will not be counted towards the vote total. </w:t>
      </w:r>
    </w:p>
    <w:tbl>
      <w:tblPr>
        <w:tblW w:w="982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9826"/>
      </w:tblGrid>
      <w:tr>
        <w:trPr/>
        <w:tc>
          <w:tcPr>
            <w:tcW w:w="98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26" w:type="dxa"/>
            <w:tcBorders/>
            <w:shd w:fill="E5E5E5" w:val="clear"/>
            <w:vAlign w:val="center"/>
          </w:tcPr>
          <w:p>
            <w:pPr>
              <w:pStyle w:val="TableContents"/>
              <w:bidi w:val="0"/>
              <w:spacing w:lineRule="atLeast" w:line="24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24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24"/>
                <w:u w:val="none"/>
                <w:effect w:val="none"/>
              </w:rPr>
              <w:t>THE BOARD OF DIRECTORS RECOMMENDS A VOTE “FOR” PROPOSAL 3.</w:t>
            </w:r>
          </w:p>
        </w:tc>
      </w:tr>
    </w:tbl>
    <w:tbl>
      <w:tblPr>
        <w:tblW w:w="256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176"/>
        <w:gridCol w:w="391"/>
      </w:tblGrid>
      <w:tr>
        <w:trPr/>
        <w:tc>
          <w:tcPr>
            <w:tcW w:w="21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7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40404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404040"/>
                <w:sz w:val="18"/>
                <w:u w:val="none"/>
                <w:effect w:val="none"/>
              </w:rPr>
              <w:t>2026 Proxy Statement</w:t>
            </w:r>
          </w:p>
        </w:tc>
        <w:tc>
          <w:tcPr>
            <w:tcW w:w="39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  <w:t>55</w:t>
            </w:r>
          </w:p>
        </w:tc>
      </w:tr>
    </w:tbl>
    <w:tbl>
      <w:tblPr>
        <w:tblW w:w="916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696"/>
        <w:gridCol w:w="7471"/>
      </w:tblGrid>
      <w:tr>
        <w:trPr/>
        <w:tc>
          <w:tcPr>
            <w:tcW w:w="16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9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6d44722bfc2543dbbba9716d9e560c58_16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color w:val="0000FF"/>
                  <w:sz w:val="18"/>
                  <w:u w:val="single"/>
                </w:rPr>
                <w:t>Table of Contents</w:t>
              </w:r>
            </w:hyperlink>
          </w:p>
        </w:tc>
        <w:tc>
          <w:tcPr>
            <w:tcW w:w="747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Proposal 4 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C4C02"/>
                <w:sz w:val="18"/>
                <w:u w:val="none"/>
                <w:effect w:val="none"/>
              </w:rPr>
              <w:t xml:space="preserve">|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Advisory Vote on the Compensation of the Named Executive Officers</w:t>
            </w:r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36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F47521"/>
          <w:sz w:val="36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F47521"/>
          <w:sz w:val="36"/>
          <w:u w:val="none"/>
          <w:effect w:val="none"/>
        </w:rPr>
        <w:t xml:space="preserve">PROPOSAL 4 </w:t>
      </w:r>
    </w:p>
    <w:p>
      <w:pPr>
        <w:pStyle w:val="TextBody"/>
        <w:bidi w:val="0"/>
        <w:spacing w:lineRule="atLeast" w:line="300" w:before="0" w:after="0"/>
        <w:jc w:val="left"/>
        <w:rPr/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30"/>
          <w:u w:val="none"/>
          <w:effect w:val="none"/>
        </w:rPr>
        <w:t>ADVISORY VOTE ON THE COMPENSATION OF THE NAMED EXECUTIVE OFFICERS</w:t>
      </w:r>
      <w:r>
        <w:rPr>
          <w:caps w:val="false"/>
          <w:smallCaps w:val="false"/>
          <w:strike w:val="false"/>
          <w:dstrike w:val="false"/>
          <w:color w:val="3F3F3F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Pursuant to Section 14A of the Exchange Act, we are asking our stockholders to vote to approve, on an advisory basis,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the compensation, as disclosed in this Proxy Statement, of our Chief Executive Officer, Chief Financial Officer and the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other executive officers appearing in the table titled “Summary Compensation Table” later in this Proxy Statement, to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whom we refer as our “Named Executive Officers” (NEOs and each, an NEO). This vote is not intended to address any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specific item of compensation, but rather the overall compensation of our NEOs and the philosophy, design, policies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and practices described in this Proxy Statement.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The Board encourages our stockholders to review the compensation tables and read the disclosures set forth in the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3F3F3F"/>
          <w:u w:val="none"/>
          <w:effect w:val="none"/>
        </w:rPr>
        <w:t>“</w:t>
      </w:r>
      <w:hyperlink w:anchor="i6d44722bfc2543dbbba9716d9e560c58_127">
        <w:r>
          <w:rPr>
            <w:rStyle w:val="InternetLink"/>
            <w:rFonts w:ascii="sans-serif" w:hAnsi="sans-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Compensation Discussion and Analysis</w:t>
        </w:r>
      </w:hyperlink>
      <w:r>
        <w:rPr>
          <w:caps w:val="false"/>
          <w:smallCaps w:val="false"/>
          <w:strike w:val="false"/>
          <w:dstrike w:val="false"/>
          <w:color w:val="3F3F3F"/>
          <w:u w:val="none"/>
          <w:effect w:val="none"/>
        </w:rPr>
        <w:t xml:space="preserve">”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section of this Proxy Statement that describe our executive compensation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program and the compensation of our NEOs for fiscal 2025. For the reasons described in this Proxy Statement, the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Board believes that our executive compensation program strongly aligns with the interests of our stockholders,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effectively ties executive compensation with our performance and results in the attraction and retention of highly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talented executives.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Accordingly, the Board recommends that our stockholders vote FOR the following resolution: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3F3F3F"/>
          <w:u w:val="none"/>
          <w:effect w:val="none"/>
        </w:rPr>
        <w:t>“</w:t>
      </w:r>
      <w:r>
        <w:rPr>
          <w:rFonts w:ascii="sans-serif" w:hAnsi="sans-serif"/>
          <w:b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RESOLVED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, that the compensation paid to the NEOs, as disclosed pursuant to Item 402 of Regulation S-K,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including the Compensation Discussion and Analysis, compensation tables and narrative discussion, is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hereby APPROVED.”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F47521"/>
          <w:sz w:val="2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F47521"/>
          <w:sz w:val="28"/>
          <w:u w:val="none"/>
          <w:effect w:val="none"/>
        </w:rPr>
        <w:t xml:space="preserve">Required Vote and Board of Directors Recommendation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Advisory approval of Proposal 4 requires the affirmative vote of a majority of the shares present or represented by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proxy at the Annual Meeting and entitled to vote on this proposal. Abstentions will be counted toward the tabulation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of votes cast on the proposal and will have the same effect as votes against this proposal. Broker non-votes, if any, will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have no effect.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Our stockholders have expressed a preference, and our Board has determined, to hold an advisory vote on executive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compensation annually. We are presenting this Proposal 4 as required by Section 14A of the Exchange Act. Our Board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believes that approval of Proposal 4 is in our best interests and the best interests of our stockholders for the reasons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stated above. Because the vote is advisory, it is not binding on the Board or on us. Nevertheless, the views expressed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by our stockholders, whether through this vote or otherwise, are very important to the Board and the management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team and, accordingly, the Compensation Committee and the Board intend to consider the results of this vote in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making determinations in the future regarding executive compensation arrangements. Your vote will serve as an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additional tool to guide the Compensation Committee and the Board as they continue to improve the alignment of our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executive compensation programs with business objectives and performance and with the interests of our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stockholders. Unless our Board changes the frequency of future advisory votes on executive compensation, the next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advisory vote on executive compensation will be held at the 2027 Annual Meeting of Stockholders.</w:t>
      </w:r>
    </w:p>
    <w:tbl>
      <w:tblPr>
        <w:tblW w:w="991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9916"/>
      </w:tblGrid>
      <w:tr>
        <w:trPr/>
        <w:tc>
          <w:tcPr>
            <w:tcW w:w="99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916" w:type="dxa"/>
            <w:tcBorders/>
            <w:shd w:fill="E5E5E5" w:val="clear"/>
            <w:vAlign w:val="center"/>
          </w:tcPr>
          <w:p>
            <w:pPr>
              <w:pStyle w:val="TableContents"/>
              <w:bidi w:val="0"/>
              <w:spacing w:lineRule="atLeast" w:line="24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24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24"/>
                <w:u w:val="none"/>
                <w:effect w:val="none"/>
              </w:rPr>
              <w:t xml:space="preserve">THE BOARD OF DIRECTORS RECOMMENDS A VOTE “FOR” PROPOSAL 4. </w:t>
            </w:r>
          </w:p>
        </w:tc>
      </w:tr>
    </w:tbl>
    <w:tbl>
      <w:tblPr>
        <w:tblW w:w="174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61"/>
        <w:gridCol w:w="1381"/>
      </w:tblGrid>
      <w:tr>
        <w:trPr/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  <w:t>56</w:t>
            </w:r>
          </w:p>
        </w:tc>
        <w:tc>
          <w:tcPr>
            <w:tcW w:w="138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Exelixis, Inc.</w:t>
            </w:r>
          </w:p>
        </w:tc>
      </w:tr>
    </w:tbl>
    <w:tbl>
      <w:tblPr>
        <w:tblW w:w="1741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741"/>
      </w:tblGrid>
      <w:tr>
        <w:trPr/>
        <w:tc>
          <w:tcPr>
            <w:tcW w:w="17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4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6d44722bfc2543dbbba9716d9e560c58_16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color w:val="0000FF"/>
                  <w:sz w:val="18"/>
                  <w:u w:val="single"/>
                </w:rPr>
                <w:t>Table of Contents</w:t>
              </w:r>
            </w:hyperlink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36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F47521"/>
          <w:sz w:val="36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F47521"/>
          <w:sz w:val="36"/>
          <w:u w:val="none"/>
          <w:effect w:val="none"/>
        </w:rPr>
        <w:t xml:space="preserve">SECURITY OWNERSHIP OF CERTAIN BENEFICIAL OWNERS </w:t>
      </w:r>
    </w:p>
    <w:p>
      <w:pPr>
        <w:pStyle w:val="TextBody"/>
        <w:bidi w:val="0"/>
        <w:spacing w:lineRule="atLeast" w:line="36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F47521"/>
          <w:sz w:val="36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F47521"/>
          <w:sz w:val="36"/>
          <w:u w:val="none"/>
          <w:effect w:val="none"/>
        </w:rPr>
        <w:t>AND MANAGEMENT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The following table sets forth certain information regarding the ownership of our common stock as of February 27,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2026, except as otherwise indicated below,</w:t>
      </w:r>
      <w:r>
        <w:rPr>
          <w:caps w:val="false"/>
          <w:smallCaps w:val="false"/>
          <w:strike w:val="false"/>
          <w:dstrike w:val="false"/>
          <w:color w:val="3F3F3F"/>
          <w:sz w:val="24"/>
          <w:u w:val="none"/>
          <w:effect w:val="none"/>
        </w:rPr>
        <w:t xml:space="preserve">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by: (i) each director and nominee for director; (ii) each of the executive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officers named in the Summary Compensation Table; (iii) all current executive officers and directors of Exelixis as a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group; and (iv) all those known by us to be beneficial owners of more than five percent of our common stock. </w:t>
      </w:r>
    </w:p>
    <w:tbl>
      <w:tblPr>
        <w:tblW w:w="8748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791"/>
        <w:gridCol w:w="1636"/>
        <w:gridCol w:w="1321"/>
      </w:tblGrid>
      <w:tr>
        <w:trPr/>
        <w:tc>
          <w:tcPr>
            <w:tcW w:w="57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791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957" w:type="dxa"/>
            <w:gridSpan w:val="2"/>
            <w:tcBorders>
              <w:bottom w:val="single" w:sz="8" w:space="0" w:color="FFFFFF"/>
            </w:tcBorders>
            <w:shd w:fill="F47521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Beneficially Owned</w:t>
            </w:r>
            <w:r>
              <w:rPr>
                <w:caps w:val="false"/>
                <w:smallCaps w:val="false"/>
                <w:strike w:val="false"/>
                <w:dstrike w:val="false"/>
                <w:color w:val="FFFFFF"/>
                <w:u w:val="none"/>
                <w:effect w:val="none"/>
              </w:rPr>
              <w:t> </w:t>
            </w: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(1)</w:t>
            </w:r>
            <w:r>
              <w:rPr>
                <w:caps w:val="false"/>
                <w:smallCaps w:val="false"/>
                <w:strike w:val="false"/>
                <w:dstrike w:val="false"/>
                <w:color w:val="FFFFFF"/>
                <w:u w:val="none"/>
                <w:effect w:val="none"/>
              </w:rPr>
              <w:t xml:space="preserve"> </w:t>
            </w:r>
          </w:p>
        </w:tc>
      </w:tr>
      <w:tr>
        <w:trPr/>
        <w:tc>
          <w:tcPr>
            <w:tcW w:w="5791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Name of Beneficial Owner</w:t>
            </w:r>
          </w:p>
        </w:tc>
        <w:tc>
          <w:tcPr>
            <w:tcW w:w="1636" w:type="dxa"/>
            <w:tcBorders>
              <w:top w:val="single" w:sz="8" w:space="0" w:color="FFFFFF"/>
            </w:tcBorders>
            <w:shd w:fill="F47521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Number of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Shares of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Common Stock</w:t>
            </w:r>
          </w:p>
        </w:tc>
        <w:tc>
          <w:tcPr>
            <w:tcW w:w="1321" w:type="dxa"/>
            <w:tcBorders>
              <w:top w:val="single" w:sz="8" w:space="0" w:color="FFFFFF"/>
            </w:tcBorders>
            <w:shd w:fill="F47521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Percentage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of Total</w:t>
            </w:r>
          </w:p>
        </w:tc>
      </w:tr>
      <w:tr>
        <w:trPr/>
        <w:tc>
          <w:tcPr>
            <w:tcW w:w="5791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Named Executive Officers and Directors</w:t>
            </w:r>
          </w:p>
        </w:tc>
        <w:tc>
          <w:tcPr>
            <w:tcW w:w="1636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1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79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Michael M. Morrissey, Ph.D. (2)</w:t>
            </w:r>
          </w:p>
        </w:tc>
        <w:tc>
          <w:tcPr>
            <w:tcW w:w="163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2,262,962</w:t>
            </w:r>
          </w:p>
        </w:tc>
        <w:tc>
          <w:tcPr>
            <w:tcW w:w="132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*</w:t>
            </w:r>
          </w:p>
        </w:tc>
      </w:tr>
      <w:tr>
        <w:trPr/>
        <w:tc>
          <w:tcPr>
            <w:tcW w:w="579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Christopher J. Senner (3) </w:t>
            </w:r>
          </w:p>
        </w:tc>
        <w:tc>
          <w:tcPr>
            <w:tcW w:w="163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551,125</w:t>
            </w:r>
          </w:p>
        </w:tc>
        <w:tc>
          <w:tcPr>
            <w:tcW w:w="132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*</w:t>
            </w:r>
          </w:p>
        </w:tc>
      </w:tr>
      <w:tr>
        <w:trPr/>
        <w:tc>
          <w:tcPr>
            <w:tcW w:w="579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Dana T. Aftab, Ph.D. (4)</w:t>
            </w:r>
          </w:p>
        </w:tc>
        <w:tc>
          <w:tcPr>
            <w:tcW w:w="163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207,898</w:t>
            </w:r>
          </w:p>
        </w:tc>
        <w:tc>
          <w:tcPr>
            <w:tcW w:w="132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*</w:t>
            </w:r>
          </w:p>
        </w:tc>
      </w:tr>
      <w:tr>
        <w:trPr/>
        <w:tc>
          <w:tcPr>
            <w:tcW w:w="579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Patrick J. Haley </w:t>
            </w:r>
          </w:p>
        </w:tc>
        <w:tc>
          <w:tcPr>
            <w:tcW w:w="163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132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*</w:t>
            </w:r>
          </w:p>
        </w:tc>
      </w:tr>
      <w:tr>
        <w:trPr/>
        <w:tc>
          <w:tcPr>
            <w:tcW w:w="579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Brenda J. Hefti, J.D., Ph.D.(5)</w:t>
            </w:r>
          </w:p>
        </w:tc>
        <w:tc>
          <w:tcPr>
            <w:tcW w:w="163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6,083</w:t>
            </w:r>
          </w:p>
        </w:tc>
        <w:tc>
          <w:tcPr>
            <w:tcW w:w="132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*</w:t>
            </w:r>
          </w:p>
        </w:tc>
      </w:tr>
      <w:tr>
        <w:trPr/>
        <w:tc>
          <w:tcPr>
            <w:tcW w:w="579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Jeffrey J. Hessekiel, J.D. (6)</w:t>
            </w:r>
          </w:p>
        </w:tc>
        <w:tc>
          <w:tcPr>
            <w:tcW w:w="163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193,156</w:t>
            </w:r>
          </w:p>
        </w:tc>
        <w:tc>
          <w:tcPr>
            <w:tcW w:w="132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*</w:t>
            </w:r>
          </w:p>
        </w:tc>
      </w:tr>
      <w:tr>
        <w:trPr/>
        <w:tc>
          <w:tcPr>
            <w:tcW w:w="579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Amy C. Peterson, M.D. (7)</w:t>
            </w:r>
          </w:p>
        </w:tc>
        <w:tc>
          <w:tcPr>
            <w:tcW w:w="163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132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*</w:t>
            </w:r>
          </w:p>
        </w:tc>
      </w:tr>
      <w:tr>
        <w:trPr/>
        <w:tc>
          <w:tcPr>
            <w:tcW w:w="579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Mary C. Beckerle, Ph.D. (8)</w:t>
            </w:r>
          </w:p>
        </w:tc>
        <w:tc>
          <w:tcPr>
            <w:tcW w:w="163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20,566</w:t>
            </w:r>
          </w:p>
        </w:tc>
        <w:tc>
          <w:tcPr>
            <w:tcW w:w="132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*</w:t>
            </w:r>
          </w:p>
        </w:tc>
      </w:tr>
      <w:tr>
        <w:trPr/>
        <w:tc>
          <w:tcPr>
            <w:tcW w:w="579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S. Gail Eckhardt, M.D. (9)</w:t>
            </w:r>
          </w:p>
        </w:tc>
        <w:tc>
          <w:tcPr>
            <w:tcW w:w="163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23,136</w:t>
            </w:r>
          </w:p>
        </w:tc>
        <w:tc>
          <w:tcPr>
            <w:tcW w:w="132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*</w:t>
            </w:r>
          </w:p>
        </w:tc>
      </w:tr>
      <w:tr>
        <w:trPr/>
        <w:tc>
          <w:tcPr>
            <w:tcW w:w="579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Maria C. Freire, Ph.D. (10)</w:t>
            </w:r>
          </w:p>
        </w:tc>
        <w:tc>
          <w:tcPr>
            <w:tcW w:w="163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143,695</w:t>
            </w:r>
          </w:p>
        </w:tc>
        <w:tc>
          <w:tcPr>
            <w:tcW w:w="132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*</w:t>
            </w:r>
          </w:p>
        </w:tc>
      </w:tr>
      <w:tr>
        <w:trPr/>
        <w:tc>
          <w:tcPr>
            <w:tcW w:w="579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Tomas J. Heyman (11)</w:t>
            </w:r>
          </w:p>
        </w:tc>
        <w:tc>
          <w:tcPr>
            <w:tcW w:w="163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59,735</w:t>
            </w:r>
          </w:p>
        </w:tc>
        <w:tc>
          <w:tcPr>
            <w:tcW w:w="132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*</w:t>
            </w:r>
          </w:p>
        </w:tc>
      </w:tr>
      <w:tr>
        <w:trPr/>
        <w:tc>
          <w:tcPr>
            <w:tcW w:w="579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David E. Johnson (12)</w:t>
            </w:r>
          </w:p>
        </w:tc>
        <w:tc>
          <w:tcPr>
            <w:tcW w:w="163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1,662,934</w:t>
            </w:r>
          </w:p>
        </w:tc>
        <w:tc>
          <w:tcPr>
            <w:tcW w:w="132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*</w:t>
            </w:r>
          </w:p>
        </w:tc>
      </w:tr>
      <w:tr>
        <w:trPr/>
        <w:tc>
          <w:tcPr>
            <w:tcW w:w="579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Robert L. Oliver, Jr. (13)</w:t>
            </w:r>
          </w:p>
        </w:tc>
        <w:tc>
          <w:tcPr>
            <w:tcW w:w="163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14,338</w:t>
            </w:r>
          </w:p>
        </w:tc>
        <w:tc>
          <w:tcPr>
            <w:tcW w:w="132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*</w:t>
            </w:r>
          </w:p>
        </w:tc>
      </w:tr>
      <w:tr>
        <w:trPr/>
        <w:tc>
          <w:tcPr>
            <w:tcW w:w="579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Stelios Papadopoulos, Ph.D. </w:t>
            </w:r>
          </w:p>
        </w:tc>
        <w:tc>
          <w:tcPr>
            <w:tcW w:w="163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1,179,416</w:t>
            </w:r>
          </w:p>
        </w:tc>
        <w:tc>
          <w:tcPr>
            <w:tcW w:w="132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*</w:t>
            </w:r>
          </w:p>
        </w:tc>
      </w:tr>
      <w:tr>
        <w:trPr/>
        <w:tc>
          <w:tcPr>
            <w:tcW w:w="579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George Poste, DVM, Ph.D., FRS </w:t>
            </w:r>
          </w:p>
        </w:tc>
        <w:tc>
          <w:tcPr>
            <w:tcW w:w="163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169,020</w:t>
            </w:r>
          </w:p>
        </w:tc>
        <w:tc>
          <w:tcPr>
            <w:tcW w:w="132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*</w:t>
            </w:r>
          </w:p>
        </w:tc>
      </w:tr>
      <w:tr>
        <w:trPr/>
        <w:tc>
          <w:tcPr>
            <w:tcW w:w="579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Julie A. Smith </w:t>
            </w:r>
          </w:p>
        </w:tc>
        <w:tc>
          <w:tcPr>
            <w:tcW w:w="163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10,778</w:t>
            </w:r>
          </w:p>
        </w:tc>
        <w:tc>
          <w:tcPr>
            <w:tcW w:w="132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*</w:t>
            </w:r>
          </w:p>
        </w:tc>
      </w:tr>
      <w:tr>
        <w:trPr/>
        <w:tc>
          <w:tcPr>
            <w:tcW w:w="579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Jack L. Wyszomierski (14)</w:t>
            </w:r>
          </w:p>
        </w:tc>
        <w:tc>
          <w:tcPr>
            <w:tcW w:w="163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302,184</w:t>
            </w:r>
          </w:p>
        </w:tc>
        <w:tc>
          <w:tcPr>
            <w:tcW w:w="132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*</w:t>
            </w:r>
          </w:p>
        </w:tc>
      </w:tr>
      <w:tr>
        <w:trPr/>
        <w:tc>
          <w:tcPr>
            <w:tcW w:w="579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All current directors and executive officers as a group (15)</w:t>
            </w:r>
          </w:p>
        </w:tc>
        <w:tc>
          <w:tcPr>
            <w:tcW w:w="163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6,807,026</w:t>
            </w:r>
          </w:p>
        </w:tc>
        <w:tc>
          <w:tcPr>
            <w:tcW w:w="132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2.6%</w:t>
            </w:r>
          </w:p>
        </w:tc>
      </w:tr>
      <w:tr>
        <w:trPr/>
        <w:tc>
          <w:tcPr>
            <w:tcW w:w="579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5% Stockholders</w:t>
            </w:r>
          </w:p>
        </w:tc>
        <w:tc>
          <w:tcPr>
            <w:tcW w:w="163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79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BlackRock, Inc. (16)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50 Hudson Yards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New York, New York 10001</w:t>
            </w:r>
          </w:p>
        </w:tc>
        <w:tc>
          <w:tcPr>
            <w:tcW w:w="163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28,499,470</w:t>
            </w:r>
          </w:p>
        </w:tc>
        <w:tc>
          <w:tcPr>
            <w:tcW w:w="132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11.1%</w:t>
            </w:r>
          </w:p>
        </w:tc>
      </w:tr>
      <w:tr>
        <w:trPr/>
        <w:tc>
          <w:tcPr>
            <w:tcW w:w="579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The Vanguard Group (17)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100 Vanguard Blvd.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Malvern, Pennsylvania 19355</w:t>
            </w:r>
          </w:p>
        </w:tc>
        <w:tc>
          <w:tcPr>
            <w:tcW w:w="163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31,671,090</w:t>
            </w:r>
          </w:p>
        </w:tc>
        <w:tc>
          <w:tcPr>
            <w:tcW w:w="132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12.3%</w:t>
            </w:r>
          </w:p>
        </w:tc>
      </w:tr>
      <w:tr>
        <w:trPr/>
        <w:tc>
          <w:tcPr>
            <w:tcW w:w="5791" w:type="dxa"/>
            <w:tcBorders>
              <w:top w:val="single" w:sz="4" w:space="0" w:color="B6B6B6"/>
              <w:bottom w:val="single" w:sz="4" w:space="0" w:color="B2B2B2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Farallon Capital Partners, L.P. (18)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One Maritime Plaza, Suite 2100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San Francisco, California 94111</w:t>
            </w:r>
          </w:p>
        </w:tc>
        <w:tc>
          <w:tcPr>
            <w:tcW w:w="1636" w:type="dxa"/>
            <w:tcBorders>
              <w:top w:val="single" w:sz="4" w:space="0" w:color="B6B6B6"/>
              <w:bottom w:val="single" w:sz="4" w:space="0" w:color="B2B2B2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15,709,500</w:t>
            </w:r>
          </w:p>
        </w:tc>
        <w:tc>
          <w:tcPr>
            <w:tcW w:w="1321" w:type="dxa"/>
            <w:tcBorders>
              <w:top w:val="single" w:sz="4" w:space="0" w:color="B6B6B6"/>
              <w:bottom w:val="single" w:sz="4" w:space="0" w:color="B2B2B2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6.1%</w:t>
            </w:r>
          </w:p>
        </w:tc>
      </w:tr>
    </w:tbl>
    <w:tbl>
      <w:tblPr>
        <w:tblW w:w="256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176"/>
        <w:gridCol w:w="391"/>
      </w:tblGrid>
      <w:tr>
        <w:trPr/>
        <w:tc>
          <w:tcPr>
            <w:tcW w:w="21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7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40404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404040"/>
                <w:sz w:val="18"/>
                <w:u w:val="none"/>
                <w:effect w:val="none"/>
              </w:rPr>
              <w:t>2026 Proxy Statement</w:t>
            </w:r>
          </w:p>
        </w:tc>
        <w:tc>
          <w:tcPr>
            <w:tcW w:w="39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  <w:t>57</w:t>
            </w:r>
          </w:p>
        </w:tc>
      </w:tr>
    </w:tbl>
    <w:tbl>
      <w:tblPr>
        <w:tblW w:w="930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696"/>
        <w:gridCol w:w="7606"/>
      </w:tblGrid>
      <w:tr>
        <w:trPr/>
        <w:tc>
          <w:tcPr>
            <w:tcW w:w="16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9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6d44722bfc2543dbbba9716d9e560c58_16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color w:val="0000FF"/>
                  <w:sz w:val="18"/>
                  <w:u w:val="single"/>
                </w:rPr>
                <w:t>Table of Contents</w:t>
              </w:r>
            </w:hyperlink>
          </w:p>
        </w:tc>
        <w:tc>
          <w:tcPr>
            <w:tcW w:w="760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 xml:space="preserve">                       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Security Ownership of Certain Beneficial Owners and Management</w:t>
            </w:r>
          </w:p>
        </w:tc>
      </w:tr>
    </w:tbl>
    <w:tbl>
      <w:tblPr>
        <w:tblW w:w="7413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456"/>
        <w:gridCol w:w="1636"/>
        <w:gridCol w:w="1321"/>
      </w:tblGrid>
      <w:tr>
        <w:trPr/>
        <w:tc>
          <w:tcPr>
            <w:tcW w:w="44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456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957" w:type="dxa"/>
            <w:gridSpan w:val="2"/>
            <w:tcBorders>
              <w:bottom w:val="single" w:sz="8" w:space="0" w:color="FFFFFF"/>
            </w:tcBorders>
            <w:shd w:fill="F47521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Beneficially Owned</w:t>
            </w:r>
            <w:r>
              <w:rPr>
                <w:caps w:val="false"/>
                <w:smallCaps w:val="false"/>
                <w:strike w:val="false"/>
                <w:dstrike w:val="false"/>
                <w:color w:val="FFFFFF"/>
                <w:u w:val="none"/>
                <w:effect w:val="none"/>
              </w:rPr>
              <w:t> </w:t>
            </w: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(1)</w:t>
            </w:r>
            <w:r>
              <w:rPr>
                <w:caps w:val="false"/>
                <w:smallCaps w:val="false"/>
                <w:strike w:val="false"/>
                <w:dstrike w:val="false"/>
                <w:color w:val="FFFFFF"/>
                <w:u w:val="none"/>
                <w:effect w:val="none"/>
              </w:rPr>
              <w:t xml:space="preserve"> </w:t>
            </w:r>
          </w:p>
        </w:tc>
      </w:tr>
      <w:tr>
        <w:trPr/>
        <w:tc>
          <w:tcPr>
            <w:tcW w:w="4456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Name of Beneficial Owner</w:t>
            </w:r>
          </w:p>
        </w:tc>
        <w:tc>
          <w:tcPr>
            <w:tcW w:w="1636" w:type="dxa"/>
            <w:tcBorders>
              <w:top w:val="single" w:sz="8" w:space="0" w:color="FFFFFF"/>
            </w:tcBorders>
            <w:shd w:fill="F47521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Number of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Shares of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Common Stock</w:t>
            </w:r>
          </w:p>
        </w:tc>
        <w:tc>
          <w:tcPr>
            <w:tcW w:w="1321" w:type="dxa"/>
            <w:tcBorders>
              <w:top w:val="single" w:sz="8" w:space="0" w:color="FFFFFF"/>
            </w:tcBorders>
            <w:shd w:fill="F47521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Percentage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of Total</w:t>
            </w:r>
          </w:p>
        </w:tc>
      </w:tr>
      <w:tr>
        <w:trPr/>
        <w:tc>
          <w:tcPr>
            <w:tcW w:w="4456" w:type="dxa"/>
            <w:tcBorders>
              <w:top w:val="single" w:sz="4" w:space="0" w:color="B2B2B2"/>
              <w:bottom w:val="single" w:sz="4" w:space="0" w:color="B2B2B2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Renaissance Technologies LLC (19)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800 Third Avenue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New York, New York 10022</w:t>
            </w:r>
          </w:p>
        </w:tc>
        <w:tc>
          <w:tcPr>
            <w:tcW w:w="1636" w:type="dxa"/>
            <w:tcBorders>
              <w:top w:val="single" w:sz="4" w:space="0" w:color="B2B2B2"/>
              <w:bottom w:val="single" w:sz="4" w:space="0" w:color="B2B2B2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15,615,716</w:t>
            </w:r>
          </w:p>
        </w:tc>
        <w:tc>
          <w:tcPr>
            <w:tcW w:w="1321" w:type="dxa"/>
            <w:tcBorders>
              <w:top w:val="single" w:sz="4" w:space="0" w:color="B2B2B2"/>
              <w:bottom w:val="single" w:sz="4" w:space="0" w:color="B2B2B2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6.1%</w:t>
            </w:r>
          </w:p>
        </w:tc>
      </w:tr>
      <w:tr>
        <w:trPr/>
        <w:tc>
          <w:tcPr>
            <w:tcW w:w="4456" w:type="dxa"/>
            <w:tcBorders>
              <w:top w:val="single" w:sz="4" w:space="0" w:color="B2B2B2"/>
              <w:bottom w:val="single" w:sz="8" w:space="0" w:color="F47521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AQR Capital Management Holdings, LLC (20)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One Greenwich Plaza Suite 130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Greenwich, Connecticut 06830</w:t>
            </w:r>
          </w:p>
        </w:tc>
        <w:tc>
          <w:tcPr>
            <w:tcW w:w="1636" w:type="dxa"/>
            <w:tcBorders>
              <w:top w:val="single" w:sz="4" w:space="0" w:color="B2B2B2"/>
              <w:bottom w:val="single" w:sz="8" w:space="0" w:color="F47521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13,658,388</w:t>
            </w:r>
          </w:p>
        </w:tc>
        <w:tc>
          <w:tcPr>
            <w:tcW w:w="1321" w:type="dxa"/>
            <w:tcBorders>
              <w:top w:val="single" w:sz="4" w:space="0" w:color="B2B2B2"/>
              <w:bottom w:val="single" w:sz="8" w:space="0" w:color="F47521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5.3%</w:t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(1)This table is based upon information supplied by executive officers and directors and upon information gathered by us about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principal stockholders known to us. Unless otherwise indicated in the footnotes to this table and subject to community property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laws where applicable, we believe that each of the stockholders named in this table has sole voting and investment power with </w:t>
      </w:r>
    </w:p>
    <w:p>
      <w:pPr>
        <w:pStyle w:val="TextBody"/>
        <w:bidi w:val="0"/>
        <w:spacing w:lineRule="atLeast" w:line="180" w:before="0" w:after="0"/>
        <w:jc w:val="left"/>
        <w:rPr>
          <w:sz w:val="24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>respect to the shares indicated as beneficially owned. Applicable percentages are based on 257,645,317</w:t>
      </w:r>
      <w:r>
        <w:rPr>
          <w:caps w:val="false"/>
          <w:smallCaps w:val="false"/>
          <w:strike w:val="false"/>
          <w:dstrike w:val="false"/>
          <w:color w:val="3F3F3F"/>
          <w:sz w:val="24"/>
          <w:u w:val="none"/>
          <w:effect w:val="none"/>
        </w:rPr>
        <w:t xml:space="preserve">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shares outstanding on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February 27, 2026, adjusted as required by rules promulgated by the SEC. The percentage of beneficial ownership as to any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person as of a particular date is calculated by dividing the number of shares beneficially owned by such person, which includes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the number of shares as to which such person has the right to acquire voting or investment power within 60 days of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February 27, 2026, by the sum of the number of shares outstanding as of such date plus the number of shares as to which such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person has the right to acquire voting or investment power within 60 days of February 27, 2026. Consequently, the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>denominator for calculating beneficial ownership percentages may be different for each beneficial owner.</w:t>
      </w:r>
    </w:p>
    <w:p>
      <w:pPr>
        <w:pStyle w:val="TextBody"/>
        <w:bidi w:val="0"/>
        <w:spacing w:lineRule="atLeast" w:line="180" w:before="0" w:after="0"/>
        <w:jc w:val="left"/>
        <w:rPr>
          <w:sz w:val="24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>(2)Includes: 1,989,956</w:t>
      </w:r>
      <w:r>
        <w:rPr>
          <w:caps w:val="false"/>
          <w:smallCaps w:val="false"/>
          <w:strike w:val="false"/>
          <w:dstrike w:val="false"/>
          <w:color w:val="3F3F3F"/>
          <w:sz w:val="24"/>
          <w:u w:val="none"/>
          <w:effect w:val="none"/>
        </w:rPr>
        <w:t xml:space="preserve">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shares held by Michael M. Morrissey and Meghan D. Morrissey, Trustees of the Morrissey Family Living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Trust dated July 21, 1994, as amended; 255,278 shares held by a charitable foundation of which Dr. Morrissey’s wife is a </w:t>
      </w:r>
    </w:p>
    <w:p>
      <w:pPr>
        <w:pStyle w:val="TextBody"/>
        <w:bidi w:val="0"/>
        <w:spacing w:lineRule="atLeast" w:line="180" w:before="0" w:after="0"/>
        <w:jc w:val="left"/>
        <w:rPr>
          <w:sz w:val="24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>trustee, pursuant to an account statement dated as of March 26, 2026; and 17,728</w:t>
      </w:r>
      <w:r>
        <w:rPr>
          <w:caps w:val="false"/>
          <w:smallCaps w:val="false"/>
          <w:strike w:val="false"/>
          <w:dstrike w:val="false"/>
          <w:color w:val="3F3F3F"/>
          <w:sz w:val="24"/>
          <w:u w:val="none"/>
          <w:effect w:val="none"/>
        </w:rPr>
        <w:t xml:space="preserve">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shares held by Dr. Morrissey under our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>401(k) Plan, determined based upon information provided in plan statements.</w:t>
      </w:r>
    </w:p>
    <w:p>
      <w:pPr>
        <w:pStyle w:val="TextBody"/>
        <w:bidi w:val="0"/>
        <w:spacing w:lineRule="atLeast" w:line="180" w:before="0" w:after="0"/>
        <w:jc w:val="left"/>
        <w:rPr>
          <w:sz w:val="24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>(3)Includes 2,723</w:t>
      </w:r>
      <w:r>
        <w:rPr>
          <w:caps w:val="false"/>
          <w:smallCaps w:val="false"/>
          <w:strike w:val="false"/>
          <w:dstrike w:val="false"/>
          <w:color w:val="3F3F3F"/>
          <w:sz w:val="24"/>
          <w:u w:val="none"/>
          <w:effect w:val="none"/>
        </w:rPr>
        <w:t xml:space="preserve">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shares held by Mr. Senner under our 401(k) Plan, determined based upon information provided in plan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>statements.</w:t>
      </w:r>
    </w:p>
    <w:p>
      <w:pPr>
        <w:pStyle w:val="TextBody"/>
        <w:bidi w:val="0"/>
        <w:spacing w:lineRule="atLeast" w:line="180" w:before="0" w:after="0"/>
        <w:jc w:val="left"/>
        <w:rPr>
          <w:sz w:val="24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>(4)Includes 5,835</w:t>
      </w:r>
      <w:r>
        <w:rPr>
          <w:caps w:val="false"/>
          <w:smallCaps w:val="false"/>
          <w:strike w:val="false"/>
          <w:dstrike w:val="false"/>
          <w:color w:val="3F3F3F"/>
          <w:sz w:val="24"/>
          <w:u w:val="none"/>
          <w:effect w:val="none"/>
        </w:rPr>
        <w:t xml:space="preserve">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>shares held by Dr. Aftab under our 401(k) Plan, determined based upon information provided in plan statements.</w:t>
      </w:r>
    </w:p>
    <w:p>
      <w:pPr>
        <w:pStyle w:val="TextBody"/>
        <w:bidi w:val="0"/>
        <w:spacing w:lineRule="atLeast" w:line="180" w:before="0" w:after="0"/>
        <w:jc w:val="left"/>
        <w:rPr>
          <w:sz w:val="24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>(5)Includes 5,527</w:t>
      </w:r>
      <w:r>
        <w:rPr>
          <w:caps w:val="false"/>
          <w:smallCaps w:val="false"/>
          <w:strike w:val="false"/>
          <w:dstrike w:val="false"/>
          <w:color w:val="3F3F3F"/>
          <w:sz w:val="24"/>
          <w:u w:val="none"/>
          <w:effect w:val="none"/>
        </w:rPr>
        <w:t xml:space="preserve">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>shares held by Dr. Hefti under our 401(k) Plan, determined based upon information provided in plan statements.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(6)Mr. Hessekiel resigned from the company in November 2025. Reflects the number of shares held by Mr. Hessekiel as of January </w:t>
      </w:r>
    </w:p>
    <w:p>
      <w:pPr>
        <w:pStyle w:val="TextBody"/>
        <w:bidi w:val="0"/>
        <w:spacing w:lineRule="atLeast" w:line="180" w:before="0" w:after="0"/>
        <w:jc w:val="left"/>
        <w:rPr>
          <w:sz w:val="24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>2, 2026. Also, includes 999</w:t>
      </w:r>
      <w:r>
        <w:rPr>
          <w:caps w:val="false"/>
          <w:smallCaps w:val="false"/>
          <w:strike w:val="false"/>
          <w:dstrike w:val="false"/>
          <w:color w:val="3F3F3F"/>
          <w:sz w:val="24"/>
          <w:u w:val="none"/>
          <w:effect w:val="none"/>
        </w:rPr>
        <w:t xml:space="preserve">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shares held by Mr. Hessekiel under our 401(k) Plan, determined based upon information provided in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>plan statements.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(7)Dr. Peterson departed from the company in August 2025. Reflects the number of shares held by Dr. Peterson as of January 2,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2026. </w:t>
      </w:r>
    </w:p>
    <w:p>
      <w:pPr>
        <w:pStyle w:val="TextBody"/>
        <w:bidi w:val="0"/>
        <w:spacing w:lineRule="atLeast" w:line="180" w:before="0" w:after="0"/>
        <w:jc w:val="left"/>
        <w:rPr>
          <w:sz w:val="24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>(8)Includes 16,710</w:t>
      </w:r>
      <w:r>
        <w:rPr>
          <w:caps w:val="false"/>
          <w:smallCaps w:val="false"/>
          <w:strike w:val="false"/>
          <w:dstrike w:val="false"/>
          <w:color w:val="3F3F3F"/>
          <w:sz w:val="24"/>
          <w:u w:val="none"/>
          <w:effect w:val="none"/>
        </w:rPr>
        <w:t xml:space="preserve">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shares Dr. Beckerle has the right to acquire pursuant to options exercisable within 60 days of February 27,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>2026, all of which would be subject to repurchase by us, if so exercised.</w:t>
      </w:r>
    </w:p>
    <w:p>
      <w:pPr>
        <w:pStyle w:val="TextBody"/>
        <w:bidi w:val="0"/>
        <w:spacing w:lineRule="atLeast" w:line="180" w:before="0" w:after="0"/>
        <w:jc w:val="left"/>
        <w:rPr>
          <w:sz w:val="24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>(9)Includes 23,136</w:t>
      </w:r>
      <w:r>
        <w:rPr>
          <w:caps w:val="false"/>
          <w:smallCaps w:val="false"/>
          <w:strike w:val="false"/>
          <w:dstrike w:val="false"/>
          <w:color w:val="3F3F3F"/>
          <w:sz w:val="24"/>
          <w:u w:val="none"/>
          <w:effect w:val="none"/>
        </w:rPr>
        <w:t xml:space="preserve">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shares Dr. Eckhardt has the right to acquire pursuant to options exercisable within 60 days of February 27,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>2026, all of which would be subject to repurchase by us, if so exercised.</w:t>
      </w:r>
    </w:p>
    <w:p>
      <w:pPr>
        <w:pStyle w:val="TextBody"/>
        <w:bidi w:val="0"/>
        <w:spacing w:lineRule="atLeast" w:line="180" w:before="0" w:after="0"/>
        <w:jc w:val="left"/>
        <w:rPr>
          <w:sz w:val="24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>(10)Includes 52,688</w:t>
      </w:r>
      <w:r>
        <w:rPr>
          <w:caps w:val="false"/>
          <w:smallCaps w:val="false"/>
          <w:strike w:val="false"/>
          <w:dstrike w:val="false"/>
          <w:color w:val="3F3F3F"/>
          <w:sz w:val="24"/>
          <w:u w:val="none"/>
          <w:effect w:val="none"/>
        </w:rPr>
        <w:t xml:space="preserve">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>shares Dr. Freire has the right to acquire pursuant to options exercisable within 60 days of February 27, 2026.</w:t>
      </w:r>
    </w:p>
    <w:p>
      <w:pPr>
        <w:pStyle w:val="TextBody"/>
        <w:bidi w:val="0"/>
        <w:spacing w:lineRule="atLeast" w:line="180" w:before="0" w:after="0"/>
        <w:jc w:val="left"/>
        <w:rPr>
          <w:sz w:val="24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>(11)Includes 36,353</w:t>
      </w:r>
      <w:r>
        <w:rPr>
          <w:caps w:val="false"/>
          <w:smallCaps w:val="false"/>
          <w:strike w:val="false"/>
          <w:dstrike w:val="false"/>
          <w:color w:val="3F3F3F"/>
          <w:sz w:val="24"/>
          <w:u w:val="none"/>
          <w:effect w:val="none"/>
        </w:rPr>
        <w:t xml:space="preserve">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shares Mr. Heyman has the right to acquire pursuant to options exercisable within 60 days of February 27,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>2026, all of which would be subject to repurchase by us, if so exercised.</w:t>
      </w:r>
    </w:p>
    <w:p>
      <w:pPr>
        <w:pStyle w:val="TextBody"/>
        <w:bidi w:val="0"/>
        <w:spacing w:lineRule="atLeast" w:line="180" w:before="0" w:after="0"/>
        <w:jc w:val="left"/>
        <w:rPr>
          <w:sz w:val="24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>(12)Includes 100,584</w:t>
      </w:r>
      <w:r>
        <w:rPr>
          <w:caps w:val="false"/>
          <w:smallCaps w:val="false"/>
          <w:strike w:val="false"/>
          <w:dstrike w:val="false"/>
          <w:color w:val="3F3F3F"/>
          <w:sz w:val="24"/>
          <w:u w:val="none"/>
          <w:effect w:val="none"/>
        </w:rPr>
        <w:t xml:space="preserve">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shares Mr. Johnson has the right to acquire pursuant to options exercisable within 60 days of February 27,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2026, all of which would be subject to repurchase by us, if so exercised, and Mr. Johnson is deemed to hold such options for the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benefit of the Caligan Fund and Accounts, and may, after the exercise of such options, if applicable, transfer the underlying </w:t>
      </w:r>
    </w:p>
    <w:p>
      <w:pPr>
        <w:pStyle w:val="TextBody"/>
        <w:bidi w:val="0"/>
        <w:spacing w:lineRule="atLeast" w:line="180" w:before="0" w:after="0"/>
        <w:jc w:val="left"/>
        <w:rPr>
          <w:sz w:val="24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>shares directly to the Caligan Fund and Accounts. Also includes 1,553,262</w:t>
      </w:r>
      <w:r>
        <w:rPr>
          <w:caps w:val="false"/>
          <w:smallCaps w:val="false"/>
          <w:strike w:val="false"/>
          <w:dstrike w:val="false"/>
          <w:color w:val="3F3F3F"/>
          <w:sz w:val="24"/>
          <w:u w:val="none"/>
          <w:effect w:val="none"/>
        </w:rPr>
        <w:t xml:space="preserve">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shares held by Caligan Partners Master Fund LP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(Caligan Master Fund), a Cayman Islands limited partnership, and managed accounts (Caligan Accounts, together with the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Caligan Master Fund, the Caligan Fund and Accounts) to which Caligan Partners LP (Caligan) serves as investment manager. Mr.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Johnson is the Managing Partner of Caligan and a Managing Member of Caligan Partners GP LLC, the general partner of Caligan.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>The above information is based solely on a Form 4, filed jointly by Mr. Johnson and Caligan with the SEC on November 26, 2025.</w:t>
      </w:r>
    </w:p>
    <w:p>
      <w:pPr>
        <w:pStyle w:val="TextBody"/>
        <w:bidi w:val="0"/>
        <w:spacing w:lineRule="atLeast" w:line="180" w:before="0" w:after="0"/>
        <w:jc w:val="left"/>
        <w:rPr>
          <w:sz w:val="24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>(13)Includes 12,118</w:t>
      </w:r>
      <w:r>
        <w:rPr>
          <w:caps w:val="false"/>
          <w:smallCaps w:val="false"/>
          <w:strike w:val="false"/>
          <w:dstrike w:val="false"/>
          <w:color w:val="3F3F3F"/>
          <w:sz w:val="24"/>
          <w:u w:val="none"/>
          <w:effect w:val="none"/>
        </w:rPr>
        <w:t xml:space="preserve">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shares Mr. Oliver has the right to acquire pursuant to options exercisable within 60 days of February 27, 2026,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>all of which would be subject to repurchase by us, if so exercised.</w:t>
      </w:r>
    </w:p>
    <w:p>
      <w:pPr>
        <w:pStyle w:val="TextBody"/>
        <w:bidi w:val="0"/>
        <w:spacing w:lineRule="atLeast" w:line="180" w:before="0" w:after="0"/>
        <w:jc w:val="left"/>
        <w:rPr>
          <w:sz w:val="24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>(14)Includes 32,054</w:t>
      </w:r>
      <w:r>
        <w:rPr>
          <w:caps w:val="false"/>
          <w:smallCaps w:val="false"/>
          <w:strike w:val="false"/>
          <w:dstrike w:val="false"/>
          <w:color w:val="3F3F3F"/>
          <w:sz w:val="24"/>
          <w:u w:val="none"/>
          <w:effect w:val="none"/>
        </w:rPr>
        <w:t xml:space="preserve">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shares Mr. Wyszomierski has the right to acquire pursuant to options exercisable within 60 days of February 27,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2026. </w:t>
      </w:r>
    </w:p>
    <w:p>
      <w:pPr>
        <w:pStyle w:val="TextBody"/>
        <w:bidi w:val="0"/>
        <w:spacing w:lineRule="atLeast" w:line="180" w:before="0" w:after="0"/>
        <w:jc w:val="left"/>
        <w:rPr>
          <w:sz w:val="24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>(15)Total number of shares includes 6,807,026</w:t>
      </w:r>
      <w:r>
        <w:rPr>
          <w:caps w:val="false"/>
          <w:smallCaps w:val="false"/>
          <w:strike w:val="false"/>
          <w:dstrike w:val="false"/>
          <w:color w:val="3F3F3F"/>
          <w:sz w:val="24"/>
          <w:u w:val="none"/>
          <w:effect w:val="none"/>
        </w:rPr>
        <w:t xml:space="preserve">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shares of common stock held by our current directors and executive officers as of </w:t>
      </w:r>
    </w:p>
    <w:p>
      <w:pPr>
        <w:pStyle w:val="TextBody"/>
        <w:bidi w:val="0"/>
        <w:spacing w:lineRule="atLeast" w:line="180" w:before="0" w:after="0"/>
        <w:jc w:val="left"/>
        <w:rPr>
          <w:sz w:val="24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>February 27, 2026, and entities affiliated with such directors and executive officers. Also includes 273,643</w:t>
      </w:r>
      <w:r>
        <w:rPr>
          <w:caps w:val="false"/>
          <w:smallCaps w:val="false"/>
          <w:strike w:val="false"/>
          <w:dstrike w:val="false"/>
          <w:color w:val="3F3F3F"/>
          <w:sz w:val="24"/>
          <w:u w:val="none"/>
          <w:effect w:val="none"/>
        </w:rPr>
        <w:t xml:space="preserve">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shares our current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directors and executive officers have the right to acquire pursuant to options exercisable within 60 days of February 27, 2026, </w:t>
      </w:r>
    </w:p>
    <w:tbl>
      <w:tblPr>
        <w:tblW w:w="174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61"/>
        <w:gridCol w:w="1381"/>
      </w:tblGrid>
      <w:tr>
        <w:trPr/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  <w:t>58</w:t>
            </w:r>
          </w:p>
        </w:tc>
        <w:tc>
          <w:tcPr>
            <w:tcW w:w="138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Exelixis, Inc.</w:t>
            </w:r>
          </w:p>
        </w:tc>
      </w:tr>
    </w:tbl>
    <w:tbl>
      <w:tblPr>
        <w:tblW w:w="1850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696"/>
        <w:gridCol w:w="154"/>
      </w:tblGrid>
      <w:tr>
        <w:trPr/>
        <w:tc>
          <w:tcPr>
            <w:tcW w:w="16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9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6d44722bfc2543dbbba9716d9e560c58_16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color w:val="0000FF"/>
                  <w:sz w:val="18"/>
                  <w:u w:val="single"/>
                </w:rPr>
                <w:t>Table of Contents</w:t>
              </w:r>
            </w:hyperlink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sz w:val="24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>80,265</w:t>
      </w:r>
      <w:r>
        <w:rPr>
          <w:caps w:val="false"/>
          <w:smallCaps w:val="false"/>
          <w:strike w:val="false"/>
          <w:dstrike w:val="false"/>
          <w:color w:val="3F3F3F"/>
          <w:sz w:val="24"/>
          <w:u w:val="none"/>
          <w:effect w:val="none"/>
        </w:rPr>
        <w:t xml:space="preserve">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>of which would be subject to repurchase by us if so exercised. Also includes 32,812</w:t>
      </w:r>
      <w:r>
        <w:rPr>
          <w:caps w:val="false"/>
          <w:smallCaps w:val="false"/>
          <w:strike w:val="false"/>
          <w:dstrike w:val="false"/>
          <w:color w:val="3F3F3F"/>
          <w:sz w:val="24"/>
          <w:u w:val="none"/>
          <w:effect w:val="none"/>
        </w:rPr>
        <w:t xml:space="preserve">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shares held by our current executive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>officers under our 401(k) Plan, determined based upon information provided in plan statements.</w:t>
      </w:r>
    </w:p>
    <w:p>
      <w:pPr>
        <w:pStyle w:val="TextBody"/>
        <w:bidi w:val="0"/>
        <w:spacing w:lineRule="atLeast" w:line="180" w:before="0" w:after="0"/>
        <w:jc w:val="left"/>
        <w:rPr>
          <w:sz w:val="24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>(16)BlackRock, Inc. (BlackRock) reported that it has sole voting power over 27,706,393</w:t>
      </w:r>
      <w:r>
        <w:rPr>
          <w:caps w:val="false"/>
          <w:smallCaps w:val="false"/>
          <w:strike w:val="false"/>
          <w:dstrike w:val="false"/>
          <w:color w:val="3F3F3F"/>
          <w:sz w:val="24"/>
          <w:u w:val="none"/>
          <w:effect w:val="none"/>
        </w:rPr>
        <w:t xml:space="preserve">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of such shares and sole dispositive power </w:t>
      </w:r>
    </w:p>
    <w:p>
      <w:pPr>
        <w:pStyle w:val="TextBody"/>
        <w:bidi w:val="0"/>
        <w:spacing w:lineRule="atLeast" w:line="180" w:before="0" w:after="0"/>
        <w:jc w:val="left"/>
        <w:rPr>
          <w:sz w:val="24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>over 28,499,470</w:t>
      </w:r>
      <w:r>
        <w:rPr>
          <w:caps w:val="false"/>
          <w:smallCaps w:val="false"/>
          <w:strike w:val="false"/>
          <w:dstrike w:val="false"/>
          <w:color w:val="3F3F3F"/>
          <w:sz w:val="24"/>
          <w:u w:val="none"/>
          <w:effect w:val="none"/>
        </w:rPr>
        <w:t xml:space="preserve">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of such shares. BlackRock also reported that BlackRock Fund Advisors beneficially owns 5% or more of our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outstanding common stock. The information is based solely on a Schedule 13G/A, filed with the SEC on April 28, 2025, which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provides information only as of March 31, 2025, and, consequently, the beneficial ownership of BlackRock may have changed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>between March 31, 2025 and February 27, 2026.</w:t>
      </w:r>
    </w:p>
    <w:p>
      <w:pPr>
        <w:pStyle w:val="TextBody"/>
        <w:bidi w:val="0"/>
        <w:spacing w:lineRule="atLeast" w:line="180" w:before="0" w:after="0"/>
        <w:jc w:val="left"/>
        <w:rPr>
          <w:sz w:val="24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>(17)The Vanguard Group (Vanguard) reported that it has shared voting power over 126,364</w:t>
      </w:r>
      <w:r>
        <w:rPr>
          <w:caps w:val="false"/>
          <w:smallCaps w:val="false"/>
          <w:strike w:val="false"/>
          <w:dstrike w:val="false"/>
          <w:color w:val="3F3F3F"/>
          <w:sz w:val="24"/>
          <w:u w:val="none"/>
          <w:effect w:val="none"/>
        </w:rPr>
        <w:t xml:space="preserve">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of such shares, sole dispositive power </w:t>
      </w:r>
    </w:p>
    <w:p>
      <w:pPr>
        <w:pStyle w:val="TextBody"/>
        <w:bidi w:val="0"/>
        <w:spacing w:lineRule="atLeast" w:line="180" w:before="0" w:after="0"/>
        <w:jc w:val="left"/>
        <w:rPr>
          <w:sz w:val="24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>over 31,219,906</w:t>
      </w:r>
      <w:r>
        <w:rPr>
          <w:caps w:val="false"/>
          <w:smallCaps w:val="false"/>
          <w:strike w:val="false"/>
          <w:dstrike w:val="false"/>
          <w:color w:val="3F3F3F"/>
          <w:sz w:val="24"/>
          <w:u w:val="none"/>
          <w:effect w:val="none"/>
        </w:rPr>
        <w:t xml:space="preserve">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>of such shares, and shared dispositive power over 451,184</w:t>
      </w:r>
      <w:r>
        <w:rPr>
          <w:caps w:val="false"/>
          <w:smallCaps w:val="false"/>
          <w:strike w:val="false"/>
          <w:dstrike w:val="false"/>
          <w:color w:val="3F3F3F"/>
          <w:sz w:val="24"/>
          <w:u w:val="none"/>
          <w:effect w:val="none"/>
        </w:rPr>
        <w:t xml:space="preserve">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of such shares. The information is based solely on a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Schedule 13G/A, filed with the SEC on February 13, 2024, which provides information only as of December 29, 2023, and,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consequently, the beneficial ownership of Vanguard may have changed between December 29, 2023 and February 27, 2026.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According to the most recent Schedule 13G/A filed by Vanguard with the SEC on March 26, 2026, Vanguard does not own any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of our common stock as of March 13, 2026, following an internal realignment pursuant to which Vanguard’s beneficial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>ownership has been disaggregated.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(18)Includes shares held by Farallon Capital Partners, L.P. (FCP), Farallon Capital Institutional Partners, L.P. (FCIP), Farallon Capital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Institutional Partners II, L.P. (FCIP II), Farallon Capital Institutional Partners III, L.P. (FCIP III), Four Crossings Institutional Partners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V, L.P. (FCIP V), Farallon Capital Offshore Investors II, L.P. (FCOI II), Farallon Capital (AM) Investors, L.P. (FCAMI), Farallon Capital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F5 Master I, L.P.(F5MI), Farallon Healthcare Partners Master, L.P. (FHPM and, together with FCP, FCIP, FCIP II, FCIP III, FCIP V,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FCOI II, FCAMI, F5MI, the Farallon Funds), Farallon Partners, L.L.C. (the Farallon General Partner), which is the general partner of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FCP, FCIP, FCIP II, FCIP III, FCOI II and FCAMI and the sole member of FCIP V General Partner (as defined below) and the FHPM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General Partner (as defined below), Farallon Institutional (GP) V, L.L.C. (the FCIP V General Partner), which is the general partner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of FCIP V, Farallon F5 (GP), L.L.C. (the F5MI General Partner), which is the general partner of F5MI, Farallon Healthcare Partners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(GP), L.L.C. (the FHPM General Partner), which is the general partner of FHPM, and the following persons (Farallon Individual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Reporting Persons), each of whom is a managing member or senior managing member, as the case may be, of the Farallon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General Partner, and a manager or senior manager, as the case may be, of the FCIP V General Partner, the F5MI General Partner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and the FHPM General Partner, Joshua J. Dapice, Philip D. Dreyfuss, Hannah E. Dunn, Richard B. Fried, Varun N. Gehani, Nicolas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Giauque, Avner Husen, David T. Kim, Michael G. Linn, Patrick Luo, Rajiv A. Patel, Thomas G. Roberts, Jr., Edric C. Saito, William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Seybold, Daniel S. Short, Andrew J. M. Spokes, John R. Warren and Mark C. Wehrly (the Farallon Funds, Farallon General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Partner, FCIP V General Partner, F5MI General Partner, FHPM General Partner and Farallon Individual Reporting Persons, </w:t>
      </w:r>
    </w:p>
    <w:p>
      <w:pPr>
        <w:pStyle w:val="TextBody"/>
        <w:bidi w:val="0"/>
        <w:spacing w:lineRule="atLeast" w:line="180" w:before="0" w:after="0"/>
        <w:jc w:val="left"/>
        <w:rPr>
          <w:sz w:val="24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>collectively, the Farallon Parties). The Farallon Parties reported that they have shared voting power over 15,709,500</w:t>
      </w:r>
      <w:r>
        <w:rPr>
          <w:caps w:val="false"/>
          <w:smallCaps w:val="false"/>
          <w:strike w:val="false"/>
          <w:dstrike w:val="false"/>
          <w:color w:val="3F3F3F"/>
          <w:sz w:val="24"/>
          <w:u w:val="none"/>
          <w:effect w:val="none"/>
        </w:rPr>
        <w:t xml:space="preserve">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shares of </w:t>
      </w:r>
    </w:p>
    <w:p>
      <w:pPr>
        <w:pStyle w:val="TextBody"/>
        <w:bidi w:val="0"/>
        <w:spacing w:lineRule="atLeast" w:line="180" w:before="0" w:after="0"/>
        <w:jc w:val="left"/>
        <w:rPr>
          <w:sz w:val="24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>common stock and shared dispositive power over 15,709,500</w:t>
      </w:r>
      <w:r>
        <w:rPr>
          <w:caps w:val="false"/>
          <w:smallCaps w:val="false"/>
          <w:strike w:val="false"/>
          <w:dstrike w:val="false"/>
          <w:color w:val="3F3F3F"/>
          <w:sz w:val="24"/>
          <w:u w:val="none"/>
          <w:effect w:val="none"/>
        </w:rPr>
        <w:t xml:space="preserve">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shares of common stock. The above information is based solely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on a Schedule 13D, as amended, filed by the Farallon Parties with the SEC on January 5, 2026, which provides information only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as of January 1, 2026 and, consequently, the beneficial ownership of Farallon Parties may have changed between January 1,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>2026, and February 27, 2026.</w:t>
      </w:r>
    </w:p>
    <w:p>
      <w:pPr>
        <w:pStyle w:val="TextBody"/>
        <w:bidi w:val="0"/>
        <w:spacing w:lineRule="atLeast" w:line="180" w:before="0" w:after="0"/>
        <w:jc w:val="left"/>
        <w:rPr>
          <w:sz w:val="24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>(19)Renaissance Technologies LLC (Renaissance) reported that it has sole voting power over 15,615,716</w:t>
      </w:r>
      <w:r>
        <w:rPr>
          <w:caps w:val="false"/>
          <w:smallCaps w:val="false"/>
          <w:strike w:val="false"/>
          <w:dstrike w:val="false"/>
          <w:color w:val="3F3F3F"/>
          <w:sz w:val="24"/>
          <w:u w:val="none"/>
          <w:effect w:val="none"/>
        </w:rPr>
        <w:t xml:space="preserve">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of such shares, sole </w:t>
      </w:r>
    </w:p>
    <w:p>
      <w:pPr>
        <w:pStyle w:val="TextBody"/>
        <w:bidi w:val="0"/>
        <w:spacing w:lineRule="atLeast" w:line="180" w:before="0" w:after="0"/>
        <w:jc w:val="left"/>
        <w:rPr>
          <w:sz w:val="24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>dispositive power over 15,615,716</w:t>
      </w:r>
      <w:r>
        <w:rPr>
          <w:caps w:val="false"/>
          <w:smallCaps w:val="false"/>
          <w:strike w:val="false"/>
          <w:dstrike w:val="false"/>
          <w:color w:val="3F3F3F"/>
          <w:sz w:val="24"/>
          <w:u w:val="none"/>
          <w:effect w:val="none"/>
        </w:rPr>
        <w:t xml:space="preserve">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of such shares. The information is based solely on a Schedule 13G filed with the SEC on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February 13, 2024, which provides information only as of December 19, 2023, and, consequently, the beneficial ownership of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>Renaissance may have changed between December 19, 2023 and February 27, 2026.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(20)Includes shares held by AQR Capital Management, LLC and AQR Capital Management Holdings, LLC (collectively known as the </w:t>
      </w:r>
    </w:p>
    <w:p>
      <w:pPr>
        <w:pStyle w:val="TextBody"/>
        <w:bidi w:val="0"/>
        <w:spacing w:lineRule="atLeast" w:line="180" w:before="0" w:after="0"/>
        <w:jc w:val="left"/>
        <w:rPr>
          <w:sz w:val="24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>AQR Parties). The AQR Parties reported that they have shared voting power over 13,658,388</w:t>
      </w:r>
      <w:r>
        <w:rPr>
          <w:caps w:val="false"/>
          <w:smallCaps w:val="false"/>
          <w:strike w:val="false"/>
          <w:dstrike w:val="false"/>
          <w:color w:val="3F3F3F"/>
          <w:sz w:val="24"/>
          <w:u w:val="none"/>
          <w:effect w:val="none"/>
        </w:rPr>
        <w:t xml:space="preserve">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of such shares and shared </w:t>
      </w:r>
    </w:p>
    <w:p>
      <w:pPr>
        <w:pStyle w:val="TextBody"/>
        <w:bidi w:val="0"/>
        <w:spacing w:lineRule="atLeast" w:line="180" w:before="0" w:after="0"/>
        <w:jc w:val="left"/>
        <w:rPr>
          <w:sz w:val="24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>dispositive power over 13,658,388</w:t>
      </w:r>
      <w:r>
        <w:rPr>
          <w:caps w:val="false"/>
          <w:smallCaps w:val="false"/>
          <w:strike w:val="false"/>
          <w:dstrike w:val="false"/>
          <w:color w:val="3F3F3F"/>
          <w:sz w:val="24"/>
          <w:u w:val="none"/>
          <w:effect w:val="none"/>
        </w:rPr>
        <w:t xml:space="preserve">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of such shares. The information is based solely on a Schedule 13G filed with the SEC on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February 13, 2026, which provides information only as of December 31, 2025, and, consequently, the beneficial ownership of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>the AQR Parties may have changed between December 31, 2025 and February 27, 2026.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F47521"/>
          <w:sz w:val="2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F47521"/>
          <w:sz w:val="28"/>
          <w:u w:val="none"/>
          <w:effect w:val="none"/>
        </w:rPr>
        <w:t>Delinquent Section 16(a) Reports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Section 16(a) of the Exchange Act requires our directors, executive officers, and persons who own more than 10% of a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registered class of our equity securities to file reports with the SEC showing their holdings of, and transactions in, these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securities. Based on a review of copies of such reports and written representations that no other reports are required,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we believe that all reporting persons filed the required reports on a timely basis under Section 16(a) for 2025, except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that one late Form 3 was filed for Dr. Hefti in connection with her promotion to Senior Vice President and General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Counsel, and due to an administrative error, Dr. Morrissey had one late Form 4 filing on March 2, 2026 with respect to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a bona fide gift transaction to a charitable foundation.</w:t>
      </w:r>
    </w:p>
    <w:tbl>
      <w:tblPr>
        <w:tblW w:w="256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176"/>
        <w:gridCol w:w="391"/>
      </w:tblGrid>
      <w:tr>
        <w:trPr/>
        <w:tc>
          <w:tcPr>
            <w:tcW w:w="21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7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40404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404040"/>
                <w:sz w:val="18"/>
                <w:u w:val="none"/>
                <w:effect w:val="none"/>
              </w:rPr>
              <w:t>2026 Proxy Statement</w:t>
            </w:r>
          </w:p>
        </w:tc>
        <w:tc>
          <w:tcPr>
            <w:tcW w:w="39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  <w:t>59</w:t>
            </w:r>
          </w:p>
        </w:tc>
      </w:tr>
    </w:tbl>
    <w:tbl>
      <w:tblPr>
        <w:tblW w:w="565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696"/>
        <w:gridCol w:w="3961"/>
      </w:tblGrid>
      <w:tr>
        <w:trPr/>
        <w:tc>
          <w:tcPr>
            <w:tcW w:w="16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9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6d44722bfc2543dbbba9716d9e560c58_16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color w:val="0000FF"/>
                  <w:sz w:val="18"/>
                  <w:u w:val="single"/>
                </w:rPr>
                <w:t>Table of Contents</w:t>
              </w:r>
            </w:hyperlink>
          </w:p>
        </w:tc>
        <w:tc>
          <w:tcPr>
            <w:tcW w:w="396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 xml:space="preserve"> 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Information about our Executive Officers</w:t>
            </w:r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36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F47521"/>
          <w:sz w:val="36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F47521"/>
          <w:sz w:val="36"/>
          <w:u w:val="none"/>
          <w:effect w:val="none"/>
        </w:rPr>
        <w:t>INFORMATION ABOUT OUR EXECUTIVE OFFICERS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The following chart sets forth certain information regarding our executive officers as of April 15, 2026: </w:t>
      </w:r>
    </w:p>
    <w:tbl>
      <w:tblPr>
        <w:tblW w:w="9003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121"/>
        <w:gridCol w:w="496"/>
        <w:gridCol w:w="5386"/>
      </w:tblGrid>
      <w:tr>
        <w:trPr/>
        <w:tc>
          <w:tcPr>
            <w:tcW w:w="31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3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121" w:type="dxa"/>
            <w:tcBorders>
              <w:bottom w:val="single" w:sz="8" w:space="0" w:color="F47521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Name</w:t>
            </w:r>
          </w:p>
        </w:tc>
        <w:tc>
          <w:tcPr>
            <w:tcW w:w="496" w:type="dxa"/>
            <w:tcBorders>
              <w:bottom w:val="single" w:sz="8" w:space="0" w:color="F47521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Age</w:t>
            </w:r>
          </w:p>
        </w:tc>
        <w:tc>
          <w:tcPr>
            <w:tcW w:w="5386" w:type="dxa"/>
            <w:tcBorders>
              <w:bottom w:val="single" w:sz="8" w:space="0" w:color="F47521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Position</w:t>
            </w:r>
          </w:p>
        </w:tc>
      </w:tr>
      <w:tr>
        <w:trPr/>
        <w:tc>
          <w:tcPr>
            <w:tcW w:w="3121" w:type="dxa"/>
            <w:tcBorders>
              <w:top w:val="single" w:sz="8" w:space="0" w:color="F47521"/>
              <w:bottom w:val="single" w:sz="4" w:space="0" w:color="B6B6B6"/>
            </w:tcBorders>
            <w:shd w:fill="DBDBD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Michael M. Morrissey, Ph.D. (1)</w:t>
            </w:r>
          </w:p>
        </w:tc>
        <w:tc>
          <w:tcPr>
            <w:tcW w:w="496" w:type="dxa"/>
            <w:tcBorders>
              <w:top w:val="single" w:sz="8" w:space="0" w:color="F47521"/>
              <w:bottom w:val="single" w:sz="4" w:space="0" w:color="B6B6B6"/>
            </w:tcBorders>
            <w:shd w:fill="DBDBD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65</w:t>
            </w:r>
          </w:p>
        </w:tc>
        <w:tc>
          <w:tcPr>
            <w:tcW w:w="5386" w:type="dxa"/>
            <w:tcBorders>
              <w:top w:val="single" w:sz="8" w:space="0" w:color="F47521"/>
              <w:bottom w:val="single" w:sz="4" w:space="0" w:color="B6B6B6"/>
            </w:tcBorders>
            <w:shd w:fill="DBDBD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President and Chief Executive Officer</w:t>
            </w:r>
          </w:p>
        </w:tc>
      </w:tr>
      <w:tr>
        <w:trPr/>
        <w:tc>
          <w:tcPr>
            <w:tcW w:w="3121" w:type="dxa"/>
            <w:tcBorders>
              <w:top w:val="single" w:sz="4" w:space="0" w:color="B6B6B6"/>
              <w:bottom w:val="single" w:sz="4" w:space="0" w:color="B6B6B6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Christopher J. Senner</w:t>
            </w:r>
          </w:p>
        </w:tc>
        <w:tc>
          <w:tcPr>
            <w:tcW w:w="496" w:type="dxa"/>
            <w:tcBorders>
              <w:top w:val="single" w:sz="4" w:space="0" w:color="B6B6B6"/>
              <w:bottom w:val="single" w:sz="4" w:space="0" w:color="B6B6B6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58</w:t>
            </w:r>
          </w:p>
        </w:tc>
        <w:tc>
          <w:tcPr>
            <w:tcW w:w="5386" w:type="dxa"/>
            <w:tcBorders>
              <w:top w:val="single" w:sz="4" w:space="0" w:color="B6B6B6"/>
              <w:bottom w:val="single" w:sz="4" w:space="0" w:color="B6B6B6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Executive Vice President and Chief Financial Officer</w:t>
            </w:r>
          </w:p>
        </w:tc>
      </w:tr>
      <w:tr>
        <w:trPr/>
        <w:tc>
          <w:tcPr>
            <w:tcW w:w="3121" w:type="dxa"/>
            <w:tcBorders>
              <w:top w:val="single" w:sz="4" w:space="0" w:color="B6B6B6"/>
              <w:bottom w:val="single" w:sz="4" w:space="0" w:color="B6B6B6"/>
            </w:tcBorders>
            <w:shd w:fill="DBDBD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Dana T. Aftab, Ph.D.</w:t>
            </w:r>
          </w:p>
        </w:tc>
        <w:tc>
          <w:tcPr>
            <w:tcW w:w="496" w:type="dxa"/>
            <w:tcBorders>
              <w:top w:val="single" w:sz="4" w:space="0" w:color="B6B6B6"/>
              <w:bottom w:val="single" w:sz="4" w:space="0" w:color="B6B6B6"/>
            </w:tcBorders>
            <w:shd w:fill="DBDBD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63</w:t>
            </w:r>
          </w:p>
        </w:tc>
        <w:tc>
          <w:tcPr>
            <w:tcW w:w="5386" w:type="dxa"/>
            <w:tcBorders>
              <w:top w:val="single" w:sz="4" w:space="0" w:color="B6B6B6"/>
              <w:bottom w:val="single" w:sz="4" w:space="0" w:color="B6B6B6"/>
            </w:tcBorders>
            <w:shd w:fill="DBDBD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Executive Vice President, Research and Development</w:t>
            </w:r>
          </w:p>
        </w:tc>
      </w:tr>
      <w:tr>
        <w:trPr/>
        <w:tc>
          <w:tcPr>
            <w:tcW w:w="3121" w:type="dxa"/>
            <w:tcBorders>
              <w:top w:val="single" w:sz="4" w:space="0" w:color="B6B6B6"/>
              <w:bottom w:val="single" w:sz="4" w:space="0" w:color="B6B6B6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Patrick J. Haley</w:t>
            </w:r>
          </w:p>
        </w:tc>
        <w:tc>
          <w:tcPr>
            <w:tcW w:w="496" w:type="dxa"/>
            <w:tcBorders>
              <w:top w:val="single" w:sz="4" w:space="0" w:color="B6B6B6"/>
              <w:bottom w:val="single" w:sz="4" w:space="0" w:color="B6B6B6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50</w:t>
            </w:r>
          </w:p>
        </w:tc>
        <w:tc>
          <w:tcPr>
            <w:tcW w:w="5386" w:type="dxa"/>
            <w:tcBorders>
              <w:top w:val="single" w:sz="4" w:space="0" w:color="B6B6B6"/>
              <w:bottom w:val="single" w:sz="4" w:space="0" w:color="B6B6B6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Executive Vice President, Commercial</w:t>
            </w:r>
          </w:p>
        </w:tc>
      </w:tr>
      <w:tr>
        <w:trPr/>
        <w:tc>
          <w:tcPr>
            <w:tcW w:w="3121" w:type="dxa"/>
            <w:tcBorders>
              <w:top w:val="single" w:sz="4" w:space="0" w:color="B6B6B6"/>
              <w:bottom w:val="single" w:sz="4" w:space="0" w:color="B6B6B6"/>
            </w:tcBorders>
            <w:shd w:fill="DBDBD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Brenda J. Hefti, J.D., Ph.D. </w:t>
            </w:r>
          </w:p>
        </w:tc>
        <w:tc>
          <w:tcPr>
            <w:tcW w:w="496" w:type="dxa"/>
            <w:tcBorders>
              <w:top w:val="single" w:sz="4" w:space="0" w:color="B6B6B6"/>
              <w:bottom w:val="single" w:sz="4" w:space="0" w:color="B6B6B6"/>
            </w:tcBorders>
            <w:shd w:fill="DBDBD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52</w:t>
            </w:r>
          </w:p>
        </w:tc>
        <w:tc>
          <w:tcPr>
            <w:tcW w:w="5386" w:type="dxa"/>
            <w:tcBorders>
              <w:top w:val="single" w:sz="4" w:space="0" w:color="B6B6B6"/>
              <w:bottom w:val="single" w:sz="4" w:space="0" w:color="B6B6B6"/>
            </w:tcBorders>
            <w:shd w:fill="DBDBD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Senior Vice President and General Counsel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(1)</w:t>
      </w:r>
      <w:r>
        <w:rPr>
          <w:caps w:val="false"/>
          <w:smallCaps w:val="false"/>
          <w:strike w:val="false"/>
          <w:dstrike w:val="false"/>
          <w:color w:val="3F3F3F"/>
          <w:u w:val="none"/>
          <w:effect w:val="none"/>
        </w:rPr>
        <w:t xml:space="preserve">   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Please see “</w:t>
      </w:r>
      <w:hyperlink w:anchor="i6d44722bfc2543dbbba9716d9e560c58_55">
        <w:r>
          <w:rPr>
            <w:rStyle w:val="InternetLink"/>
            <w:rFonts w:ascii="sans-serif" w:hAnsi="sans-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Director Nominees</w:t>
        </w:r>
      </w:hyperlink>
      <w:r>
        <w:rPr>
          <w:caps w:val="false"/>
          <w:smallCaps w:val="false"/>
          <w:strike w:val="false"/>
          <w:dstrike w:val="false"/>
          <w:color w:val="3F3F3F"/>
          <w:u w:val="none"/>
          <w:effect w:val="none"/>
        </w:rPr>
        <w:t xml:space="preserve">”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in this Proxy Statement for Dr. Morrissey’s biography. </w:t>
      </w: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205" w:type="dxa"/>
            <w:tcBorders>
              <w:bottom w:val="single" w:sz="8" w:space="0" w:color="F47521"/>
            </w:tcBorders>
            <w:shd w:fill="E5E5E5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360" w:before="0" w:after="0"/>
              <w:jc w:val="left"/>
              <w:rPr>
                <w:rFonts w:ascii="sans-serif" w:hAnsi="sans-serif"/>
                <w:b w:val="false"/>
                <w:i/>
                <w:strike w:val="false"/>
                <w:dstrike w:val="false"/>
                <w:color w:val="F47521"/>
                <w:sz w:val="3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/>
                <w:strike w:val="false"/>
                <w:dstrike w:val="false"/>
                <w:color w:val="F47521"/>
                <w:sz w:val="36"/>
                <w:u w:val="none"/>
                <w:effect w:val="none"/>
              </w:rPr>
              <w:t>Christopher J. Senner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Executive Vice President and Chief Financial Officer</w:t>
            </w:r>
          </w:p>
        </w:tc>
      </w:tr>
      <w:tr>
        <w:trPr/>
        <w:tc>
          <w:tcPr>
            <w:tcW w:w="10205" w:type="dxa"/>
            <w:tcBorders>
              <w:top w:val="single" w:sz="8" w:space="0" w:color="F47521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Christopher J. Senner, has served as Executive Vice President and Chief Financial Officer (and in such capacity, as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our principal financial officer and principal accounting officer, as defined under applicable securities laws) since July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2015. Prior to joining Exelixis, Mr. Senner served as Vice President, Corporate Finance for Gilead Sciences, Inc., a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biopharmaceutical company, from March 2010 to July 2015, where he was accountable for controllership, tax,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treasury and corporate and operational financial planning. Mr. Senner previously spent eighteen years at Wyeth, a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pharmaceutical company acquired by Pfizer Inc. in 2009, in a variety of financial roles with increasing responsibility,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most notably as Chief Financial Officer of Wyeth’s U.S. pharmaceuticals business and the BioPharma Business Unit.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Since 2019, Mr. Senner has served as a member of the board of directors of Quince Therapeutics, Inc., a publicly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held clinical-stage biopharmaceutical company. Mr. Senner holds a B.S. in Finance from Bentley College.</w:t>
            </w:r>
          </w:p>
        </w:tc>
      </w:tr>
      <w:tr>
        <w:trPr/>
        <w:tc>
          <w:tcPr>
            <w:tcW w:w="10205" w:type="dxa"/>
            <w:tcBorders>
              <w:bottom w:val="single" w:sz="8" w:space="0" w:color="F47521"/>
            </w:tcBorders>
            <w:shd w:fill="E5E5E5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360" w:before="0" w:after="0"/>
              <w:jc w:val="left"/>
              <w:rPr>
                <w:rFonts w:ascii="sans-serif" w:hAnsi="sans-serif"/>
                <w:b w:val="false"/>
                <w:i/>
                <w:strike w:val="false"/>
                <w:dstrike w:val="false"/>
                <w:color w:val="F47521"/>
                <w:sz w:val="3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/>
                <w:strike w:val="false"/>
                <w:dstrike w:val="false"/>
                <w:color w:val="F47521"/>
                <w:sz w:val="36"/>
                <w:u w:val="none"/>
                <w:effect w:val="none"/>
              </w:rPr>
              <w:t>Dana T. Aftab, Ph.D.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Executive Vice President, Research and Development</w:t>
            </w:r>
          </w:p>
        </w:tc>
      </w:tr>
      <w:tr>
        <w:trPr/>
        <w:tc>
          <w:tcPr>
            <w:tcW w:w="10205" w:type="dxa"/>
            <w:tcBorders>
              <w:top w:val="single" w:sz="8" w:space="0" w:color="F47521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Dana T. Aftab, Ph.D., has served as the Executive Vice President, Research &amp; Development at Exelixis since August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2025. Previously, he served as Executive Vice President, Discovery and Translational Research and Chief Scientific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Officer at Exelixis from December 2022 to August 2025, where he led research efforts to drive innovation and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expand the company’s product candidate pipeline, and as Executive Vice President, Business Operations from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February 2016 to December 2022, during which time he oversaw the company’s corporate site development and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campus operations, including the opening of new laboratory buildings at Exelixis’ Alameda campus. Dr. Aftab first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joined Exelixis in 1998, starting in Exelixis’ Drug Discovery organization, where he led teams that drove the discovery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and development of the company’s approved medicines, including cabozantinib. In 2007, he moved into the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company’s clinical development organization, where he led the effort to streamline Exelixis’ processes for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transitioning drug discovery programs into clinical development, serving as Senior Vice President, Translational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Research from 2009 to 2016. Prior to joining Exelixis, Dr. Aftab held senior scientist positions at several biotech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start-ups. Dr. Aftab holds B.A. and Ph.D. degrees in pharmacology from the University of California, Santa Barbara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and Yale University, respectively, and did his postdoctoral work at the University of California, Berkeley in the field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of oncogene signaling.</w:t>
            </w:r>
          </w:p>
        </w:tc>
      </w:tr>
    </w:tbl>
    <w:tbl>
      <w:tblPr>
        <w:tblW w:w="174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61"/>
        <w:gridCol w:w="1381"/>
      </w:tblGrid>
      <w:tr>
        <w:trPr/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  <w:t>60</w:t>
            </w:r>
          </w:p>
        </w:tc>
        <w:tc>
          <w:tcPr>
            <w:tcW w:w="138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Exelixis, Inc.</w:t>
            </w:r>
          </w:p>
        </w:tc>
      </w:tr>
    </w:tbl>
    <w:tbl>
      <w:tblPr>
        <w:tblW w:w="1850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696"/>
        <w:gridCol w:w="154"/>
      </w:tblGrid>
      <w:tr>
        <w:trPr/>
        <w:tc>
          <w:tcPr>
            <w:tcW w:w="16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9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6d44722bfc2543dbbba9716d9e560c58_16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color w:val="0000FF"/>
                  <w:sz w:val="18"/>
                  <w:u w:val="single"/>
                </w:rPr>
                <w:t>Table of Contents</w:t>
              </w:r>
            </w:hyperlink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205" w:type="dxa"/>
            <w:tcBorders>
              <w:bottom w:val="single" w:sz="8" w:space="0" w:color="F47521"/>
            </w:tcBorders>
            <w:shd w:fill="E5E5E5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360" w:before="0" w:after="0"/>
              <w:jc w:val="left"/>
              <w:rPr>
                <w:rFonts w:ascii="sans-serif" w:hAnsi="sans-serif"/>
                <w:b w:val="false"/>
                <w:i/>
                <w:strike w:val="false"/>
                <w:dstrike w:val="false"/>
                <w:color w:val="F47521"/>
                <w:sz w:val="3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/>
                <w:strike w:val="false"/>
                <w:dstrike w:val="false"/>
                <w:color w:val="F47521"/>
                <w:sz w:val="36"/>
                <w:u w:val="none"/>
                <w:effect w:val="none"/>
              </w:rPr>
              <w:t>Patrick J. Haley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Executive Vice President, Commercial</w:t>
            </w:r>
          </w:p>
        </w:tc>
      </w:tr>
      <w:tr>
        <w:trPr/>
        <w:tc>
          <w:tcPr>
            <w:tcW w:w="10205" w:type="dxa"/>
            <w:tcBorders>
              <w:top w:val="single" w:sz="8" w:space="0" w:color="F47521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Patrick J. Haley, has served as the company’s Executive Vice President, Commercial since February 2020 and has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held positions of progressive commercial leadership since September 2010, serving as Senior Vice President,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Commercial from December 2016 to February 2020, Vice President, Commercial from November 2014 to November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2016, Executive Director, Sales &amp; Marketing from September 2013 to October 2014, Senior Director, Marketing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from March 2012 to August 2013, and as Director, Marketing from September 2010 to February 2012. Prior to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joining Exelixis, from 2007 to 2010, he held positions of increasing responsibility at Genentech, Inc., on the Avastin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marketing team, most recently Group Product Manager. Between 2003 and 2007, Mr. Haley served in various sales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and marketing roles at Amgen. He served as an analyst at PWC Securities, Lehman Brothers and Accenture from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1998 to 2001. Since October 2024, Mr. Haley has served as a member of the board of directors of NetraMark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Holdings Inc., a publicly held generative AI software company focused on clinical trial analytics. Mr. Haley holds a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Masters of Business Administration from University of Michigan, Ross School of Business, and a Bachelor of Arts in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Art History and Medieval and Renaissance Studies from Duke University.</w:t>
            </w:r>
          </w:p>
        </w:tc>
      </w:tr>
      <w:tr>
        <w:trPr/>
        <w:tc>
          <w:tcPr>
            <w:tcW w:w="10205" w:type="dxa"/>
            <w:tcBorders>
              <w:bottom w:val="single" w:sz="8" w:space="0" w:color="F47521"/>
            </w:tcBorders>
            <w:shd w:fill="E5E5E5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360" w:before="0" w:after="0"/>
              <w:jc w:val="left"/>
              <w:rPr>
                <w:rFonts w:ascii="sans-serif" w:hAnsi="sans-serif"/>
                <w:b w:val="false"/>
                <w:i/>
                <w:strike w:val="false"/>
                <w:dstrike w:val="false"/>
                <w:color w:val="F47521"/>
                <w:sz w:val="3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/>
                <w:strike w:val="false"/>
                <w:dstrike w:val="false"/>
                <w:color w:val="F47521"/>
                <w:sz w:val="36"/>
                <w:u w:val="none"/>
                <w:effect w:val="none"/>
              </w:rPr>
              <w:t>Brenda J. Hefti, J.D., Ph.D.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Senior Vice President and General Counsel</w:t>
            </w:r>
          </w:p>
        </w:tc>
      </w:tr>
      <w:tr>
        <w:trPr/>
        <w:tc>
          <w:tcPr>
            <w:tcW w:w="10205" w:type="dxa"/>
            <w:tcBorders>
              <w:top w:val="single" w:sz="8" w:space="0" w:color="F47521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Brenda J. Hefti, J.D., Ph.D., has served as Senior Vice President and General Counsel since November 2025. Dr. Hefti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has held several positions of increasing responsibility at Exelixis since she joined the company in 2013, including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serving as Senior Vice President, Intellectual Property and Licensing from 2019 to 2025. From 2010 to 2013, Dr.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Hefti served as Assistant Director, Industry Contracts at the University of California, San Francisco (UCSF), where she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led negotiations for several strategic partnerships between UCSF and pharmaceutical companies, and worked on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research and clinical transactions, patent strategy and licensing. From 2008 to 2010, Dr. Hefti was an Associate at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Wilson Sonsini Goodrich &amp; Rosati, LLP, where she advised public and private medical device and biotechnology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companies on corporate governance, mergers and acquisitions, public company reporting and private equity and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debt financings. Dr. Hefti received her J.D. from the University of California School of Law and is admitted to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practice in California and before the U.S. Patent and Trademark Office. She received her Ph.D. in Neuroscience from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the University of Wisconsin, Madison, and holds B.A.s in Molecular and Cell Biology and English Literature from the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University of California, Berkeley.</w:t>
            </w:r>
          </w:p>
        </w:tc>
      </w:tr>
    </w:tbl>
    <w:tbl>
      <w:tblPr>
        <w:tblW w:w="256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176"/>
        <w:gridCol w:w="391"/>
      </w:tblGrid>
      <w:tr>
        <w:trPr/>
        <w:tc>
          <w:tcPr>
            <w:tcW w:w="21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7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40404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404040"/>
                <w:sz w:val="18"/>
                <w:u w:val="none"/>
                <w:effect w:val="none"/>
              </w:rPr>
              <w:t>2026 Proxy Statement</w:t>
            </w:r>
          </w:p>
        </w:tc>
        <w:tc>
          <w:tcPr>
            <w:tcW w:w="39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  <w:t>61</w:t>
            </w:r>
          </w:p>
        </w:tc>
      </w:tr>
    </w:tbl>
    <w:tbl>
      <w:tblPr>
        <w:tblW w:w="871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696"/>
        <w:gridCol w:w="7021"/>
      </w:tblGrid>
      <w:tr>
        <w:trPr/>
        <w:tc>
          <w:tcPr>
            <w:tcW w:w="16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9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6d44722bfc2543dbbba9716d9e560c58_16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color w:val="0000FF"/>
                  <w:sz w:val="18"/>
                  <w:u w:val="single"/>
                </w:rPr>
                <w:t>Table of Contents</w:t>
              </w:r>
            </w:hyperlink>
          </w:p>
        </w:tc>
        <w:tc>
          <w:tcPr>
            <w:tcW w:w="702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 xml:space="preserve">Compensation of Executive Officers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C4C02"/>
                <w:sz w:val="18"/>
                <w:u w:val="none"/>
                <w:effect w:val="none"/>
              </w:rPr>
              <w:t>|</w:t>
            </w: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 xml:space="preserve">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Compensation Discussion and Analysis</w:t>
            </w:r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36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F47521"/>
          <w:sz w:val="36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F47521"/>
          <w:sz w:val="36"/>
          <w:u w:val="none"/>
          <w:effect w:val="none"/>
        </w:rPr>
        <w:t>COMPENSATION OF EXECUTIVE OFFICERS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F47521"/>
          <w:sz w:val="2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F47521"/>
          <w:sz w:val="28"/>
          <w:u w:val="none"/>
          <w:effect w:val="none"/>
        </w:rPr>
        <w:t>Compensation Discussion and Analysis</w:t>
      </w:r>
    </w:p>
    <w:tbl>
      <w:tblPr>
        <w:tblW w:w="169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69"/>
      </w:tblGrid>
      <w:tr>
        <w:trPr/>
        <w:tc>
          <w:tcPr>
            <w:tcW w:w="16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9" w:type="dxa"/>
            <w:tcBorders>
              <w:top w:val="single" w:sz="8" w:space="0" w:color="F47521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This Compensation Discussion and Analysis (CD&amp;A) explains the strategy, design, and decision-making related to our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compensation programs and practices for our following named executive officers (NEOs). This CD&amp;A is intended to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provide perspective on the information contained in the tables that follow this discussion. </w:t>
      </w: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796"/>
        <w:gridCol w:w="7409"/>
      </w:tblGrid>
      <w:tr>
        <w:trPr/>
        <w:tc>
          <w:tcPr>
            <w:tcW w:w="27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796" w:type="dxa"/>
            <w:tcBorders>
              <w:bottom w:val="single" w:sz="8" w:space="0" w:color="F47521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sz w:val="24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33333"/>
                <w:sz w:val="18"/>
                <w:u w:val="none"/>
                <w:effect w:val="none"/>
              </w:rPr>
              <w:t>Our 2025</w:t>
            </w:r>
            <w:r>
              <w:rPr>
                <w:caps w:val="false"/>
                <w:smallCaps w:val="false"/>
                <w:strike w:val="false"/>
                <w:dstrike w:val="false"/>
                <w:color w:val="333333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33333"/>
                <w:sz w:val="18"/>
                <w:u w:val="none"/>
                <w:effect w:val="none"/>
              </w:rPr>
              <w:t>NEOs</w:t>
            </w:r>
          </w:p>
        </w:tc>
        <w:tc>
          <w:tcPr>
            <w:tcW w:w="7409" w:type="dxa"/>
            <w:tcBorders>
              <w:bottom w:val="single" w:sz="8" w:space="0" w:color="F47521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33333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33333"/>
                <w:sz w:val="18"/>
                <w:u w:val="none"/>
                <w:effect w:val="none"/>
              </w:rPr>
              <w:t>Title</w:t>
            </w:r>
          </w:p>
        </w:tc>
      </w:tr>
      <w:tr>
        <w:trPr/>
        <w:tc>
          <w:tcPr>
            <w:tcW w:w="2796" w:type="dxa"/>
            <w:tcBorders>
              <w:top w:val="single" w:sz="8" w:space="0" w:color="F47521"/>
              <w:bottom w:val="single" w:sz="4" w:space="0" w:color="B6B6B6"/>
            </w:tcBorders>
            <w:shd w:fill="E5E5E5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Michael M. Morrissey, Ph.D.</w:t>
            </w:r>
          </w:p>
        </w:tc>
        <w:tc>
          <w:tcPr>
            <w:tcW w:w="7409" w:type="dxa"/>
            <w:tcBorders>
              <w:top w:val="single" w:sz="8" w:space="0" w:color="F47521"/>
              <w:bottom w:val="single" w:sz="4" w:space="0" w:color="B6B6B6"/>
            </w:tcBorders>
            <w:shd w:fill="E5E5E5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President and Chief Executive Officer</w:t>
            </w:r>
          </w:p>
        </w:tc>
      </w:tr>
      <w:tr>
        <w:trPr/>
        <w:tc>
          <w:tcPr>
            <w:tcW w:w="2796" w:type="dxa"/>
            <w:tcBorders>
              <w:top w:val="single" w:sz="4" w:space="0" w:color="B6B6B6"/>
              <w:bottom w:val="single" w:sz="4" w:space="0" w:color="B6B6B6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Christopher J. Senner</w:t>
            </w:r>
          </w:p>
        </w:tc>
        <w:tc>
          <w:tcPr>
            <w:tcW w:w="7409" w:type="dxa"/>
            <w:tcBorders>
              <w:top w:val="single" w:sz="4" w:space="0" w:color="B6B6B6"/>
              <w:bottom w:val="single" w:sz="4" w:space="0" w:color="B6B6B6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Executive Vice President and Chief Financial Officer</w:t>
            </w:r>
          </w:p>
        </w:tc>
      </w:tr>
      <w:tr>
        <w:trPr/>
        <w:tc>
          <w:tcPr>
            <w:tcW w:w="2796" w:type="dxa"/>
            <w:tcBorders>
              <w:top w:val="single" w:sz="4" w:space="0" w:color="B6B6B6"/>
              <w:bottom w:val="single" w:sz="4" w:space="0" w:color="B6B6B6"/>
            </w:tcBorders>
            <w:shd w:fill="E5E5E5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Dana T. Aftab, Ph.D.</w:t>
            </w:r>
          </w:p>
        </w:tc>
        <w:tc>
          <w:tcPr>
            <w:tcW w:w="7409" w:type="dxa"/>
            <w:tcBorders>
              <w:top w:val="single" w:sz="4" w:space="0" w:color="B6B6B6"/>
              <w:bottom w:val="single" w:sz="4" w:space="0" w:color="B6B6B6"/>
            </w:tcBorders>
            <w:shd w:fill="E5E5E5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Executive Vice President, Research and Development</w:t>
            </w:r>
          </w:p>
        </w:tc>
      </w:tr>
      <w:tr>
        <w:trPr/>
        <w:tc>
          <w:tcPr>
            <w:tcW w:w="2796" w:type="dxa"/>
            <w:tcBorders>
              <w:top w:val="single" w:sz="4" w:space="0" w:color="B6B6B6"/>
              <w:bottom w:val="single" w:sz="4" w:space="0" w:color="B6B6B6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Patrick J. Haley</w:t>
            </w:r>
          </w:p>
        </w:tc>
        <w:tc>
          <w:tcPr>
            <w:tcW w:w="7409" w:type="dxa"/>
            <w:tcBorders>
              <w:top w:val="single" w:sz="4" w:space="0" w:color="B6B6B6"/>
              <w:bottom w:val="single" w:sz="4" w:space="0" w:color="B6B6B6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Executive Vice President, Commercial</w:t>
            </w:r>
          </w:p>
        </w:tc>
      </w:tr>
      <w:tr>
        <w:trPr/>
        <w:tc>
          <w:tcPr>
            <w:tcW w:w="2796" w:type="dxa"/>
            <w:tcBorders>
              <w:top w:val="single" w:sz="4" w:space="0" w:color="B6B6B6"/>
              <w:bottom w:val="single" w:sz="4" w:space="0" w:color="B6B6B6"/>
            </w:tcBorders>
            <w:shd w:fill="E5E5E5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Brenda J. Hefti, J.D., Ph.D. (1)</w:t>
            </w:r>
          </w:p>
        </w:tc>
        <w:tc>
          <w:tcPr>
            <w:tcW w:w="7409" w:type="dxa"/>
            <w:tcBorders>
              <w:top w:val="single" w:sz="4" w:space="0" w:color="B6B6B6"/>
              <w:bottom w:val="single" w:sz="4" w:space="0" w:color="B6B6B6"/>
            </w:tcBorders>
            <w:shd w:fill="E5E5E5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Senior Vice President and General Counsel</w:t>
            </w:r>
          </w:p>
        </w:tc>
      </w:tr>
      <w:tr>
        <w:trPr/>
        <w:tc>
          <w:tcPr>
            <w:tcW w:w="2796" w:type="dxa"/>
            <w:tcBorders>
              <w:top w:val="single" w:sz="4" w:space="0" w:color="B6B6B6"/>
              <w:bottom w:val="single" w:sz="4" w:space="0" w:color="B6B6B6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Jeffrey J. Hessekiel, J.D. (2)</w:t>
            </w:r>
          </w:p>
        </w:tc>
        <w:tc>
          <w:tcPr>
            <w:tcW w:w="7409" w:type="dxa"/>
            <w:tcBorders>
              <w:top w:val="single" w:sz="4" w:space="0" w:color="B6B6B6"/>
              <w:bottom w:val="single" w:sz="4" w:space="0" w:color="B6B6B6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Former Executive Vice President and General Counsel</w:t>
            </w:r>
          </w:p>
        </w:tc>
      </w:tr>
      <w:tr>
        <w:trPr/>
        <w:tc>
          <w:tcPr>
            <w:tcW w:w="2796" w:type="dxa"/>
            <w:tcBorders>
              <w:top w:val="single" w:sz="4" w:space="0" w:color="B6B6B6"/>
              <w:bottom w:val="single" w:sz="8" w:space="0" w:color="F47521"/>
            </w:tcBorders>
            <w:shd w:fill="E5E5E5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Amy C. Peterson, M.D. (3)</w:t>
            </w:r>
          </w:p>
        </w:tc>
        <w:tc>
          <w:tcPr>
            <w:tcW w:w="7409" w:type="dxa"/>
            <w:tcBorders>
              <w:top w:val="single" w:sz="4" w:space="0" w:color="B6B6B6"/>
              <w:bottom w:val="single" w:sz="8" w:space="0" w:color="F47521"/>
            </w:tcBorders>
            <w:shd w:fill="E5E5E5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Former Executive Vice President, Product Development and Medical Affairs and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Chief Medical Officer</w:t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>(1)Dr. Hefti was appointed as General Counsel in November 2025, when she became an executive officer of the company.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>(2)Mr. Hessekiel left the company in November 2025.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>(3)Dr. Peterson left the company in August 2025.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While the principal purpose of this CD&amp;A is to discuss the compensation of our NEOs, many of the programs discussed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apply to other membe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53585B"/>
          <w:sz w:val="20"/>
          <w:u w:val="none"/>
          <w:effect w:val="none"/>
        </w:rPr>
        <w:t>rs of sen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ior management who, together with the NEOs, are collectively referred to as our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executive offic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53585B"/>
          <w:sz w:val="20"/>
          <w:u w:val="none"/>
          <w:effect w:val="none"/>
        </w:rPr>
        <w:t xml:space="preserve">ers. As the market for top talent in the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biopharmaceutical industry is intensely competitive, the primary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goals of our executive compensation program are to: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3F3F3F"/>
          <w:u w:val="none"/>
          <w:effect w:val="none"/>
        </w:rPr>
        <w:t>›</w:t>
      </w:r>
      <w:r>
        <w:rPr>
          <w:caps w:val="false"/>
          <w:smallCaps w:val="false"/>
          <w:strike w:val="false"/>
          <w:dstrike w:val="false"/>
          <w:color w:val="FC7841"/>
          <w:u w:val="none"/>
          <w:effect w:val="none"/>
        </w:rPr>
        <w:t>›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Provide market-competitive compensation that attracts, motivates and retains executive officers who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present the skills, expertise, and experience necessary to grow our business and sustain our mission;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3F3F3F"/>
          <w:u w:val="none"/>
          <w:effect w:val="none"/>
        </w:rPr>
        <w:t>›</w:t>
      </w:r>
      <w:r>
        <w:rPr>
          <w:caps w:val="false"/>
          <w:smallCaps w:val="false"/>
          <w:strike w:val="false"/>
          <w:dstrike w:val="false"/>
          <w:color w:val="FC7841"/>
          <w:u w:val="none"/>
          <w:effect w:val="none"/>
        </w:rPr>
        <w:t>›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Balance shorter- and longer-term incentives and incorporate compensation elements that reward both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service over time and performance;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3F3F3F"/>
          <w:u w:val="none"/>
          <w:effect w:val="none"/>
        </w:rPr>
        <w:t>›</w:t>
      </w:r>
      <w:r>
        <w:rPr>
          <w:caps w:val="false"/>
          <w:smallCaps w:val="false"/>
          <w:strike w:val="false"/>
          <w:dstrike w:val="false"/>
          <w:color w:val="FC7841"/>
          <w:u w:val="none"/>
          <w:effect w:val="none"/>
        </w:rPr>
        <w:t>›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Align our executive officers’ compensation with the interests of our stockholders; and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3F3F3F"/>
          <w:u w:val="none"/>
          <w:effect w:val="none"/>
        </w:rPr>
        <w:t>›</w:t>
      </w:r>
      <w:r>
        <w:rPr>
          <w:caps w:val="false"/>
          <w:smallCaps w:val="false"/>
          <w:strike w:val="false"/>
          <w:dstrike w:val="false"/>
          <w:color w:val="FC7841"/>
          <w:u w:val="none"/>
          <w:effect w:val="none"/>
        </w:rPr>
        <w:t>›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Reward our executive officers for success in achieving our corporate goals.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We believe that continuity in a core team of highly qualified employees, including our NEOs, is critical to the success of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our business. Large pharmaceutical and biotechnology companies and strong local competitors have pursued our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executives and other highly skilled employees, reflecting the strong market demand for their expertise. In this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competitive environment, we evaluate the market for talent each year as part of our review of our executive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compensation program’s effectiveness in attracting and retaining individuals with the experience needed to lead the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varied aspects of our complex biopharmaceutical operations, including when determining NEO compensation.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F47521"/>
          <w:sz w:val="2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F47521"/>
          <w:sz w:val="28"/>
          <w:u w:val="none"/>
          <w:effect w:val="none"/>
        </w:rPr>
        <w:t>Executive Summary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</w:pPr>
      <w:r>
        <w:rPr>
          <w:rFonts w:ascii="sans-serif" w:hAnsi="sans-serif"/>
          <w:b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  <w:t xml:space="preserve">Our Business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We are an oncology company innovating next-generation medicines and regimens at the forefront of cancer care. We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have produced four marketed pharmaceutical products, two of which are formulations of our flagship molecule,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cabozantinib, and we are steadily advancing our product pipeline portfolio, including our lead clinical asset,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zanzalintinib, currently under review by the U.S. Food and Drug Administration (FDA) for the treatment of certain forms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of colorectal cancer (CRC) and also the focus of an extensive late</w:t>
        <w:noBreakHyphen/>
        <w:t xml:space="preserve">stage clinical development program in other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indications. We leverage our rational and disciplined investments, expertise and strategic partnerships to identify and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pursue opportunities across the landscape of scientific modalities, including small molecules and biotherapeutics, such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as antibody-drug conjugates (ADCs). </w:t>
      </w:r>
    </w:p>
    <w:tbl>
      <w:tblPr>
        <w:tblW w:w="174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61"/>
        <w:gridCol w:w="1381"/>
      </w:tblGrid>
      <w:tr>
        <w:trPr/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  <w:t>62</w:t>
            </w:r>
          </w:p>
        </w:tc>
        <w:tc>
          <w:tcPr>
            <w:tcW w:w="138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Exelixis, Inc.</w:t>
            </w:r>
          </w:p>
        </w:tc>
      </w:tr>
    </w:tbl>
    <w:tbl>
      <w:tblPr>
        <w:tblW w:w="1850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696"/>
        <w:gridCol w:w="154"/>
      </w:tblGrid>
      <w:tr>
        <w:trPr/>
        <w:tc>
          <w:tcPr>
            <w:tcW w:w="16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9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6d44722bfc2543dbbba9716d9e560c58_16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color w:val="0000FF"/>
                  <w:sz w:val="18"/>
                  <w:u w:val="single"/>
                </w:rPr>
                <w:t>Table of Contents</w:t>
              </w:r>
            </w:hyperlink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Sales related to cabozantinib account for the majority of our revenues. Cabozantinib is an inhibitor of multiple tyrosine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kinases, including MET, AXL, VEGF receptors and RET and has been approved by the FDA, and in 68 other countries as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of January 2, 2026</w:t>
      </w:r>
      <w:r>
        <w:rPr>
          <w:caps w:val="false"/>
          <w:smallCaps w:val="false"/>
          <w:strike w:val="false"/>
          <w:dstrike w:val="false"/>
          <w:color w:val="3F3F3F"/>
          <w:sz w:val="24"/>
          <w:u w:val="none"/>
          <w:effect w:val="none"/>
        </w:rPr>
        <w:t xml:space="preserve"> </w:t>
      </w:r>
      <w:r>
        <w:rPr>
          <w:rFonts w:ascii="sans-serif" w:hAnsi="sans-serif"/>
          <w:b w:val="false"/>
          <w:i w:val="false"/>
          <w:caps w:val="false"/>
          <w:smallCaps w:val="false"/>
          <w:sz w:val="20"/>
        </w:rPr>
        <w:t>f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or all or a combination of, the following: as CABOMETYX® (cabozantinib) tablets for advanced renal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cell carcinoma (RCC) (both alone and in combination with Bristol-Myers Squibb Company’s nivolumab (OPDIVO®)),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previously treated hepatocellular carcinoma (HCC), previously treated, radioactive iodine (RAI)-refractory differentiated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thyroid cancer (DTC)</w:t>
      </w:r>
      <w:r>
        <w:rPr>
          <w:caps w:val="false"/>
          <w:smallCaps w:val="false"/>
        </w:rPr>
        <w:t xml:space="preserve"> </w:t>
      </w:r>
      <w:r>
        <w:rPr>
          <w:rFonts w:ascii="sans-serif" w:hAnsi="sans-serif"/>
          <w:b w:val="false"/>
          <w:i w:val="false"/>
          <w:caps w:val="false"/>
          <w:smallCaps w:val="false"/>
          <w:sz w:val="20"/>
        </w:rPr>
        <w:t>a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nd previously treated, unresectable, locally advanced or metastatic, well-differentiated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pancreatic neuroendocrine tumors (pNET) and extra-pancreatic neuroendocrine tumors (epNET); and as COMETRIQ®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(cabozantinib) capsules for progressive, metastatic medullary thyroid cancer (MTC). For physicians treating these types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of cancer, cabozantinib has become or is becoming an important medicine in their selection of effective therapies.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The other two products resulting from our discovery efforts are: COTELLIC® (cobimetinib), an inhibitor of MEK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approved as part of multiple combination regimens to treat specific forms of advanced melanoma and marketed under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a collaboration with Genentech, Inc. (a member of the Roche Group); and MINNEBRO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3"/>
          <w:u w:val="none"/>
          <w:effect w:val="none"/>
        </w:rPr>
        <w:t>®</w:t>
      </w:r>
      <w:r>
        <w:rPr>
          <w:caps w:val="false"/>
          <w:smallCaps w:val="false"/>
          <w:strike w:val="false"/>
          <w:dstrike w:val="false"/>
          <w:color w:val="3F3F3F"/>
          <w:u w:val="none"/>
          <w:effect w:val="none"/>
        </w:rPr>
        <w:t xml:space="preserve">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(esaxerenone), an oral, non-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steroidal, selective blocker of the mineralocorticoid receptor approved for the treatment of hypertension in Japan and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licensed to Daiichi Sankyo Company, Limited.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sans-serif" w:hAnsi="sans-serif"/>
          <w:b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  <w:t>2025</w:t>
      </w:r>
      <w:r>
        <w:rPr>
          <w:caps w:val="false"/>
          <w:smallCaps w:val="false"/>
          <w:strike w:val="false"/>
          <w:dstrike w:val="false"/>
          <w:color w:val="494949"/>
          <w:sz w:val="24"/>
          <w:u w:val="none"/>
          <w:effect w:val="none"/>
        </w:rPr>
        <w:t xml:space="preserve"> </w:t>
      </w:r>
      <w:r>
        <w:rPr>
          <w:rFonts w:ascii="sans-serif" w:hAnsi="sans-serif"/>
          <w:b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  <w:t xml:space="preserve">Strategy and Performance Highlights (1) </w:t>
      </w: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205" w:type="dxa"/>
            <w:tcBorders>
              <w:top w:val="single" w:sz="8" w:space="0" w:color="F47521"/>
              <w:left w:val="single" w:sz="8" w:space="0" w:color="F47521"/>
              <w:right w:val="single" w:sz="8" w:space="0" w:color="F47521"/>
            </w:tcBorders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205" w:type="dxa"/>
            <w:tcBorders>
              <w:left w:val="single" w:sz="8" w:space="0" w:color="F47521"/>
              <w:right w:val="single" w:sz="8" w:space="0" w:color="F47521"/>
            </w:tcBorders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Driven by strong execution across our commercial and research and development (R&amp;D) priorities, 2025 was a year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of meaningful progress for Exelixis. We delivered significant revenue growth from the cabozantinib franchise,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fueled by the sustained momentum in renal cell carcinoma and the FDA approval and launch of CABOMETYX for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advanced NET. We also achieved an important R&amp;D milestone with the first positive pivotal trial readout for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zanzalintinib, while continuing to advance our pipeline of small molecules and biotherapeutics. To support our next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phase of growth, we rapidly expanded our gastrointestinal (GI) sales organization to capture emerging cabozantinib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opportunities and build a strong foundation for zanzalintinib as Exelixis’ next potential oncology franchise in 2026.</w:t>
            </w:r>
          </w:p>
        </w:tc>
      </w:tr>
      <w:tr>
        <w:trPr/>
        <w:tc>
          <w:tcPr>
            <w:tcW w:w="10205" w:type="dxa"/>
            <w:tcBorders>
              <w:left w:val="single" w:sz="8" w:space="0" w:color="F47521"/>
              <w:bottom w:val="single" w:sz="8" w:space="0" w:color="F47521"/>
              <w:right w:val="single" w:sz="8" w:space="0" w:color="F47521"/>
            </w:tcBorders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381"/>
        <w:gridCol w:w="2759"/>
        <w:gridCol w:w="4065"/>
      </w:tblGrid>
      <w:tr>
        <w:trPr/>
        <w:tc>
          <w:tcPr>
            <w:tcW w:w="33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5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6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205" w:type="dxa"/>
            <w:gridSpan w:val="3"/>
            <w:tcBorders>
              <w:top w:val="single" w:sz="8" w:space="0" w:color="B6B6B6"/>
              <w:left w:val="single" w:sz="8" w:space="0" w:color="B6B6B6"/>
              <w:bottom w:val="single" w:sz="8" w:space="0" w:color="B6B6B6"/>
              <w:right w:val="single" w:sz="8" w:space="0" w:color="B6B6B6"/>
            </w:tcBorders>
            <w:shd w:fill="F47521" w:val="clear"/>
            <w:vAlign w:val="center"/>
          </w:tcPr>
          <w:p>
            <w:pPr>
              <w:pStyle w:val="TableContents"/>
              <w:bidi w:val="0"/>
              <w:spacing w:lineRule="atLeast" w:line="400" w:before="0" w:after="0"/>
              <w:jc w:val="left"/>
              <w:rPr>
                <w:sz w:val="24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40"/>
                <w:u w:val="none"/>
                <w:effect w:val="none"/>
              </w:rPr>
              <w:t>2025</w:t>
            </w:r>
            <w:r>
              <w:rPr>
                <w:caps w:val="false"/>
                <w:smallCaps w:val="false"/>
                <w:strike w:val="false"/>
                <w:dstrike w:val="false"/>
                <w:color w:val="FFFFFF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40"/>
                <w:u w:val="none"/>
                <w:effect w:val="none"/>
              </w:rPr>
              <w:t>Financial and Commercial Highlights</w:t>
            </w:r>
          </w:p>
        </w:tc>
      </w:tr>
      <w:tr>
        <w:trPr/>
        <w:tc>
          <w:tcPr>
            <w:tcW w:w="3381" w:type="dxa"/>
            <w:tcBorders>
              <w:top w:val="single" w:sz="8" w:space="0" w:color="B6B6B6"/>
              <w:left w:val="single" w:sz="8" w:space="0" w:color="B6B6B6"/>
              <w:bottom w:val="single" w:sz="8" w:space="0" w:color="B6B6B6"/>
              <w:right w:val="single" w:sz="8" w:space="0" w:color="B6B6B6"/>
            </w:tcBorders>
            <w:shd w:fill="E5E5E5" w:val="clear"/>
            <w:vAlign w:val="center"/>
          </w:tcPr>
          <w:p>
            <w:pPr>
              <w:pStyle w:val="TableContents"/>
              <w:bidi w:val="0"/>
              <w:spacing w:lineRule="atLeast" w:line="4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sz w:val="4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sz w:val="40"/>
                <w:u w:val="none"/>
                <w:effect w:val="none"/>
              </w:rPr>
              <w:t>$2.32 billion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Total Revenues, representing 7%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growth year-over-year</w:t>
            </w:r>
          </w:p>
        </w:tc>
        <w:tc>
          <w:tcPr>
            <w:tcW w:w="2759" w:type="dxa"/>
            <w:tcBorders>
              <w:top w:val="single" w:sz="8" w:space="0" w:color="B6B6B6"/>
              <w:left w:val="single" w:sz="8" w:space="0" w:color="B6B6B6"/>
              <w:bottom w:val="single" w:sz="8" w:space="0" w:color="B6B6B6"/>
              <w:right w:val="single" w:sz="8" w:space="0" w:color="B6B6B6"/>
            </w:tcBorders>
            <w:shd w:fill="E5E5E5" w:val="clear"/>
            <w:vAlign w:val="center"/>
          </w:tcPr>
          <w:p>
            <w:pPr>
              <w:pStyle w:val="TableContents"/>
              <w:bidi w:val="0"/>
              <w:spacing w:lineRule="atLeast" w:line="4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sz w:val="4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sz w:val="40"/>
                <w:u w:val="none"/>
                <w:effect w:val="none"/>
              </w:rPr>
              <w:t>9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Full years of operating profit</w:t>
            </w:r>
          </w:p>
        </w:tc>
        <w:tc>
          <w:tcPr>
            <w:tcW w:w="4065" w:type="dxa"/>
            <w:tcBorders>
              <w:top w:val="single" w:sz="8" w:space="0" w:color="B6B6B6"/>
              <w:left w:val="single" w:sz="8" w:space="0" w:color="B6B6B6"/>
              <w:bottom w:val="single" w:sz="8" w:space="0" w:color="B6B6B6"/>
              <w:right w:val="single" w:sz="8" w:space="0" w:color="B6B6B6"/>
            </w:tcBorders>
            <w:shd w:fill="E5E5E5" w:val="clear"/>
            <w:vAlign w:val="center"/>
          </w:tcPr>
          <w:p>
            <w:pPr>
              <w:pStyle w:val="TableContents"/>
              <w:bidi w:val="0"/>
              <w:spacing w:lineRule="atLeast" w:line="4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sz w:val="4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sz w:val="40"/>
                <w:u w:val="none"/>
                <w:effect w:val="none"/>
              </w:rPr>
              <w:t>46%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CABOMETYX continued to have leading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market position among tyrosine kinase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inhibitors, with a total prescriptions (TRx)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market share of 46% at the end of 2025</w:t>
            </w:r>
          </w:p>
        </w:tc>
      </w:tr>
      <w:tr>
        <w:trPr/>
        <w:tc>
          <w:tcPr>
            <w:tcW w:w="10205" w:type="dxa"/>
            <w:gridSpan w:val="3"/>
            <w:tcBorders>
              <w:top w:val="single" w:sz="8" w:space="0" w:color="B6B6B6"/>
              <w:left w:val="single" w:sz="8" w:space="0" w:color="B2B2B2"/>
              <w:bottom w:val="single" w:sz="8" w:space="0" w:color="B2B2B2"/>
              <w:right w:val="single" w:sz="8" w:space="0" w:color="B2B2B2"/>
            </w:tcBorders>
            <w:shd w:fill="E5E5E5" w:val="clear"/>
            <w:vAlign w:val="center"/>
          </w:tcPr>
          <w:p>
            <w:pPr>
              <w:pStyle w:val="TableContents"/>
              <w:bidi w:val="0"/>
              <w:spacing w:lineRule="atLeast" w:line="2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E3803C"/>
                <w:sz w:val="2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E3803C"/>
                <w:sz w:val="28"/>
                <w:u w:val="none"/>
                <w:effect w:val="none"/>
              </w:rPr>
              <w:t xml:space="preserve">Returned over $954.1 million to our stockholders through execution of share </w:t>
            </w:r>
          </w:p>
          <w:p>
            <w:pPr>
              <w:pStyle w:val="TableContents"/>
              <w:bidi w:val="0"/>
              <w:spacing w:lineRule="atLeast" w:line="280" w:before="0" w:after="0"/>
              <w:jc w:val="left"/>
              <w:rPr>
                <w:sz w:val="28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E3803C"/>
                <w:sz w:val="28"/>
                <w:u w:val="none"/>
                <w:effect w:val="none"/>
              </w:rPr>
              <w:t>repurchase programs in 2025</w:t>
            </w:r>
            <w:r>
              <w:rPr>
                <w:caps w:val="false"/>
                <w:smallCaps w:val="false"/>
                <w:strike w:val="false"/>
                <w:dstrike w:val="false"/>
                <w:color w:val="E3803C"/>
                <w:sz w:val="28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Announced additional $750 million share repurchase program to continue returning capital to our stockholders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through December 31, 2026</w:t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sz w:val="24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>(1)  Revenues and any other financial measures included in our 2025</w:t>
      </w:r>
      <w:r>
        <w:rPr>
          <w:caps w:val="false"/>
          <w:smallCaps w:val="false"/>
          <w:strike w:val="false"/>
          <w:dstrike w:val="false"/>
          <w:color w:val="3F3F3F"/>
          <w:sz w:val="24"/>
          <w:u w:val="none"/>
          <w:effect w:val="none"/>
        </w:rPr>
        <w:t xml:space="preserve">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Strategy and Performance Highlights are calculated in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accordance with U.S. Generally Accepted Accounting Principles. </w:t>
      </w:r>
    </w:p>
    <w:tbl>
      <w:tblPr>
        <w:tblW w:w="256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176"/>
        <w:gridCol w:w="391"/>
      </w:tblGrid>
      <w:tr>
        <w:trPr/>
        <w:tc>
          <w:tcPr>
            <w:tcW w:w="21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7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40404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404040"/>
                <w:sz w:val="18"/>
                <w:u w:val="none"/>
                <w:effect w:val="none"/>
              </w:rPr>
              <w:t>2026 Proxy Statement</w:t>
            </w:r>
          </w:p>
        </w:tc>
        <w:tc>
          <w:tcPr>
            <w:tcW w:w="39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  <w:t>63</w:t>
            </w:r>
          </w:p>
        </w:tc>
      </w:tr>
    </w:tbl>
    <w:tbl>
      <w:tblPr>
        <w:tblW w:w="733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696"/>
        <w:gridCol w:w="5641"/>
      </w:tblGrid>
      <w:tr>
        <w:trPr/>
        <w:tc>
          <w:tcPr>
            <w:tcW w:w="16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6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9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6d44722bfc2543dbbba9716d9e560c58_16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color w:val="0000FF"/>
                  <w:sz w:val="18"/>
                  <w:u w:val="single"/>
                </w:rPr>
                <w:t>Table of Contents</w:t>
              </w:r>
            </w:hyperlink>
          </w:p>
        </w:tc>
        <w:tc>
          <w:tcPr>
            <w:tcW w:w="564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 xml:space="preserve">Executive Summary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C4C02"/>
                <w:sz w:val="18"/>
                <w:u w:val="none"/>
                <w:effect w:val="none"/>
              </w:rPr>
              <w:t>|</w:t>
            </w: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 xml:space="preserve">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Compensation Discussion and Analysis</w:t>
            </w:r>
          </w:p>
        </w:tc>
      </w:tr>
    </w:tbl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085"/>
        <w:gridCol w:w="8120"/>
      </w:tblGrid>
      <w:tr>
        <w:trPr/>
        <w:tc>
          <w:tcPr>
            <w:tcW w:w="208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205" w:type="dxa"/>
            <w:gridSpan w:val="2"/>
            <w:tcBorders>
              <w:top w:val="single" w:sz="8" w:space="0" w:color="B6B6B6"/>
              <w:left w:val="single" w:sz="8" w:space="0" w:color="B6B6B6"/>
              <w:bottom w:val="single" w:sz="8" w:space="0" w:color="B6B6B6"/>
              <w:right w:val="single" w:sz="8" w:space="0" w:color="B6B6B6"/>
            </w:tcBorders>
            <w:shd w:fill="F47521" w:val="clear"/>
            <w:vAlign w:val="center"/>
          </w:tcPr>
          <w:p>
            <w:pPr>
              <w:pStyle w:val="TableContents"/>
              <w:bidi w:val="0"/>
              <w:spacing w:lineRule="atLeast" w:line="4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4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40"/>
                <w:u w:val="none"/>
                <w:effect w:val="none"/>
              </w:rPr>
              <w:t>Key Business Performance Highlights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  <w:t>Executing with Impact</w:t>
            </w:r>
          </w:p>
        </w:tc>
      </w:tr>
      <w:tr>
        <w:trPr/>
        <w:tc>
          <w:tcPr>
            <w:tcW w:w="2085" w:type="dxa"/>
            <w:tcBorders>
              <w:top w:val="single" w:sz="8" w:space="0" w:color="B6B6B6"/>
              <w:left w:val="single" w:sz="8" w:space="0" w:color="B6B6B6"/>
              <w:bottom w:val="single" w:sz="8" w:space="0" w:color="B6B6B6"/>
              <w:right w:val="single" w:sz="8" w:space="0" w:color="B6B6B6"/>
            </w:tcBorders>
            <w:shd w:fill="DBDBDB" w:val="clear"/>
            <w:vAlign w:val="center"/>
          </w:tcPr>
          <w:p>
            <w:pPr>
              <w:pStyle w:val="TableContents"/>
              <w:bidi w:val="0"/>
              <w:spacing w:lineRule="atLeast" w:line="4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4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40"/>
                <w:u w:val="none"/>
                <w:effect w:val="none"/>
              </w:rPr>
              <w:t>2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New FDA Approved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Indications</w:t>
            </w:r>
          </w:p>
        </w:tc>
        <w:tc>
          <w:tcPr>
            <w:tcW w:w="8120" w:type="dxa"/>
            <w:tcBorders>
              <w:top w:val="single" w:sz="8" w:space="0" w:color="B6B6B6"/>
              <w:left w:val="single" w:sz="8" w:space="0" w:color="B6B6B6"/>
              <w:bottom w:val="single" w:sz="8" w:space="0" w:color="B6B6B6"/>
              <w:right w:val="single" w:sz="8" w:space="0" w:color="B6B6B6"/>
            </w:tcBorders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both"/>
              <w:rPr>
                <w:u w:val="singl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9"/>
                <w:u w:val="none"/>
                <w:effect w:val="none"/>
              </w:rPr>
              <w:t>In March 2025, Exelixis received U.S. FDA Approval of CABOMETYX® (cabozantinib) for the</w:t>
            </w: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90" w:before="0" w:after="0"/>
              <w:jc w:val="both"/>
              <w:rPr>
                <w:u w:val="singl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9"/>
                <w:u w:val="none"/>
                <w:effect w:val="none"/>
              </w:rPr>
              <w:t>treatment of adult and pediatric patients 12 years of age or older with previously treated,</w:t>
            </w: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90" w:before="0" w:after="0"/>
              <w:jc w:val="both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9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9"/>
                <w:u w:val="none"/>
                <w:effect w:val="none"/>
              </w:rPr>
              <w:t>unresectable, locally advanced or metastatic, well-differentiated pNET and epNET</w:t>
            </w:r>
          </w:p>
          <w:p>
            <w:pPr>
              <w:pStyle w:val="TableContents"/>
              <w:bidi w:val="0"/>
              <w:spacing w:lineRule="atLeast" w:line="19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›</w:t>
            </w:r>
            <w:r>
              <w:rPr>
                <w:caps w:val="false"/>
                <w:smallCaps w:val="false"/>
                <w:strike w:val="false"/>
                <w:dstrike w:val="false"/>
                <w:color w:val="FC7841"/>
                <w:u w:val="none"/>
                <w:effect w:val="none"/>
              </w:rPr>
              <w:t xml:space="preserve">› 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9"/>
                <w:u w:val="none"/>
                <w:effect w:val="none"/>
              </w:rPr>
              <w:t xml:space="preserve">In July 2025, we announced that our partner Ipsen received European Commission approval </w:t>
            </w:r>
          </w:p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9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9"/>
                <w:u w:val="none"/>
                <w:effect w:val="none"/>
              </w:rPr>
              <w:t xml:space="preserve">for CABOMETYX for adult patients with unresectable or metastatic, well-differentiated </w:t>
            </w:r>
          </w:p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9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9"/>
                <w:u w:val="none"/>
                <w:effect w:val="none"/>
              </w:rPr>
              <w:t xml:space="preserve">epNET and pNET, and also secured approvals in Brazil and Australia for previously treated </w:t>
            </w:r>
          </w:p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9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9"/>
                <w:u w:val="none"/>
                <w:effect w:val="none"/>
              </w:rPr>
              <w:t>advanced NET</w:t>
            </w:r>
          </w:p>
        </w:tc>
      </w:tr>
      <w:tr>
        <w:trPr/>
        <w:tc>
          <w:tcPr>
            <w:tcW w:w="2085" w:type="dxa"/>
            <w:tcBorders>
              <w:top w:val="single" w:sz="8" w:space="0" w:color="B6B6B6"/>
              <w:left w:val="single" w:sz="8" w:space="0" w:color="B6B6B6"/>
              <w:bottom w:val="single" w:sz="8" w:space="0" w:color="B6B6B6"/>
              <w:right w:val="single" w:sz="8" w:space="0" w:color="B6B6B6"/>
            </w:tcBorders>
            <w:shd w:fill="DBDBDB" w:val="clear"/>
            <w:vAlign w:val="center"/>
          </w:tcPr>
          <w:p>
            <w:pPr>
              <w:pStyle w:val="TableContents"/>
              <w:bidi w:val="0"/>
              <w:spacing w:lineRule="atLeast" w:line="4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4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40"/>
                <w:u w:val="none"/>
                <w:effect w:val="none"/>
              </w:rPr>
              <w:t>1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Positive Top-Line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Results</w:t>
            </w:r>
          </w:p>
        </w:tc>
        <w:tc>
          <w:tcPr>
            <w:tcW w:w="8120" w:type="dxa"/>
            <w:tcBorders>
              <w:top w:val="single" w:sz="8" w:space="0" w:color="B6B6B6"/>
              <w:left w:val="single" w:sz="8" w:space="0" w:color="B6B6B6"/>
              <w:bottom w:val="single" w:sz="8" w:space="0" w:color="B6B6B6"/>
              <w:right w:val="single" w:sz="8" w:space="0" w:color="B6B6B6"/>
            </w:tcBorders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both"/>
              <w:rPr>
                <w:u w:val="singl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9"/>
                <w:u w:val="none"/>
                <w:effect w:val="none"/>
              </w:rPr>
              <w:t xml:space="preserve">In June 2025, we announced </w:t>
            </w: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9"/>
                <w:u w:val="none"/>
                <w:effect w:val="none"/>
              </w:rPr>
              <w:t>positive top-line results from STELLAR-303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9"/>
                <w:u w:val="none"/>
                <w:effect w:val="none"/>
              </w:rPr>
              <w:t>, a phase 3 pivotal trial</w:t>
            </w: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90" w:before="0" w:after="0"/>
              <w:jc w:val="both"/>
              <w:rPr>
                <w:u w:val="singl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9"/>
                <w:u w:val="none"/>
                <w:effect w:val="none"/>
              </w:rPr>
              <w:t>evaluating zanzalintinib in combination with atezolizumab versus regorafenib in patients with</w:t>
            </w: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90" w:before="0" w:after="0"/>
              <w:jc w:val="both"/>
              <w:rPr>
                <w:u w:val="singl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9"/>
                <w:u w:val="none"/>
                <w:effect w:val="none"/>
              </w:rPr>
              <w:t>metastatic, refractory non-microsatellite instability-high or non-mismatch repair-deficient CRC,</w:t>
            </w: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90" w:before="0" w:after="0"/>
              <w:jc w:val="both"/>
              <w:rPr>
                <w:u w:val="singl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9"/>
                <w:u w:val="none"/>
                <w:effect w:val="none"/>
              </w:rPr>
              <w:t xml:space="preserve">showing the trial </w:t>
            </w: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9"/>
                <w:u w:val="none"/>
                <w:effect w:val="none"/>
              </w:rPr>
              <w:t>met its overall survival primary endpoint</w:t>
            </w: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 xml:space="preserve">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9"/>
                <w:u w:val="none"/>
                <w:effect w:val="none"/>
              </w:rPr>
              <w:t>in the intention-to-treat population,</w:t>
            </w: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90" w:before="0" w:after="0"/>
              <w:jc w:val="both"/>
              <w:rPr>
                <w:u w:val="singl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9"/>
                <w:u w:val="none"/>
                <w:effect w:val="none"/>
              </w:rPr>
              <w:t>with the combination of zanzalintinib and atezolizumab delivering a consistent survival benefit</w:t>
            </w: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90" w:before="0" w:after="0"/>
              <w:jc w:val="both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9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9"/>
                <w:u w:val="none"/>
                <w:effect w:val="none"/>
              </w:rPr>
              <w:t>across all prespecified subgroups</w:t>
            </w:r>
          </w:p>
        </w:tc>
      </w:tr>
      <w:tr>
        <w:trPr/>
        <w:tc>
          <w:tcPr>
            <w:tcW w:w="2085" w:type="dxa"/>
            <w:tcBorders>
              <w:top w:val="single" w:sz="8" w:space="0" w:color="B6B6B6"/>
              <w:left w:val="single" w:sz="8" w:space="0" w:color="B6B6B6"/>
              <w:bottom w:val="single" w:sz="8" w:space="0" w:color="B6B6B6"/>
              <w:right w:val="single" w:sz="8" w:space="0" w:color="B6B6B6"/>
            </w:tcBorders>
            <w:shd w:fill="DBDBDB" w:val="clear"/>
            <w:vAlign w:val="center"/>
          </w:tcPr>
          <w:p>
            <w:pPr>
              <w:pStyle w:val="TableContents"/>
              <w:bidi w:val="0"/>
              <w:spacing w:lineRule="atLeast" w:line="4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4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40"/>
                <w:u w:val="none"/>
                <w:effect w:val="none"/>
              </w:rPr>
              <w:t>1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New Drug Application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(NDA) Submission</w:t>
            </w:r>
          </w:p>
        </w:tc>
        <w:tc>
          <w:tcPr>
            <w:tcW w:w="8120" w:type="dxa"/>
            <w:tcBorders>
              <w:top w:val="single" w:sz="8" w:space="0" w:color="B6B6B6"/>
              <w:left w:val="single" w:sz="8" w:space="0" w:color="B6B6B6"/>
              <w:bottom w:val="single" w:sz="8" w:space="0" w:color="B6B6B6"/>
              <w:right w:val="single" w:sz="8" w:space="0" w:color="B6B6B6"/>
            </w:tcBorders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both"/>
              <w:rPr>
                <w:u w:val="singl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9"/>
                <w:u w:val="none"/>
                <w:effect w:val="none"/>
              </w:rPr>
              <w:t>In December 2025, we submitted an NDA for zanzalintinib (a novel oral inhibitor of kinases</w:t>
            </w: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90" w:before="0" w:after="0"/>
              <w:jc w:val="both"/>
              <w:rPr>
                <w:u w:val="singl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9"/>
                <w:u w:val="none"/>
                <w:effect w:val="none"/>
              </w:rPr>
              <w:t>including the TAM kinases (TYRO3, AXL, MER), MET and VEGF receptors) in combination with</w:t>
            </w: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90" w:before="0" w:after="0"/>
              <w:jc w:val="both"/>
              <w:rPr>
                <w:u w:val="singl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9"/>
                <w:u w:val="none"/>
                <w:effect w:val="none"/>
              </w:rPr>
              <w:t>atezolizumab for the treatment of previously treated metastatic colorectal cancer based on</w:t>
            </w: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90" w:before="0" w:after="0"/>
              <w:jc w:val="both"/>
              <w:rPr>
                <w:u w:val="singl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9"/>
                <w:u w:val="none"/>
                <w:effect w:val="none"/>
              </w:rPr>
              <w:t>positive results from the STELLAR-303 phase 3 pivotal trial</w:t>
            </w: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9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›</w:t>
            </w:r>
            <w:r>
              <w:rPr>
                <w:caps w:val="false"/>
                <w:smallCaps w:val="false"/>
                <w:strike w:val="false"/>
                <w:dstrike w:val="false"/>
                <w:color w:val="FC7841"/>
                <w:u w:val="none"/>
                <w:effect w:val="none"/>
              </w:rPr>
              <w:t xml:space="preserve">›  </w:t>
            </w: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C4C02"/>
                <w:sz w:val="19"/>
                <w:u w:val="none"/>
                <w:effect w:val="none"/>
              </w:rPr>
              <w:t>UPDATE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9"/>
                <w:u w:val="none"/>
                <w:effect w:val="none"/>
              </w:rPr>
              <w:t xml:space="preserve">: In January 2026, we announced that the FDA had accepted our NDA and assigned a </w:t>
            </w:r>
          </w:p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9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9"/>
                <w:u w:val="none"/>
                <w:effect w:val="none"/>
              </w:rPr>
              <w:t>standard review, with a PDUFA target action date of December 3, 2026</w:t>
            </w:r>
          </w:p>
        </w:tc>
      </w:tr>
      <w:tr>
        <w:trPr/>
        <w:tc>
          <w:tcPr>
            <w:tcW w:w="2085" w:type="dxa"/>
            <w:tcBorders>
              <w:top w:val="single" w:sz="8" w:space="0" w:color="B6B6B6"/>
              <w:left w:val="single" w:sz="8" w:space="0" w:color="B6B6B6"/>
              <w:bottom w:val="single" w:sz="8" w:space="0" w:color="B6B6B6"/>
              <w:right w:val="single" w:sz="8" w:space="0" w:color="B6B6B6"/>
            </w:tcBorders>
            <w:shd w:fill="DBDBDB" w:val="clear"/>
            <w:vAlign w:val="center"/>
          </w:tcPr>
          <w:p>
            <w:pPr>
              <w:pStyle w:val="TableContents"/>
              <w:bidi w:val="0"/>
              <w:spacing w:lineRule="atLeast" w:line="4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4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40"/>
                <w:u w:val="none"/>
                <w:effect w:val="none"/>
              </w:rPr>
              <w:t>7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Ongoing or planned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pivotal trials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evaluating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zanzalintinib </w:t>
            </w:r>
          </w:p>
        </w:tc>
        <w:tc>
          <w:tcPr>
            <w:tcW w:w="8120" w:type="dxa"/>
            <w:tcBorders>
              <w:top w:val="single" w:sz="8" w:space="0" w:color="B6B6B6"/>
              <w:left w:val="single" w:sz="8" w:space="0" w:color="B6B6B6"/>
              <w:bottom w:val="single" w:sz="8" w:space="0" w:color="B6B6B6"/>
              <w:right w:val="single" w:sz="8" w:space="0" w:color="B6B6B6"/>
            </w:tcBorders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9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9"/>
                <w:u w:val="none"/>
                <w:effect w:val="none"/>
              </w:rPr>
              <w:t>Seven ongoing or planned pivotal studies of zanzalintinib:</w:t>
            </w:r>
          </w:p>
          <w:p>
            <w:pPr>
              <w:pStyle w:val="TableContents"/>
              <w:bidi w:val="0"/>
              <w:spacing w:lineRule="atLeast" w:line="19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›</w:t>
            </w:r>
            <w:r>
              <w:rPr>
                <w:caps w:val="false"/>
                <w:smallCaps w:val="false"/>
                <w:strike w:val="false"/>
                <w:dstrike w:val="false"/>
                <w:color w:val="FC7841"/>
                <w:u w:val="none"/>
                <w:effect w:val="none"/>
              </w:rPr>
              <w:t xml:space="preserve">›  </w:t>
            </w: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9"/>
                <w:u w:val="none"/>
                <w:effect w:val="none"/>
              </w:rPr>
              <w:t>STELLAR-303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9"/>
                <w:u w:val="none"/>
                <w:effect w:val="none"/>
              </w:rPr>
              <w:t xml:space="preserve">: the phase 3 pivotal trial will proceed to the planned final analysis for the dual </w:t>
            </w:r>
          </w:p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9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9"/>
                <w:u w:val="none"/>
                <w:effect w:val="none"/>
              </w:rPr>
              <w:t>primary endpoint of OS in patients without liver metastases</w:t>
            </w:r>
          </w:p>
          <w:p>
            <w:pPr>
              <w:pStyle w:val="TableContents"/>
              <w:bidi w:val="0"/>
              <w:spacing w:lineRule="atLeast" w:line="19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›</w:t>
            </w:r>
            <w:r>
              <w:rPr>
                <w:caps w:val="false"/>
                <w:smallCaps w:val="false"/>
                <w:strike w:val="false"/>
                <w:dstrike w:val="false"/>
                <w:color w:val="FC7841"/>
                <w:u w:val="none"/>
                <w:effect w:val="none"/>
              </w:rPr>
              <w:t xml:space="preserve">›  </w:t>
            </w: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9"/>
                <w:u w:val="none"/>
                <w:effect w:val="none"/>
              </w:rPr>
              <w:t>STELLAR-304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9"/>
                <w:u w:val="none"/>
                <w:effect w:val="none"/>
              </w:rPr>
              <w:t xml:space="preserve">: a phase 3 pivotal trial evaluating zanzalintinib in combination with nivolumab </w:t>
            </w:r>
          </w:p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9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9"/>
                <w:u w:val="none"/>
                <w:effect w:val="none"/>
              </w:rPr>
              <w:t>versus sunitinib in previously untreated patients with advanced nccRCC</w:t>
            </w:r>
          </w:p>
          <w:p>
            <w:pPr>
              <w:pStyle w:val="TableContents"/>
              <w:bidi w:val="0"/>
              <w:spacing w:lineRule="atLeast" w:line="19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›</w:t>
            </w:r>
            <w:r>
              <w:rPr>
                <w:caps w:val="false"/>
                <w:smallCaps w:val="false"/>
                <w:strike w:val="false"/>
                <w:dstrike w:val="false"/>
                <w:color w:val="FC7841"/>
                <w:u w:val="none"/>
                <w:effect w:val="none"/>
              </w:rPr>
              <w:t xml:space="preserve">›  </w:t>
            </w: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9"/>
                <w:u w:val="none"/>
                <w:effect w:val="none"/>
              </w:rPr>
              <w:t>STELLAR-311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9"/>
                <w:u w:val="none"/>
                <w:effect w:val="none"/>
              </w:rPr>
              <w:t xml:space="preserve">: a phase 2/3 pivotal trial evaluating zanzalintinib versus everolimus in patients </w:t>
            </w:r>
          </w:p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9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9"/>
                <w:u w:val="none"/>
                <w:effect w:val="none"/>
              </w:rPr>
              <w:t xml:space="preserve">with advanced NET, regardless of site of origin, who had received up to one prior line of </w:t>
            </w:r>
          </w:p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9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9"/>
                <w:u w:val="none"/>
                <w:effect w:val="none"/>
              </w:rPr>
              <w:t>therapy</w:t>
            </w:r>
          </w:p>
          <w:p>
            <w:pPr>
              <w:pStyle w:val="TableContents"/>
              <w:bidi w:val="0"/>
              <w:spacing w:lineRule="atLeast" w:line="19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›</w:t>
            </w:r>
            <w:r>
              <w:rPr>
                <w:caps w:val="false"/>
                <w:smallCaps w:val="false"/>
                <w:strike w:val="false"/>
                <w:dstrike w:val="false"/>
                <w:color w:val="FC7841"/>
                <w:u w:val="none"/>
                <w:effect w:val="none"/>
              </w:rPr>
              <w:t xml:space="preserve">›  </w:t>
            </w: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9"/>
                <w:u w:val="none"/>
                <w:effect w:val="none"/>
              </w:rPr>
              <w:t xml:space="preserve">STELLAR-316: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9"/>
                <w:u w:val="none"/>
                <w:effect w:val="none"/>
              </w:rPr>
              <w:t xml:space="preserve">a planned phase 3 pivotal trial, in collaboration with Natera, Inc. (Natera), </w:t>
            </w:r>
          </w:p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9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9"/>
                <w:u w:val="none"/>
                <w:effect w:val="none"/>
              </w:rPr>
              <w:t>which will evaluate zanzalintinib, with and without an ICI, in patients with resected stage II/</w:t>
            </w:r>
          </w:p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9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9"/>
                <w:u w:val="none"/>
                <w:effect w:val="none"/>
              </w:rPr>
              <w:t xml:space="preserve">III CRC who, following completion of definitive therapy, have tested positive for molecular </w:t>
            </w:r>
          </w:p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9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9"/>
                <w:u w:val="none"/>
                <w:effect w:val="none"/>
              </w:rPr>
              <w:t xml:space="preserve">residual disease (MRD+) and have no radiographic evidence of disease. Natera will provide </w:t>
            </w:r>
          </w:p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9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9"/>
                <w:u w:val="none"/>
                <w:effect w:val="none"/>
              </w:rPr>
              <w:t>its Signatera™ assay to identify MRD+ patients for trial enrollment</w:t>
            </w:r>
          </w:p>
          <w:p>
            <w:pPr>
              <w:pStyle w:val="TableContents"/>
              <w:bidi w:val="0"/>
              <w:spacing w:lineRule="atLeast" w:line="19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›</w:t>
            </w:r>
            <w:r>
              <w:rPr>
                <w:caps w:val="false"/>
                <w:smallCaps w:val="false"/>
                <w:strike w:val="false"/>
                <w:dstrike w:val="false"/>
                <w:color w:val="FC7841"/>
                <w:u w:val="none"/>
                <w:effect w:val="none"/>
              </w:rPr>
              <w:t xml:space="preserve">›  </w:t>
            </w: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9"/>
                <w:u w:val="none"/>
                <w:effect w:val="none"/>
              </w:rPr>
              <w:t>STELLAR-201:</w:t>
            </w: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 xml:space="preserve">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9"/>
                <w:u w:val="none"/>
                <w:effect w:val="none"/>
              </w:rPr>
              <w:t xml:space="preserve">a planned, single-arm phase 2 study that will evaluate zanzalintinib in patients </w:t>
            </w:r>
          </w:p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9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9"/>
                <w:u w:val="none"/>
                <w:effect w:val="none"/>
              </w:rPr>
              <w:t xml:space="preserve">with Grade I/II/III meningioma with relapse or progression following surgery and radiation, </w:t>
            </w:r>
          </w:p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9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9"/>
                <w:u w:val="none"/>
                <w:effect w:val="none"/>
              </w:rPr>
              <w:t>or who are not candidates for radiation/surgery</w:t>
            </w:r>
          </w:p>
          <w:p>
            <w:pPr>
              <w:pStyle w:val="TableContents"/>
              <w:bidi w:val="0"/>
              <w:spacing w:lineRule="atLeast" w:line="19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›</w:t>
            </w:r>
            <w:r>
              <w:rPr>
                <w:caps w:val="false"/>
                <w:smallCaps w:val="false"/>
                <w:strike w:val="false"/>
                <w:dstrike w:val="false"/>
                <w:color w:val="FC7841"/>
                <w:u w:val="none"/>
                <w:effect w:val="none"/>
              </w:rPr>
              <w:t xml:space="preserve">›  </w:t>
            </w: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9"/>
                <w:u w:val="none"/>
                <w:effect w:val="none"/>
              </w:rPr>
              <w:t>Two RCC Studies in Collaboration with Merck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9"/>
                <w:u w:val="none"/>
                <w:effect w:val="none"/>
              </w:rPr>
              <w:t>:</w:t>
            </w:r>
          </w:p>
          <w:p>
            <w:pPr>
              <w:pStyle w:val="TableContents"/>
              <w:bidi w:val="0"/>
              <w:spacing w:lineRule="atLeast" w:line="19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›</w:t>
            </w:r>
            <w:r>
              <w:rPr>
                <w:caps w:val="false"/>
                <w:smallCaps w:val="false"/>
                <w:strike w:val="false"/>
                <w:dstrike w:val="false"/>
                <w:color w:val="FC7841"/>
                <w:u w:val="none"/>
                <w:effect w:val="none"/>
              </w:rPr>
              <w:t xml:space="preserve">›  </w:t>
            </w: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9"/>
                <w:u w:val="none"/>
                <w:effect w:val="none"/>
              </w:rPr>
              <w:t xml:space="preserve">LITESPARK-033,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9"/>
                <w:u w:val="none"/>
                <w:effect w:val="none"/>
              </w:rPr>
              <w:t xml:space="preserve">a phase 3 pivotal trial evaluating zanzalintinib in combination with </w:t>
            </w:r>
          </w:p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9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9"/>
                <w:u w:val="none"/>
                <w:effect w:val="none"/>
              </w:rPr>
              <w:t>WELIREG® (belzutifan) versus cabozantinib in first-line advanced RCC</w:t>
            </w:r>
          </w:p>
          <w:p>
            <w:pPr>
              <w:pStyle w:val="TableContents"/>
              <w:bidi w:val="0"/>
              <w:spacing w:lineRule="atLeast" w:line="19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›</w:t>
            </w:r>
            <w:r>
              <w:rPr>
                <w:caps w:val="false"/>
                <w:smallCaps w:val="false"/>
                <w:strike w:val="false"/>
                <w:dstrike w:val="false"/>
                <w:color w:val="FC7841"/>
                <w:u w:val="none"/>
                <w:effect w:val="none"/>
              </w:rPr>
              <w:t xml:space="preserve">› 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9"/>
                <w:u w:val="none"/>
                <w:effect w:val="none"/>
              </w:rPr>
              <w:t xml:space="preserve">One additional planned phase 3 pivotal trial, </w:t>
            </w: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9"/>
                <w:u w:val="none"/>
                <w:effect w:val="none"/>
              </w:rPr>
              <w:t>LITESPARK-034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9"/>
                <w:u w:val="none"/>
                <w:effect w:val="none"/>
              </w:rPr>
              <w:t xml:space="preserve">, evaluating the </w:t>
            </w:r>
          </w:p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9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9"/>
                <w:u w:val="none"/>
                <w:effect w:val="none"/>
              </w:rPr>
              <w:t xml:space="preserve">combination of zanzalintinib and belzutifan versus belzutifan in second-line or later </w:t>
            </w:r>
          </w:p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9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9"/>
                <w:u w:val="none"/>
                <w:effect w:val="none"/>
              </w:rPr>
              <w:t xml:space="preserve">advanced RCC following both PD-1/L1 and VEGFR-TKI therapies in sequence or in </w:t>
            </w:r>
          </w:p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9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9"/>
                <w:u w:val="none"/>
                <w:effect w:val="none"/>
              </w:rPr>
              <w:t>combination</w:t>
            </w:r>
          </w:p>
        </w:tc>
      </w:tr>
    </w:tbl>
    <w:tbl>
      <w:tblPr>
        <w:tblW w:w="174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61"/>
        <w:gridCol w:w="1381"/>
      </w:tblGrid>
      <w:tr>
        <w:trPr/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  <w:t>64</w:t>
            </w:r>
          </w:p>
        </w:tc>
        <w:tc>
          <w:tcPr>
            <w:tcW w:w="138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Exelixis, Inc.</w:t>
            </w:r>
          </w:p>
        </w:tc>
      </w:tr>
    </w:tbl>
    <w:tbl>
      <w:tblPr>
        <w:tblW w:w="1850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696"/>
        <w:gridCol w:w="154"/>
      </w:tblGrid>
      <w:tr>
        <w:trPr/>
        <w:tc>
          <w:tcPr>
            <w:tcW w:w="16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9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6d44722bfc2543dbbba9716d9e560c58_16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color w:val="0000FF"/>
                  <w:sz w:val="18"/>
                  <w:u w:val="single"/>
                </w:rPr>
                <w:t>Table of Contents</w:t>
              </w:r>
            </w:hyperlink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238"/>
        <w:gridCol w:w="7967"/>
      </w:tblGrid>
      <w:tr>
        <w:trPr/>
        <w:tc>
          <w:tcPr>
            <w:tcW w:w="223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205" w:type="dxa"/>
            <w:gridSpan w:val="2"/>
            <w:tcBorders>
              <w:top w:val="single" w:sz="8" w:space="0" w:color="B6B6B6"/>
              <w:left w:val="single" w:sz="8" w:space="0" w:color="B6B6B6"/>
              <w:bottom w:val="single" w:sz="8" w:space="0" w:color="B6B6B6"/>
              <w:right w:val="single" w:sz="8" w:space="0" w:color="B6B6B6"/>
            </w:tcBorders>
            <w:shd w:fill="F47521" w:val="clear"/>
            <w:vAlign w:val="center"/>
          </w:tcPr>
          <w:p>
            <w:pPr>
              <w:pStyle w:val="TableContents"/>
              <w:bidi w:val="0"/>
              <w:spacing w:lineRule="atLeast" w:line="4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4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40"/>
                <w:u w:val="none"/>
                <w:effect w:val="none"/>
              </w:rPr>
              <w:t>Key Business Performance Highlights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  <w:t>Executing with Impact</w:t>
            </w:r>
          </w:p>
        </w:tc>
      </w:tr>
      <w:tr>
        <w:trPr/>
        <w:tc>
          <w:tcPr>
            <w:tcW w:w="2238" w:type="dxa"/>
            <w:tcBorders>
              <w:top w:val="single" w:sz="8" w:space="0" w:color="B6B6B6"/>
              <w:left w:val="single" w:sz="8" w:space="0" w:color="B6B6B6"/>
              <w:bottom w:val="single" w:sz="8" w:space="0" w:color="B6B6B6"/>
              <w:right w:val="single" w:sz="8" w:space="0" w:color="B6B6B6"/>
            </w:tcBorders>
            <w:shd w:fill="DBDBDB" w:val="clear"/>
            <w:vAlign w:val="center"/>
          </w:tcPr>
          <w:p>
            <w:pPr>
              <w:pStyle w:val="TableContents"/>
              <w:bidi w:val="0"/>
              <w:spacing w:lineRule="atLeast" w:line="4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4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40"/>
                <w:u w:val="none"/>
                <w:effect w:val="none"/>
              </w:rPr>
              <w:t>2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Investigational New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Drug (IND) filings and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phase 1 study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initiations: XB628 and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XB371</w:t>
            </w:r>
          </w:p>
        </w:tc>
        <w:tc>
          <w:tcPr>
            <w:tcW w:w="7967" w:type="dxa"/>
            <w:tcBorders>
              <w:top w:val="single" w:sz="8" w:space="0" w:color="B6B6B6"/>
              <w:left w:val="single" w:sz="8" w:space="0" w:color="B6B6B6"/>
              <w:bottom w:val="single" w:sz="8" w:space="0" w:color="B6B6B6"/>
              <w:right w:val="single" w:sz="8" w:space="0" w:color="B6B6B6"/>
            </w:tcBorders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both"/>
              <w:rPr>
                <w:u w:val="singl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›</w:t>
            </w:r>
            <w:r>
              <w:rPr>
                <w:caps w:val="false"/>
                <w:smallCaps w:val="false"/>
                <w:strike w:val="false"/>
                <w:dstrike w:val="false"/>
                <w:color w:val="FC7841"/>
                <w:u w:val="none"/>
                <w:effect w:val="none"/>
              </w:rPr>
              <w:t xml:space="preserve">›  </w:t>
            </w: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9"/>
                <w:u w:val="none"/>
                <w:effect w:val="none"/>
              </w:rPr>
              <w:t>XB628</w:t>
            </w: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 xml:space="preserve">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9"/>
                <w:u w:val="none"/>
                <w:effect w:val="none"/>
              </w:rPr>
              <w:t>is a first-in-class bispecific antibody that simultaneously targets PD-L1 and NKG2A,</w:t>
            </w: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90" w:before="0" w:after="0"/>
              <w:jc w:val="both"/>
              <w:rPr>
                <w:u w:val="singl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9"/>
                <w:u w:val="none"/>
                <w:effect w:val="none"/>
              </w:rPr>
              <w:t>identified as key regulators of adaptive and innate immune cell activity, currently being</w:t>
            </w: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90" w:before="0" w:after="0"/>
              <w:jc w:val="both"/>
              <w:rPr>
                <w:u w:val="singl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9"/>
                <w:u w:val="none"/>
                <w:effect w:val="none"/>
              </w:rPr>
              <w:t>evaluated in a phase 1 clinical trial</w:t>
            </w: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200" w:before="0" w:after="0"/>
              <w:jc w:val="both"/>
              <w:rPr>
                <w:u w:val="singl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›</w:t>
            </w:r>
            <w:r>
              <w:rPr>
                <w:caps w:val="false"/>
                <w:smallCaps w:val="false"/>
                <w:strike w:val="false"/>
                <w:dstrike w:val="false"/>
                <w:color w:val="FC7841"/>
                <w:u w:val="none"/>
                <w:effect w:val="none"/>
              </w:rPr>
              <w:t xml:space="preserve">›  </w:t>
            </w: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9"/>
                <w:u w:val="none"/>
                <w:effect w:val="none"/>
              </w:rPr>
              <w:t>XB371</w:t>
            </w: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 xml:space="preserve">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9"/>
                <w:u w:val="none"/>
                <w:effect w:val="none"/>
              </w:rPr>
              <w:t>is a next-generation TF-targeting antibody-drug conjugate with a topoisomerase</w:t>
            </w: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90" w:before="0" w:after="0"/>
              <w:jc w:val="both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9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9"/>
                <w:u w:val="none"/>
                <w:effect w:val="none"/>
              </w:rPr>
              <w:t>inhibitor payload, currently being evaluated in a phase 1 clinical trial</w:t>
            </w:r>
          </w:p>
        </w:tc>
      </w:tr>
      <w:tr>
        <w:trPr/>
        <w:tc>
          <w:tcPr>
            <w:tcW w:w="2238" w:type="dxa"/>
            <w:tcBorders>
              <w:top w:val="single" w:sz="8" w:space="0" w:color="B6B6B6"/>
              <w:left w:val="single" w:sz="8" w:space="0" w:color="B6B6B6"/>
              <w:bottom w:val="single" w:sz="8" w:space="0" w:color="B6B6B6"/>
              <w:right w:val="single" w:sz="8" w:space="0" w:color="B6B6B6"/>
            </w:tcBorders>
            <w:shd w:fill="DBDBDB" w:val="clear"/>
            <w:vAlign w:val="center"/>
          </w:tcPr>
          <w:p>
            <w:pPr>
              <w:pStyle w:val="TableContents"/>
              <w:bidi w:val="0"/>
              <w:spacing w:lineRule="atLeast" w:line="4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4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40"/>
                <w:u w:val="none"/>
                <w:effect w:val="none"/>
              </w:rPr>
              <w:t>2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Development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candidates (DCs)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advancing towards IND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submissions in 2026</w:t>
            </w:r>
          </w:p>
        </w:tc>
        <w:tc>
          <w:tcPr>
            <w:tcW w:w="7967" w:type="dxa"/>
            <w:tcBorders>
              <w:top w:val="single" w:sz="8" w:space="0" w:color="B6B6B6"/>
              <w:left w:val="single" w:sz="8" w:space="0" w:color="B6B6B6"/>
              <w:bottom w:val="single" w:sz="8" w:space="0" w:color="B6B6B6"/>
              <w:right w:val="single" w:sz="8" w:space="0" w:color="B6B6B6"/>
            </w:tcBorders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/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9"/>
                <w:u w:val="none"/>
                <w:effect w:val="none"/>
              </w:rPr>
              <w:t xml:space="preserve">During 2025, we advanced </w:t>
            </w: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9"/>
                <w:u w:val="none"/>
                <w:effect w:val="none"/>
              </w:rPr>
              <w:t>XB773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9"/>
                <w:u w:val="none"/>
                <w:effect w:val="none"/>
              </w:rPr>
              <w:t xml:space="preserve">, an innovative ADC targeting delta-like ligand 3, and a </w:t>
            </w:r>
          </w:p>
          <w:p>
            <w:pPr>
              <w:pStyle w:val="TableContents"/>
              <w:bidi w:val="0"/>
              <w:spacing w:lineRule="atLeast" w:line="190" w:before="0" w:after="0"/>
              <w:jc w:val="left"/>
              <w:rPr/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9"/>
                <w:u w:val="none"/>
                <w:effect w:val="none"/>
              </w:rPr>
              <w:t xml:space="preserve">development candidate from our </w:t>
            </w: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9"/>
                <w:u w:val="none"/>
                <w:effect w:val="none"/>
              </w:rPr>
              <w:t>somatostatin receptor subtype 2 (SSTR2) agonist program</w:t>
            </w: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9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9"/>
                <w:u w:val="none"/>
                <w:effect w:val="none"/>
              </w:rPr>
              <w:t>toward potential IND filings in 2026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sans-serif" w:hAnsi="sans-serif"/>
          <w:b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  <w:t>2025</w:t>
      </w:r>
      <w:r>
        <w:rPr>
          <w:caps w:val="false"/>
          <w:smallCaps w:val="false"/>
          <w:strike w:val="false"/>
          <w:dstrike w:val="false"/>
          <w:color w:val="494949"/>
          <w:sz w:val="24"/>
          <w:u w:val="none"/>
          <w:effect w:val="none"/>
        </w:rPr>
        <w:t xml:space="preserve"> </w:t>
      </w:r>
      <w:r>
        <w:rPr>
          <w:rFonts w:ascii="sans-serif" w:hAnsi="sans-serif"/>
          <w:b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  <w:t xml:space="preserve">Executive Compensation Program Highlights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In 2025, we advanced our strategy to build a multi-franchise oncology business, driving strong commercial performance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from cabozantinib and delivering meaningful clinical, regulatory, and pipeline progress for zanzalintinib, while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generating sustainable long-term value for our stockholders. The Compensation Committee believes that the 2025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compensation of all our employees, including our NEOs, is necessary and appropriate to recognize the achievement of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critical milestones and to continue to motivate our teams in executing against our key priorities and anticipated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milestones in 2026 and beyond. In consideration of the company’s performance as summarized above, the Board,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Compensation Committee and, as applicable, Equity Award Committee, took the following key actions with respect to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2025</w:t>
      </w:r>
      <w:r>
        <w:rPr>
          <w:caps w:val="false"/>
          <w:smallCaps w:val="false"/>
          <w:strike w:val="false"/>
          <w:dstrike w:val="false"/>
          <w:color w:val="3F3F3F"/>
          <w:sz w:val="24"/>
          <w:u w:val="none"/>
          <w:effect w:val="none"/>
        </w:rPr>
        <w:t xml:space="preserve">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compensation for our NEOs:</w:t>
      </w: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693"/>
        <w:gridCol w:w="109"/>
        <w:gridCol w:w="6403"/>
      </w:tblGrid>
      <w:tr>
        <w:trPr/>
        <w:tc>
          <w:tcPr>
            <w:tcW w:w="369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0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93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Key Compensation Actions</w:t>
            </w:r>
          </w:p>
        </w:tc>
        <w:tc>
          <w:tcPr>
            <w:tcW w:w="109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03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Description</w:t>
            </w:r>
          </w:p>
        </w:tc>
      </w:tr>
      <w:tr>
        <w:trPr/>
        <w:tc>
          <w:tcPr>
            <w:tcW w:w="3693" w:type="dxa"/>
            <w:tcBorders>
              <w:bottom w:val="single" w:sz="4" w:space="0" w:color="B2B2B2"/>
            </w:tcBorders>
            <w:shd w:fill="E5E5E5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Approved Salary Increases for NEOs</w:t>
            </w:r>
          </w:p>
        </w:tc>
        <w:tc>
          <w:tcPr>
            <w:tcW w:w="109" w:type="dxa"/>
            <w:tcBorders>
              <w:bottom w:val="single" w:sz="4" w:space="0" w:color="B2B2B2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03" w:type="dxa"/>
            <w:tcBorders>
              <w:bottom w:val="single" w:sz="4" w:space="0" w:color="B2B2B2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In February 2025, the Compensation Committee increased base salaries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for our NEOs (other than Dr. Hefti) by between 4% and 7.3% over 2024</w:t>
            </w:r>
            <w:r>
              <w:rPr>
                <w:caps w:val="false"/>
                <w:smallCaps w:val="false"/>
                <w:strike w:val="false"/>
                <w:dstrike w:val="false"/>
                <w:color w:val="3F3F3F"/>
                <w:sz w:val="24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salaries, reflecting individual performance, time in role and a market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review. In January 2025, the Compensation Committee approved a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merit pool for roles at the level of Senior Vice President and below, with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individual awards subject to performance, pursuant to which Dr. Hefti’s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base salary was increased by 5% over her 2024 salary. In November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2025, Dr. Hefti received a promotion-related increase over her 2024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salary of 22% following her appointment to General Counsel.</w:t>
            </w:r>
          </w:p>
        </w:tc>
      </w:tr>
    </w:tbl>
    <w:tbl>
      <w:tblPr>
        <w:tblW w:w="256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176"/>
        <w:gridCol w:w="391"/>
      </w:tblGrid>
      <w:tr>
        <w:trPr/>
        <w:tc>
          <w:tcPr>
            <w:tcW w:w="21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7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40404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404040"/>
                <w:sz w:val="18"/>
                <w:u w:val="none"/>
                <w:effect w:val="none"/>
              </w:rPr>
              <w:t>2026 Proxy Statement</w:t>
            </w:r>
          </w:p>
        </w:tc>
        <w:tc>
          <w:tcPr>
            <w:tcW w:w="39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  <w:t>65</w:t>
            </w:r>
          </w:p>
        </w:tc>
      </w:tr>
    </w:tbl>
    <w:tbl>
      <w:tblPr>
        <w:tblW w:w="733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696"/>
        <w:gridCol w:w="5641"/>
      </w:tblGrid>
      <w:tr>
        <w:trPr/>
        <w:tc>
          <w:tcPr>
            <w:tcW w:w="16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6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9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6d44722bfc2543dbbba9716d9e560c58_16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color w:val="0000FF"/>
                  <w:sz w:val="18"/>
                  <w:u w:val="single"/>
                </w:rPr>
                <w:t>Table of Contents</w:t>
              </w:r>
            </w:hyperlink>
          </w:p>
        </w:tc>
        <w:tc>
          <w:tcPr>
            <w:tcW w:w="564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 xml:space="preserve">Executive Summary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C4C02"/>
                <w:sz w:val="18"/>
                <w:u w:val="none"/>
                <w:effect w:val="none"/>
              </w:rPr>
              <w:t>|</w:t>
            </w: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 xml:space="preserve">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Compensation Discussion and Analysis</w:t>
            </w:r>
          </w:p>
        </w:tc>
      </w:tr>
    </w:tbl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050"/>
        <w:gridCol w:w="109"/>
        <w:gridCol w:w="6046"/>
      </w:tblGrid>
      <w:tr>
        <w:trPr/>
        <w:tc>
          <w:tcPr>
            <w:tcW w:w="405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050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Key Compensation Actions</w:t>
            </w:r>
          </w:p>
        </w:tc>
        <w:tc>
          <w:tcPr>
            <w:tcW w:w="109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46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Description</w:t>
            </w:r>
          </w:p>
        </w:tc>
      </w:tr>
      <w:tr>
        <w:trPr/>
        <w:tc>
          <w:tcPr>
            <w:tcW w:w="4050" w:type="dxa"/>
            <w:tcBorders>
              <w:top w:val="single" w:sz="4" w:space="0" w:color="B2B2B2"/>
              <w:bottom w:val="single" w:sz="4" w:space="0" w:color="B2B2B2"/>
            </w:tcBorders>
            <w:shd w:fill="E5E5E5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Approved Annual Cash Bonuses That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Are Aligned with Company Performance</w:t>
            </w:r>
          </w:p>
        </w:tc>
        <w:tc>
          <w:tcPr>
            <w:tcW w:w="109" w:type="dxa"/>
            <w:tcBorders>
              <w:top w:val="single" w:sz="4" w:space="0" w:color="B2B2B2"/>
              <w:bottom w:val="single" w:sz="4" w:space="0" w:color="B2B2B2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46" w:type="dxa"/>
            <w:tcBorders>
              <w:top w:val="single" w:sz="4" w:space="0" w:color="B2B2B2"/>
              <w:bottom w:val="single" w:sz="4" w:space="0" w:color="B2B2B2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In February 2026, the Compensation Committee approved annual cash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bonus payments for our NEOs (other than Dr. Hefti) in amounts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between 105% and 114% of each such NEO’s 2025</w:t>
            </w:r>
            <w:r>
              <w:rPr>
                <w:caps w:val="false"/>
                <w:smallCaps w:val="false"/>
                <w:strike w:val="false"/>
                <w:dstrike w:val="false"/>
                <w:color w:val="3F3F3F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target cash bonus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amount, reflecting the Compensation Committee’s assessment of the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company’s 105% achievement of our pre-determined 2025</w:t>
            </w:r>
            <w:r>
              <w:rPr>
                <w:caps w:val="false"/>
                <w:smallCaps w:val="false"/>
                <w:strike w:val="false"/>
                <w:dstrike w:val="false"/>
                <w:color w:val="3F3F3F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corporate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goals and each executive’s individual contributions. Dr. Morrissey’s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annual cash bonus was determined solely based on corporate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performance.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Separately, in January 2026, the Compensation Committee approved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the aggregate annual cash bonus pool for employees in roles of Senior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Vice President and below at 105% of target, based on its assessment of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2025 corporate performance. Dr. Hefti’s annual cash bonus, as a Senior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Vice President, was based solely on her individual performance and was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paid from this aggregate bonus pool.</w:t>
            </w:r>
          </w:p>
        </w:tc>
      </w:tr>
      <w:tr>
        <w:trPr/>
        <w:tc>
          <w:tcPr>
            <w:tcW w:w="4050" w:type="dxa"/>
            <w:tcBorders>
              <w:top w:val="single" w:sz="4" w:space="0" w:color="B2B2B2"/>
              <w:bottom w:val="single" w:sz="4" w:space="0" w:color="B6B6B6"/>
            </w:tcBorders>
            <w:shd w:fill="E5E5E5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Granted Performance-Based and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Time-Based Awards under Our Long-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Term Incentive Program (LTIP)</w:t>
            </w:r>
          </w:p>
        </w:tc>
        <w:tc>
          <w:tcPr>
            <w:tcW w:w="109" w:type="dxa"/>
            <w:tcBorders>
              <w:top w:val="single" w:sz="4" w:space="0" w:color="B2B2B2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46" w:type="dxa"/>
            <w:tcBorders>
              <w:top w:val="single" w:sz="4" w:space="0" w:color="B2B2B2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In February 2025, the Compensation Committee approved equity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awards for each NEO (other than Dr. Hefti) comprising approximately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50% time-based restricted stock awards (RSUs) and 50% performance-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based RSU awards (PSUs). In February 2025, the Equity Award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Committee, under the authority delegated by the Compensation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Committee, approved equity awards for Dr. Hefti, comprising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approximately 50% PSU awards and 50% RSU awards. The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Compensation Committee believes this allocation between PSUs and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RSUs provides an effective balance between retention and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performance, risk and leverage, as well as alignment with the interests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of stockholders and creating long-term value.</w:t>
            </w:r>
          </w:p>
        </w:tc>
      </w:tr>
      <w:tr>
        <w:trPr/>
        <w:tc>
          <w:tcPr>
            <w:tcW w:w="4050" w:type="dxa"/>
            <w:tcBorders>
              <w:top w:val="single" w:sz="4" w:space="0" w:color="B6B6B6"/>
              <w:bottom w:val="single" w:sz="4" w:space="0" w:color="B6B6B6"/>
            </w:tcBorders>
            <w:shd w:fill="E5E5E5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Granted One-Time PSU Awards under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Our Special Equity Award Program</w:t>
            </w:r>
          </w:p>
        </w:tc>
        <w:tc>
          <w:tcPr>
            <w:tcW w:w="109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4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In March 2025, following the recommendation of the Compensation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Committee, the Board approved a program (the Special Equity Award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Program) providing for a special one-time performance-based restricted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stock unit award (One-Time PSU Award) for all employees of the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company and its subsidiaries, including our NEOs. The Board believes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the Special Equity Award Program incentivizes long-term company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performance directly aligned with shareholder value creation while also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retaining employees over a five-year transformational period.</w:t>
            </w:r>
          </w:p>
        </w:tc>
      </w:tr>
      <w:tr>
        <w:trPr/>
        <w:tc>
          <w:tcPr>
            <w:tcW w:w="4050" w:type="dxa"/>
            <w:tcBorders>
              <w:top w:val="single" w:sz="4" w:space="0" w:color="B6B6B6"/>
              <w:bottom w:val="single" w:sz="8" w:space="0" w:color="F47521"/>
            </w:tcBorders>
            <w:shd w:fill="E5E5E5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Did Not Adjust Performance Targets for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LTIP or Annual Cash Bonus Plan</w:t>
            </w:r>
          </w:p>
        </w:tc>
        <w:tc>
          <w:tcPr>
            <w:tcW w:w="109" w:type="dxa"/>
            <w:tcBorders>
              <w:top w:val="single" w:sz="4" w:space="0" w:color="B6B6B6"/>
              <w:bottom w:val="single" w:sz="8" w:space="0" w:color="F47521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46" w:type="dxa"/>
            <w:tcBorders>
              <w:top w:val="single" w:sz="4" w:space="0" w:color="B6B6B6"/>
              <w:bottom w:val="single" w:sz="8" w:space="0" w:color="F47521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The Compensation Committee believes that the performance metrics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and related weightings reflect critical business objectives for the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company and that the programs as originally established for 2025</w:t>
            </w:r>
            <w:r>
              <w:rPr>
                <w:caps w:val="false"/>
                <w:smallCaps w:val="false"/>
                <w:strike w:val="false"/>
                <w:dstrike w:val="false"/>
                <w:color w:val="3F3F3F"/>
                <w:sz w:val="24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remained appropriate. The Compensation Committee did not adjust the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performance targets or weightings for awards issued under our LTIP or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our annual cash bonus plan (Annual Cash Bonus Plan) in 2025.</w:t>
            </w:r>
          </w:p>
        </w:tc>
      </w:tr>
    </w:tbl>
    <w:tbl>
      <w:tblPr>
        <w:tblW w:w="174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61"/>
        <w:gridCol w:w="1381"/>
      </w:tblGrid>
      <w:tr>
        <w:trPr/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  <w:t>66</w:t>
            </w:r>
          </w:p>
        </w:tc>
        <w:tc>
          <w:tcPr>
            <w:tcW w:w="138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Exelixis, Inc.</w:t>
            </w:r>
          </w:p>
        </w:tc>
      </w:tr>
    </w:tbl>
    <w:tbl>
      <w:tblPr>
        <w:tblW w:w="1850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696"/>
        <w:gridCol w:w="154"/>
      </w:tblGrid>
      <w:tr>
        <w:trPr/>
        <w:tc>
          <w:tcPr>
            <w:tcW w:w="16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9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6d44722bfc2543dbbba9716d9e560c58_16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color w:val="0000FF"/>
                  <w:sz w:val="18"/>
                  <w:u w:val="single"/>
                </w:rPr>
                <w:t>Table of Contents</w:t>
              </w:r>
            </w:hyperlink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</w:pPr>
      <w:r>
        <w:rPr>
          <w:rFonts w:ascii="sans-serif" w:hAnsi="sans-serif"/>
          <w:b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  <w:t>Compensation Practices and Governance Highlights</w:t>
      </w: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919"/>
        <w:gridCol w:w="6286"/>
      </w:tblGrid>
      <w:tr>
        <w:trPr/>
        <w:tc>
          <w:tcPr>
            <w:tcW w:w="391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919" w:type="dxa"/>
            <w:tcBorders>
              <w:top w:val="single" w:sz="8" w:space="0" w:color="F47521"/>
              <w:bottom w:val="single" w:sz="8" w:space="0" w:color="FFFFFF"/>
            </w:tcBorders>
            <w:shd w:fill="6D6D6D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  <w:t>Pay for Performance</w:t>
            </w:r>
          </w:p>
        </w:tc>
        <w:tc>
          <w:tcPr>
            <w:tcW w:w="6286" w:type="dxa"/>
            <w:tcBorders>
              <w:top w:val="single" w:sz="8" w:space="0" w:color="F47521"/>
              <w:bottom w:val="single" w:sz="8" w:space="0" w:color="FFFFFF"/>
            </w:tcBorders>
            <w:shd w:fill="E5E5E5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›</w:t>
            </w:r>
            <w:r>
              <w:rPr>
                <w:caps w:val="false"/>
                <w:smallCaps w:val="false"/>
                <w:strike w:val="false"/>
                <w:dstrike w:val="false"/>
                <w:color w:val="FC4C02"/>
                <w:u w:val="none"/>
                <w:effect w:val="none"/>
              </w:rPr>
              <w:t>›       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NEO compensation is closely linked to our corporate performance</w:t>
            </w:r>
          </w:p>
        </w:tc>
      </w:tr>
      <w:tr>
        <w:trPr/>
        <w:tc>
          <w:tcPr>
            <w:tcW w:w="3919" w:type="dxa"/>
            <w:tcBorders>
              <w:top w:val="single" w:sz="8" w:space="0" w:color="FFFFFF"/>
              <w:bottom w:val="single" w:sz="8" w:space="0" w:color="FFFFFF"/>
            </w:tcBorders>
            <w:shd w:fill="6D6D6D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  <w:t>Stockholder Alignment</w:t>
            </w:r>
          </w:p>
        </w:tc>
        <w:tc>
          <w:tcPr>
            <w:tcW w:w="6286" w:type="dxa"/>
            <w:tcBorders>
              <w:top w:val="single" w:sz="8" w:space="0" w:color="FFFFFF"/>
              <w:bottom w:val="single" w:sz="8" w:space="0" w:color="FFFFFF"/>
            </w:tcBorders>
            <w:shd w:fill="E5E5E5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›</w:t>
            </w:r>
            <w:r>
              <w:rPr>
                <w:caps w:val="false"/>
                <w:smallCaps w:val="false"/>
                <w:strike w:val="false"/>
                <w:dstrike w:val="false"/>
                <w:color w:val="FC4C02"/>
                <w:u w:val="none"/>
                <w:effect w:val="none"/>
              </w:rPr>
              <w:t>›       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Long-term equity incentives align NEOs’ long-term financial interests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with those of our stockholders</w:t>
            </w:r>
          </w:p>
        </w:tc>
      </w:tr>
      <w:tr>
        <w:trPr/>
        <w:tc>
          <w:tcPr>
            <w:tcW w:w="3919" w:type="dxa"/>
            <w:tcBorders>
              <w:top w:val="single" w:sz="8" w:space="0" w:color="FFFFFF"/>
              <w:bottom w:val="single" w:sz="8" w:space="0" w:color="FFFFFF"/>
            </w:tcBorders>
            <w:shd w:fill="6D6D6D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  <w:t>Compensation Governance</w:t>
            </w:r>
          </w:p>
        </w:tc>
        <w:tc>
          <w:tcPr>
            <w:tcW w:w="6286" w:type="dxa"/>
            <w:tcBorders>
              <w:top w:val="single" w:sz="8" w:space="0" w:color="FFFFFF"/>
              <w:bottom w:val="single" w:sz="8" w:space="0" w:color="FFFFFF"/>
            </w:tcBorders>
            <w:shd w:fill="E5E5E5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›</w:t>
            </w:r>
            <w:r>
              <w:rPr>
                <w:caps w:val="false"/>
                <w:smallCaps w:val="false"/>
                <w:strike w:val="false"/>
                <w:dstrike w:val="false"/>
                <w:color w:val="FC4C02"/>
                <w:u w:val="none"/>
                <w:effect w:val="none"/>
              </w:rPr>
              <w:t>›       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Our Compensation Committee consists entirely of independent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 xml:space="preserve">         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directors and engages an independent compensation consultant to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 xml:space="preserve">         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advise on executive compensation matters</w:t>
            </w:r>
          </w:p>
        </w:tc>
      </w:tr>
      <w:tr>
        <w:trPr/>
        <w:tc>
          <w:tcPr>
            <w:tcW w:w="3919" w:type="dxa"/>
            <w:tcBorders>
              <w:top w:val="single" w:sz="8" w:space="0" w:color="FFFFFF"/>
              <w:bottom w:val="single" w:sz="8" w:space="0" w:color="FFFFFF"/>
            </w:tcBorders>
            <w:shd w:fill="6D6D6D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  <w:t>Stockholder Feedback</w:t>
            </w:r>
          </w:p>
        </w:tc>
        <w:tc>
          <w:tcPr>
            <w:tcW w:w="6286" w:type="dxa"/>
            <w:tcBorders>
              <w:top w:val="single" w:sz="8" w:space="0" w:color="FFFFFF"/>
              <w:bottom w:val="single" w:sz="8" w:space="0" w:color="FFFFFF"/>
            </w:tcBorders>
            <w:shd w:fill="E5E5E5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›</w:t>
            </w:r>
            <w:r>
              <w:rPr>
                <w:caps w:val="false"/>
                <w:smallCaps w:val="false"/>
                <w:strike w:val="false"/>
                <w:dstrike w:val="false"/>
                <w:color w:val="FC4C02"/>
                <w:u w:val="none"/>
                <w:effect w:val="none"/>
              </w:rPr>
              <w:t xml:space="preserve">›      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We regularly seek and value stockholder feedback, including through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an annual stockholder advisory vote to approve our executive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compensation program (referred to herein as Say on Pay)</w:t>
            </w:r>
          </w:p>
        </w:tc>
      </w:tr>
      <w:tr>
        <w:trPr/>
        <w:tc>
          <w:tcPr>
            <w:tcW w:w="3919" w:type="dxa"/>
            <w:tcBorders>
              <w:top w:val="single" w:sz="8" w:space="0" w:color="FFFFFF"/>
              <w:bottom w:val="single" w:sz="8" w:space="0" w:color="FFFFFF"/>
            </w:tcBorders>
            <w:shd w:fill="6D6D6D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  <w:t>Recoupment or Clawback Policy</w:t>
            </w:r>
          </w:p>
        </w:tc>
        <w:tc>
          <w:tcPr>
            <w:tcW w:w="6286" w:type="dxa"/>
            <w:tcBorders>
              <w:top w:val="single" w:sz="8" w:space="0" w:color="FFFFFF"/>
              <w:bottom w:val="single" w:sz="8" w:space="0" w:color="FFFFFF"/>
            </w:tcBorders>
            <w:shd w:fill="E5E5E5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›</w:t>
            </w:r>
            <w:r>
              <w:rPr>
                <w:caps w:val="false"/>
                <w:smallCaps w:val="false"/>
                <w:strike w:val="false"/>
                <w:dstrike w:val="false"/>
                <w:color w:val="FC4C02"/>
                <w:u w:val="none"/>
                <w:effect w:val="none"/>
              </w:rPr>
              <w:t>›       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We maintain a Policy for Recoupment of Variable Compensation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 xml:space="preserve">         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(referred to herein as the Clawback Policy) that permits recovery of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all forms of variable compensation (excluding base salary)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 xml:space="preserve">         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from senior-level employees, including our NEOs, in the event of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 xml:space="preserve">         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misconduct that causes material harm to the company and recovery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of erroneously awarded incentive-based compensation to current or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 xml:space="preserve">         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former executive officers, including our NEOs, following a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restatement of financial results</w:t>
            </w:r>
          </w:p>
        </w:tc>
      </w:tr>
      <w:tr>
        <w:trPr/>
        <w:tc>
          <w:tcPr>
            <w:tcW w:w="3919" w:type="dxa"/>
            <w:tcBorders>
              <w:top w:val="single" w:sz="8" w:space="0" w:color="FFFFFF"/>
              <w:bottom w:val="single" w:sz="8" w:space="0" w:color="FFFFFF"/>
            </w:tcBorders>
            <w:shd w:fill="6D6D6D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  <w:t xml:space="preserve">Annual Cash Bonus Amounts Subject to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  <w:t>Payment Maximums</w:t>
            </w:r>
          </w:p>
        </w:tc>
        <w:tc>
          <w:tcPr>
            <w:tcW w:w="6286" w:type="dxa"/>
            <w:tcBorders>
              <w:top w:val="single" w:sz="8" w:space="0" w:color="FFFFFF"/>
              <w:bottom w:val="single" w:sz="8" w:space="0" w:color="FFFFFF"/>
            </w:tcBorders>
            <w:shd w:fill="E5E5E5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›</w:t>
            </w:r>
            <w:r>
              <w:rPr>
                <w:caps w:val="false"/>
                <w:smallCaps w:val="false"/>
                <w:strike w:val="false"/>
                <w:dstrike w:val="false"/>
                <w:color w:val="FC4C02"/>
                <w:u w:val="none"/>
                <w:effect w:val="none"/>
              </w:rPr>
              <w:t xml:space="preserve">›      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Our Annual Cash Bonus Plan sets a cap of 200% on the payouts of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 xml:space="preserve">         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target bonus payments for individual and/or corporate performance</w:t>
            </w:r>
          </w:p>
        </w:tc>
      </w:tr>
      <w:tr>
        <w:trPr/>
        <w:tc>
          <w:tcPr>
            <w:tcW w:w="3919" w:type="dxa"/>
            <w:tcBorders>
              <w:top w:val="single" w:sz="8" w:space="0" w:color="FFFFFF"/>
              <w:bottom w:val="single" w:sz="8" w:space="0" w:color="FFFFFF"/>
            </w:tcBorders>
            <w:shd w:fill="6D6D6D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  <w:t>Equity Plan Features</w:t>
            </w:r>
          </w:p>
        </w:tc>
        <w:tc>
          <w:tcPr>
            <w:tcW w:w="6286" w:type="dxa"/>
            <w:tcBorders>
              <w:top w:val="single" w:sz="8" w:space="0" w:color="FFFFFF"/>
              <w:bottom w:val="single" w:sz="8" w:space="0" w:color="FFFFFF"/>
            </w:tcBorders>
            <w:shd w:fill="E5E5E5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›</w:t>
            </w:r>
            <w:r>
              <w:rPr>
                <w:caps w:val="false"/>
                <w:smallCaps w:val="false"/>
                <w:strike w:val="false"/>
                <w:dstrike w:val="false"/>
                <w:color w:val="FC4C02"/>
                <w:u w:val="none"/>
                <w:effect w:val="none"/>
              </w:rPr>
              <w:t>›       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The Exelixis, Inc. 2017 Equity Incentive Plan (referred to herein as the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2017 Plan) includes a minimum one-year vesting requirement for all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types of awards, subject to limited exceptions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›</w:t>
            </w:r>
            <w:r>
              <w:rPr>
                <w:caps w:val="false"/>
                <w:smallCaps w:val="false"/>
                <w:strike w:val="false"/>
                <w:dstrike w:val="false"/>
                <w:color w:val="FC4C02"/>
                <w:u w:val="none"/>
                <w:effect w:val="none"/>
              </w:rPr>
              <w:t>›       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Applies a 7-year maximum term for stock options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›</w:t>
            </w:r>
            <w:r>
              <w:rPr>
                <w:caps w:val="false"/>
                <w:smallCaps w:val="false"/>
                <w:strike w:val="false"/>
                <w:dstrike w:val="false"/>
                <w:color w:val="FC4C02"/>
                <w:u w:val="none"/>
                <w:effect w:val="none"/>
              </w:rPr>
              <w:t>›       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Prohibits repricing of underwater stock options without prior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 xml:space="preserve">         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stockholder approval</w:t>
            </w:r>
          </w:p>
        </w:tc>
      </w:tr>
      <w:tr>
        <w:trPr/>
        <w:tc>
          <w:tcPr>
            <w:tcW w:w="3919" w:type="dxa"/>
            <w:tcBorders>
              <w:top w:val="single" w:sz="8" w:space="0" w:color="FFFFFF"/>
              <w:bottom w:val="single" w:sz="8" w:space="0" w:color="FFFFFF"/>
            </w:tcBorders>
            <w:shd w:fill="6D6D6D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  <w:t>Stock Ownership Guidelines</w:t>
            </w:r>
          </w:p>
        </w:tc>
        <w:tc>
          <w:tcPr>
            <w:tcW w:w="6286" w:type="dxa"/>
            <w:tcBorders>
              <w:top w:val="single" w:sz="8" w:space="0" w:color="FFFFFF"/>
              <w:bottom w:val="single" w:sz="8" w:space="0" w:color="FFFFFF"/>
            </w:tcBorders>
            <w:shd w:fill="E5E5E5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›</w:t>
            </w:r>
            <w:r>
              <w:rPr>
                <w:caps w:val="false"/>
                <w:smallCaps w:val="false"/>
                <w:strike w:val="false"/>
                <w:dstrike w:val="false"/>
                <w:color w:val="FC4C02"/>
                <w:u w:val="none"/>
                <w:effect w:val="none"/>
              </w:rPr>
              <w:t>›       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We maintain robust stock ownership guidelines for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 xml:space="preserve">         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directors and executive officers and regularly review compliance to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ensure alignment with long-term stockholder interests</w:t>
            </w:r>
          </w:p>
        </w:tc>
      </w:tr>
      <w:tr>
        <w:trPr/>
        <w:tc>
          <w:tcPr>
            <w:tcW w:w="3919" w:type="dxa"/>
            <w:tcBorders>
              <w:top w:val="single" w:sz="8" w:space="0" w:color="FFFFFF"/>
              <w:bottom w:val="single" w:sz="8" w:space="0" w:color="FFFFFF"/>
            </w:tcBorders>
            <w:shd w:fill="6D6D6D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  <w:t>Change in Control Provisions</w:t>
            </w:r>
          </w:p>
        </w:tc>
        <w:tc>
          <w:tcPr>
            <w:tcW w:w="6286" w:type="dxa"/>
            <w:tcBorders>
              <w:top w:val="single" w:sz="8" w:space="0" w:color="FFFFFF"/>
              <w:bottom w:val="single" w:sz="8" w:space="0" w:color="FFFFFF"/>
            </w:tcBorders>
            <w:shd w:fill="E5E5E5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›</w:t>
            </w:r>
            <w:r>
              <w:rPr>
                <w:caps w:val="false"/>
                <w:smallCaps w:val="false"/>
                <w:strike w:val="false"/>
                <w:dstrike w:val="false"/>
                <w:color w:val="FC4C02"/>
                <w:u w:val="none"/>
                <w:effect w:val="none"/>
              </w:rPr>
              <w:t xml:space="preserve">›      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Does not include excessive change in control or severance payments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›</w:t>
            </w:r>
            <w:r>
              <w:rPr>
                <w:caps w:val="false"/>
                <w:smallCaps w:val="false"/>
                <w:strike w:val="false"/>
                <w:dstrike w:val="false"/>
                <w:color w:val="FC4C02"/>
                <w:u w:val="none"/>
                <w:effect w:val="none"/>
              </w:rPr>
              <w:t xml:space="preserve">›      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Provides “double-trigger” change in control benefits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›</w:t>
            </w:r>
            <w:r>
              <w:rPr>
                <w:caps w:val="false"/>
                <w:smallCaps w:val="false"/>
                <w:strike w:val="false"/>
                <w:dstrike w:val="false"/>
                <w:color w:val="FC4C02"/>
                <w:u w:val="none"/>
                <w:effect w:val="none"/>
              </w:rPr>
              <w:t>›       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Does not include Code Section 280G tax gross-ups on severance or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 xml:space="preserve">         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change in control benefits</w:t>
            </w:r>
          </w:p>
        </w:tc>
      </w:tr>
      <w:tr>
        <w:trPr/>
        <w:tc>
          <w:tcPr>
            <w:tcW w:w="3919" w:type="dxa"/>
            <w:tcBorders>
              <w:top w:val="single" w:sz="8" w:space="0" w:color="FFFFFF"/>
              <w:bottom w:val="single" w:sz="8" w:space="0" w:color="FFFFFF"/>
            </w:tcBorders>
            <w:shd w:fill="6D6D6D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  <w:t xml:space="preserve">Perquisites, Retirement and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  <w:t>Pension Benefits</w:t>
            </w:r>
          </w:p>
        </w:tc>
        <w:tc>
          <w:tcPr>
            <w:tcW w:w="6286" w:type="dxa"/>
            <w:tcBorders>
              <w:top w:val="single" w:sz="8" w:space="0" w:color="FFFFFF"/>
              <w:bottom w:val="single" w:sz="8" w:space="0" w:color="FFFFFF"/>
            </w:tcBorders>
            <w:shd w:fill="E5E5E5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›</w:t>
            </w:r>
            <w:r>
              <w:rPr>
                <w:caps w:val="false"/>
                <w:smallCaps w:val="false"/>
                <w:strike w:val="false"/>
                <w:dstrike w:val="false"/>
                <w:color w:val="FC4C02"/>
                <w:u w:val="none"/>
                <w:effect w:val="none"/>
              </w:rPr>
              <w:t xml:space="preserve">›      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Our NEOs do not receive excessive perquisites or post-termination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 xml:space="preserve">         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retirement or pension benefits that are not available to all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 xml:space="preserve">         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employees generally</w:t>
            </w:r>
          </w:p>
        </w:tc>
      </w:tr>
      <w:tr>
        <w:trPr/>
        <w:tc>
          <w:tcPr>
            <w:tcW w:w="3919" w:type="dxa"/>
            <w:tcBorders>
              <w:top w:val="single" w:sz="8" w:space="0" w:color="FFFFFF"/>
              <w:bottom w:val="single" w:sz="8" w:space="0" w:color="FFFFFF"/>
            </w:tcBorders>
            <w:shd w:fill="6D6D6D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  <w:t xml:space="preserve">Prohibition on Hedging and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  <w:t>Margin Loans</w:t>
            </w:r>
          </w:p>
        </w:tc>
        <w:tc>
          <w:tcPr>
            <w:tcW w:w="6286" w:type="dxa"/>
            <w:tcBorders>
              <w:top w:val="single" w:sz="8" w:space="0" w:color="FFFFFF"/>
              <w:bottom w:val="single" w:sz="8" w:space="0" w:color="FFFFFF"/>
            </w:tcBorders>
            <w:shd w:fill="E5E5E5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›</w:t>
            </w:r>
            <w:r>
              <w:rPr>
                <w:caps w:val="false"/>
                <w:smallCaps w:val="false"/>
                <w:strike w:val="false"/>
                <w:dstrike w:val="false"/>
                <w:color w:val="FC4C02"/>
                <w:u w:val="none"/>
                <w:effect w:val="none"/>
              </w:rPr>
              <w:t>›       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We prohibit hedging and purchases on margin by executive officers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 xml:space="preserve">         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and directors</w:t>
            </w:r>
          </w:p>
        </w:tc>
      </w:tr>
      <w:tr>
        <w:trPr/>
        <w:tc>
          <w:tcPr>
            <w:tcW w:w="3919" w:type="dxa"/>
            <w:tcBorders>
              <w:top w:val="single" w:sz="8" w:space="0" w:color="FFFFFF"/>
              <w:bottom w:val="single" w:sz="8" w:space="0" w:color="FFFFFF"/>
            </w:tcBorders>
            <w:shd w:fill="6D6D6D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  <w:t>Meaningful Limits on Pledging</w:t>
            </w:r>
          </w:p>
        </w:tc>
        <w:tc>
          <w:tcPr>
            <w:tcW w:w="6286" w:type="dxa"/>
            <w:tcBorders>
              <w:top w:val="single" w:sz="8" w:space="0" w:color="FFFFFF"/>
              <w:bottom w:val="single" w:sz="8" w:space="0" w:color="FFFFFF"/>
            </w:tcBorders>
            <w:shd w:fill="E5E5E5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›</w:t>
            </w:r>
            <w:r>
              <w:rPr>
                <w:caps w:val="false"/>
                <w:smallCaps w:val="false"/>
                <w:strike w:val="false"/>
                <w:dstrike w:val="false"/>
                <w:color w:val="FC4C02"/>
                <w:u w:val="none"/>
                <w:effect w:val="none"/>
              </w:rPr>
              <w:t xml:space="preserve">›      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Following December 2024 amendments to our insider trading policy,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pledging of company stock is fully prohibited.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›</w:t>
            </w:r>
            <w:r>
              <w:rPr>
                <w:caps w:val="false"/>
                <w:smallCaps w:val="false"/>
                <w:strike w:val="false"/>
                <w:dstrike w:val="false"/>
                <w:color w:val="FC4C02"/>
                <w:u w:val="none"/>
                <w:effect w:val="none"/>
              </w:rPr>
              <w:t xml:space="preserve">›      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No executive officers or directors pledged our common stock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 xml:space="preserve">         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during 2025</w:t>
            </w:r>
          </w:p>
        </w:tc>
      </w:tr>
      <w:tr>
        <w:trPr/>
        <w:tc>
          <w:tcPr>
            <w:tcW w:w="3919" w:type="dxa"/>
            <w:tcBorders>
              <w:top w:val="single" w:sz="8" w:space="0" w:color="FFFFFF"/>
              <w:bottom w:val="single" w:sz="8" w:space="0" w:color="F47521"/>
            </w:tcBorders>
            <w:shd w:fill="6D6D6D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  <w:t>Compensation Risk Assessment</w:t>
            </w:r>
          </w:p>
        </w:tc>
        <w:tc>
          <w:tcPr>
            <w:tcW w:w="6286" w:type="dxa"/>
            <w:tcBorders>
              <w:top w:val="single" w:sz="8" w:space="0" w:color="FFFFFF"/>
              <w:bottom w:val="single" w:sz="8" w:space="0" w:color="F47521"/>
            </w:tcBorders>
            <w:shd w:fill="E5E5E5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›</w:t>
            </w:r>
            <w:r>
              <w:rPr>
                <w:caps w:val="false"/>
                <w:smallCaps w:val="false"/>
                <w:strike w:val="false"/>
                <w:dstrike w:val="false"/>
                <w:color w:val="FC4C02"/>
                <w:u w:val="none"/>
                <w:effect w:val="none"/>
              </w:rPr>
              <w:t xml:space="preserve">›      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Our Compensation Committee annually assesses the risks associated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 xml:space="preserve">         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with our compensation policies and practices to ensure that our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 xml:space="preserve">         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programs are not reasonably likely to have a material adverse effect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 xml:space="preserve">         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on the company</w:t>
            </w:r>
          </w:p>
        </w:tc>
      </w:tr>
    </w:tbl>
    <w:tbl>
      <w:tblPr>
        <w:tblW w:w="256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176"/>
        <w:gridCol w:w="391"/>
      </w:tblGrid>
      <w:tr>
        <w:trPr/>
        <w:tc>
          <w:tcPr>
            <w:tcW w:w="21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7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40404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404040"/>
                <w:sz w:val="18"/>
                <w:u w:val="none"/>
                <w:effect w:val="none"/>
              </w:rPr>
              <w:t>2026 Proxy Statement</w:t>
            </w:r>
          </w:p>
        </w:tc>
        <w:tc>
          <w:tcPr>
            <w:tcW w:w="39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  <w:t>67</w:t>
            </w:r>
          </w:p>
        </w:tc>
      </w:tr>
    </w:tbl>
    <w:tbl>
      <w:tblPr>
        <w:tblW w:w="954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696"/>
        <w:gridCol w:w="7846"/>
      </w:tblGrid>
      <w:tr>
        <w:trPr/>
        <w:tc>
          <w:tcPr>
            <w:tcW w:w="16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9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6d44722bfc2543dbbba9716d9e560c58_16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color w:val="0000FF"/>
                  <w:sz w:val="18"/>
                  <w:u w:val="single"/>
                </w:rPr>
                <w:t>Table of Contents</w:t>
              </w:r>
            </w:hyperlink>
          </w:p>
        </w:tc>
        <w:tc>
          <w:tcPr>
            <w:tcW w:w="784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 xml:space="preserve">How We Determine Executive Compensation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C4C02"/>
                <w:sz w:val="18"/>
                <w:u w:val="none"/>
                <w:effect w:val="none"/>
              </w:rPr>
              <w:t>|</w:t>
            </w: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 xml:space="preserve">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Compensation Discussion and Analysis</w:t>
            </w:r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F47521"/>
          <w:sz w:val="2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F47521"/>
          <w:sz w:val="28"/>
          <w:u w:val="none"/>
          <w:effect w:val="none"/>
        </w:rPr>
        <w:t>How We Determine Executive Compensation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</w:pPr>
      <w:r>
        <w:rPr>
          <w:rFonts w:ascii="sans-serif" w:hAnsi="sans-serif"/>
          <w:b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  <w:t xml:space="preserve">Role of the Compensation Committee, Compensation Consultants and Executive Officers in Compensation Decisions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/>
          <w:i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/>
          <w:i/>
          <w:strike w:val="false"/>
          <w:dstrike w:val="false"/>
          <w:color w:val="3F3F3F"/>
          <w:sz w:val="20"/>
          <w:u w:val="none"/>
          <w:effect w:val="none"/>
        </w:rPr>
        <w:t xml:space="preserve">Role of the Compensation Committee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The Compensation Committee is responsible for evaluating and approving NEO compensation, and may, when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appropriate, solicit input from or present recommendations to the full Board for consideration and approval. Acting on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behalf of the Board, the Compensation Committee oversees our executive compensation policies, plans and programs,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establishes and reviews general policies relating to employee compensation and benefits and administers our equity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and other incentive compensation plans. The Compensation Committee directly approves the compensation of NEOs at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the level of executive vice president.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For employees at the level of Senior Vice President and below, including Dr. Hefti (prior to when Dr. Hefti became an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executive officer in November 2025), the Compensation Committee establishes and oversees the compensation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framework and guidelines, including merit, promotion and adjustment pools, corporate bonus funding (based on the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Compensation Committee’s review and determination of the company’s performance against pre</w:t>
        <w:noBreakHyphen/>
        <w:t xml:space="preserve">established goals),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new hire and promotion equity grant guidelines, and the LTIP mix, structure and target award values by job level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(collectively, the Compensation Framework), each as informed by market data and analysis provided by the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Compensation Committee’s independent compensation consultant. Pursuant to, and within, this Compensation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Framework, the Compensation Committee has delegated to the Equity Award Committee (comprised of the Chief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Executive Officer) authority to determine individual compensation outcomes for employees at the level of Senior Vice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President and below, including for Dr. Hefti (prior to when Dr. Hefti became an executive officer in November 2025).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The Compensation Committee does not delegate any of its authority with respect to approving compensation to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employees at the level of Senior Vice President and below outside of the Compensation Framework.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/>
          <w:i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/>
          <w:i/>
          <w:strike w:val="false"/>
          <w:dstrike w:val="false"/>
          <w:color w:val="3F3F3F"/>
          <w:sz w:val="20"/>
          <w:u w:val="none"/>
          <w:effect w:val="none"/>
        </w:rPr>
        <w:t xml:space="preserve">Role of Independent Compensation Consultants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Our Compensation Committee uses an independent compensation consulting firm to advise on executive officer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compensation, including base salaries, bonus targets and equity compensation, and director compensation. For 2025,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the Compensation Committee retained the consulting firm Aon, to advise and assist with: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3F3F3F"/>
          <w:u w:val="none"/>
          <w:effect w:val="none"/>
        </w:rPr>
        <w:t>›</w:t>
      </w:r>
      <w:r>
        <w:rPr>
          <w:caps w:val="false"/>
          <w:smallCaps w:val="false"/>
          <w:strike w:val="false"/>
          <w:dstrike w:val="false"/>
          <w:color w:val="FC4C02"/>
          <w:u w:val="none"/>
          <w:effect w:val="none"/>
        </w:rPr>
        <w:t>›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Development of a peer group to be used in the evaluation of 2025</w:t>
      </w:r>
      <w:r>
        <w:rPr>
          <w:caps w:val="false"/>
          <w:smallCaps w:val="false"/>
          <w:strike w:val="false"/>
          <w:dstrike w:val="false"/>
          <w:color w:val="3F3F3F"/>
          <w:sz w:val="24"/>
          <w:u w:val="none"/>
          <w:effect w:val="none"/>
        </w:rPr>
        <w:t xml:space="preserve">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executive and director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compensation determinations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3F3F3F"/>
          <w:u w:val="none"/>
          <w:effect w:val="none"/>
        </w:rPr>
        <w:t>›</w:t>
      </w:r>
      <w:r>
        <w:rPr>
          <w:caps w:val="false"/>
          <w:smallCaps w:val="false"/>
          <w:strike w:val="false"/>
          <w:dstrike w:val="false"/>
          <w:color w:val="FC4C02"/>
          <w:u w:val="none"/>
          <w:effect w:val="none"/>
        </w:rPr>
        <w:t>›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Documentary support, including peer group and industry data, with respect to base salaries, target annual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cash bonuses and equity compensation, including benchmarking for roles at Senior Vice President-level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and below to inform the Compensation Committee established Compensation Framework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3F3F3F"/>
          <w:u w:val="none"/>
          <w:effect w:val="none"/>
        </w:rPr>
        <w:t>›</w:t>
      </w:r>
      <w:r>
        <w:rPr>
          <w:caps w:val="false"/>
          <w:smallCaps w:val="false"/>
          <w:strike w:val="false"/>
          <w:dstrike w:val="false"/>
          <w:color w:val="FC4C02"/>
          <w:u w:val="none"/>
          <w:effect w:val="none"/>
        </w:rPr>
        <w:t>›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 market analysis of executive officer compensation compared to our peer group, which was reviewed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with the Compensation Committee and used to guide 2025</w:t>
      </w:r>
      <w:r>
        <w:rPr>
          <w:caps w:val="false"/>
          <w:smallCaps w:val="false"/>
          <w:strike w:val="false"/>
          <w:dstrike w:val="false"/>
          <w:color w:val="3F3F3F"/>
          <w:sz w:val="24"/>
          <w:u w:val="none"/>
          <w:effect w:val="none"/>
        </w:rPr>
        <w:t xml:space="preserve">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base salary and bonus target decisions for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our NEOs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3F3F3F"/>
          <w:u w:val="none"/>
          <w:effect w:val="none"/>
        </w:rPr>
        <w:t>›</w:t>
      </w:r>
      <w:r>
        <w:rPr>
          <w:caps w:val="false"/>
          <w:smallCaps w:val="false"/>
          <w:strike w:val="false"/>
          <w:dstrike w:val="false"/>
          <w:color w:val="FC4C02"/>
          <w:u w:val="none"/>
          <w:effect w:val="none"/>
        </w:rPr>
        <w:t>›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 market analysis of long-term incentive compensation of our executive officers compared to our peer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group, which was reviewed with the Compensation Committee and used to guide 2025</w:t>
      </w:r>
      <w:r>
        <w:rPr>
          <w:caps w:val="false"/>
          <w:smallCaps w:val="false"/>
          <w:strike w:val="false"/>
          <w:dstrike w:val="false"/>
          <w:color w:val="3F3F3F"/>
          <w:sz w:val="24"/>
          <w:u w:val="none"/>
          <w:effect w:val="none"/>
        </w:rPr>
        <w:t xml:space="preserve">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long-term equity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compensation determinations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The Compensation Committee assessed the independence of Aon pursuant to SEC rules and concluded that the work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performed by Aon for the Compensation Committee did not raise any conflicts of interest.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/>
          <w:i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/>
          <w:i/>
          <w:strike w:val="false"/>
          <w:dstrike w:val="false"/>
          <w:color w:val="3F3F3F"/>
          <w:sz w:val="20"/>
          <w:u w:val="none"/>
          <w:effect w:val="none"/>
        </w:rPr>
        <w:t xml:space="preserve">Role of Executive Officers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Dr. Morrissey, our President and Chief Executive Officer, participates in the Compensation Committee’s deliberations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regarding NEO compensation other than his own. He is not present during any discussions and voting concerning his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individual compensation. With respect to Dr. Hefti, who serves as Senior Vice President, Dr. Morrissey, in his role on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the Equity Award Committee, determines individual compensation outcomes (base salary, cash bonus opportunity and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long-term incentive award) within the Committee-established Compensation Framework. Each year, Dr. Morrissey and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other members of senior management develop annual corporate goals and performance targets for long-term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incentive awards for the company, which are subject to review and approval by the Compensation Committee and/or </w:t>
      </w:r>
    </w:p>
    <w:p>
      <w:pPr>
        <w:pStyle w:val="TextBody"/>
        <w:bidi w:val="0"/>
        <w:spacing w:lineRule="atLeast" w:line="24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Board. </w:t>
      </w:r>
    </w:p>
    <w:tbl>
      <w:tblPr>
        <w:tblW w:w="174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61"/>
        <w:gridCol w:w="1381"/>
      </w:tblGrid>
      <w:tr>
        <w:trPr/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  <w:t>68</w:t>
            </w:r>
          </w:p>
        </w:tc>
        <w:tc>
          <w:tcPr>
            <w:tcW w:w="138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Exelixis, Inc.</w:t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/>
      </w:pPr>
      <w:hyperlink w:anchor="i6d44722bfc2543dbbba9716d9e560c58_16">
        <w:r>
          <w:rPr>
            <w:rStyle w:val="InternetLink"/>
            <w:rFonts w:ascii="sans-serif" w:hAnsi="sans-serif"/>
            <w:b w:val="false"/>
            <w:i w:val="false"/>
            <w:caps w:val="false"/>
            <w:smallCaps w:val="false"/>
            <w:color w:val="0000FF"/>
            <w:sz w:val="18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</w:pPr>
      <w:r>
        <w:rPr>
          <w:rFonts w:ascii="sans-serif" w:hAnsi="sans-serif"/>
          <w:b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  <w:t xml:space="preserve">Compensation Committee Process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In setting the level of salary, annual cash bonus and long-term incentive compensation for our NEOs, the Compensation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Committee directly approves compensation for NEOs at the level of executive vice president and, for Senior Vice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Presidents, establishes the Compensation Framework pursuant to which individual compensation decisions are made.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In carrying out its responsibilities, the Compensation Committee typically considers various factors, including: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3F3F3F"/>
          <w:u w:val="none"/>
          <w:effect w:val="none"/>
        </w:rPr>
        <w:t>›</w:t>
      </w:r>
      <w:r>
        <w:rPr>
          <w:caps w:val="false"/>
          <w:smallCaps w:val="false"/>
          <w:strike w:val="false"/>
          <w:dstrike w:val="false"/>
          <w:color w:val="FC4C02"/>
          <w:u w:val="none"/>
          <w:effect w:val="none"/>
        </w:rPr>
        <w:t>›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company performance during the prior year;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3F3F3F"/>
          <w:u w:val="none"/>
          <w:effect w:val="none"/>
        </w:rPr>
        <w:t>›</w:t>
      </w:r>
      <w:r>
        <w:rPr>
          <w:caps w:val="false"/>
          <w:smallCaps w:val="false"/>
          <w:strike w:val="false"/>
          <w:dstrike w:val="false"/>
          <w:color w:val="FC4C02"/>
          <w:u w:val="none"/>
          <w:effect w:val="none"/>
        </w:rPr>
        <w:t>›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individual contribution toward achievement of our corporate goals, as applicable;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3F3F3F"/>
          <w:u w:val="none"/>
          <w:effect w:val="none"/>
        </w:rPr>
        <w:t>›</w:t>
      </w:r>
      <w:r>
        <w:rPr>
          <w:caps w:val="false"/>
          <w:smallCaps w:val="false"/>
          <w:strike w:val="false"/>
          <w:dstrike w:val="false"/>
          <w:color w:val="FC4C02"/>
          <w:u w:val="none"/>
          <w:effect w:val="none"/>
        </w:rPr>
        <w:t>›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the criticality of each NEO’s skill set and relative expected future contributions to our business;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3F3F3F"/>
          <w:u w:val="none"/>
          <w:effect w:val="none"/>
        </w:rPr>
        <w:t>›</w:t>
      </w:r>
      <w:r>
        <w:rPr>
          <w:caps w:val="false"/>
          <w:smallCaps w:val="false"/>
          <w:strike w:val="false"/>
          <w:dstrike w:val="false"/>
          <w:color w:val="FC4C02"/>
          <w:u w:val="none"/>
          <w:effect w:val="none"/>
        </w:rPr>
        <w:t>›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the growing complexity of our business and commensurate increase in workloads and responsibilities;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3F3F3F"/>
          <w:u w:val="none"/>
          <w:effect w:val="none"/>
        </w:rPr>
        <w:t>›</w:t>
      </w:r>
      <w:r>
        <w:rPr>
          <w:caps w:val="false"/>
          <w:smallCaps w:val="false"/>
          <w:strike w:val="false"/>
          <w:dstrike w:val="false"/>
          <w:color w:val="FC4C02"/>
          <w:u w:val="none"/>
          <w:effect w:val="none"/>
        </w:rPr>
        <w:t>›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the appropriate compensation mix for each NEO;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3F3F3F"/>
          <w:u w:val="none"/>
          <w:effect w:val="none"/>
        </w:rPr>
        <w:t>›</w:t>
      </w:r>
      <w:r>
        <w:rPr>
          <w:caps w:val="false"/>
          <w:smallCaps w:val="false"/>
          <w:strike w:val="false"/>
          <w:dstrike w:val="false"/>
          <w:color w:val="FC4C02"/>
          <w:u w:val="none"/>
          <w:effect w:val="none"/>
        </w:rPr>
        <w:t>›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the historical salary, cash bonus and percentage of vested versus unvested equity awards held by each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NEO; and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3F3F3F"/>
          <w:u w:val="none"/>
          <w:effect w:val="none"/>
        </w:rPr>
        <w:t>›</w:t>
      </w:r>
      <w:r>
        <w:rPr>
          <w:caps w:val="false"/>
          <w:smallCaps w:val="false"/>
          <w:strike w:val="false"/>
          <w:dstrike w:val="false"/>
          <w:color w:val="FC4C02"/>
          <w:u w:val="none"/>
          <w:effect w:val="none"/>
        </w:rPr>
        <w:t>›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market data, which include competitive information relating to compensation levels for comparable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positions in the biotechnology and life sciences sector and for our specific peer group.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Each year, the Compensation Committee balances these factors against our cash resources and the critical need to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prioritize clinical development and pipeline expansion investments over other expenditures, as well as our aggregate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equity burn rate. Using this process, the Compensation Committee strives to ensure that, as a whole, our executive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compensation program is competitive.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sans-serif" w:hAnsi="sans-serif"/>
          <w:b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  <w:t>Stockholder Outreach and Board Responsiveness</w:t>
      </w:r>
      <w:bookmarkStart w:id="76" w:name="i22a74412a8194b4eb27d7e241508eb94_5719"/>
      <w:bookmarkEnd w:id="76"/>
      <w:r>
        <w:rPr>
          <w:caps w:val="false"/>
          <w:smallCaps w:val="false"/>
          <w:strike w:val="false"/>
          <w:dstrike w:val="false"/>
          <w:color w:val="494949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Our stockholder outreach initiatives constitute an integral part of our executive compensation program review and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allow us to elicit and obtain a better understanding of the concerns and perspectives of our stockholders. Topics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discussed with stockholders during 2025</w:t>
      </w:r>
      <w:r>
        <w:rPr>
          <w:caps w:val="false"/>
          <w:smallCaps w:val="false"/>
          <w:strike w:val="false"/>
          <w:dstrike w:val="false"/>
          <w:color w:val="3F3F3F"/>
          <w:sz w:val="24"/>
          <w:u w:val="none"/>
          <w:effect w:val="none"/>
        </w:rPr>
        <w:t xml:space="preserve">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included Board composition, performance and refreshment, business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performance and corporate strategy, capital allocation, executive compensation, risk management, including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cybersecurity and artificial intelligence, and government affairs.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Each Spring, we reach out to our top 35 stockholders representing over 60% of our outstanding common stock to seek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support for our annual meeting proposals and request feedback regarding governance matters. This outreach effort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also provides us with the opportunity to gather our stockholders’ opinions concerning executive compensation matters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and to reaffirm our commitment to align pay and performance. Participants at these meetings typically include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members of the management team and in some cases the Chair or other members of our Board. Stockholder feedback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is then reported to the appropriate committee and/or the entire Board for consideration. During the Fall each year, we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again reach out to our top 35 stockholders to solicit additional feedback on matters critical to our stockholders’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evaluation of our governance profile. Participants in the Fall 2025</w:t>
      </w:r>
      <w:r>
        <w:rPr>
          <w:caps w:val="false"/>
          <w:smallCaps w:val="false"/>
          <w:strike w:val="false"/>
          <w:dstrike w:val="false"/>
          <w:color w:val="3F3F3F"/>
          <w:sz w:val="24"/>
          <w:u w:val="none"/>
          <w:effect w:val="none"/>
        </w:rPr>
        <w:t xml:space="preserve">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stockholder outreach program included members of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the management team, as well as the Chair of our Board. These conversations provided us with the opportunity to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share information concerning our company’s progress against its strategic goals.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It is our desire and intention to continue to engage with our stockholders throughout the year, and we invite you to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reach out to us with any comments or questions at any time. Please see our website at </w:t>
      </w:r>
      <w:r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  <w:t>www.exelixis.com</w:t>
      </w:r>
      <w:r>
        <w:rPr>
          <w:caps w:val="false"/>
          <w:smallCaps w:val="false"/>
          <w:strike w:val="false"/>
          <w:dstrike w:val="false"/>
          <w:color w:val="3F3F3F"/>
          <w:u w:val="none"/>
          <w:effect w:val="none"/>
        </w:rPr>
        <w:t xml:space="preserve">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under the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caption “Investors &amp; Media—Contact IR” for the appropriate contact information.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</w:pPr>
      <w:r>
        <w:rPr>
          <w:rFonts w:ascii="sans-serif" w:hAnsi="sans-serif"/>
          <w:b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  <w:t xml:space="preserve">Stockholder Advisory Vote on Executive Compensation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We provide our stockholders the opportunity to cast an annual Say on Pay vote with respect to our executive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compensation program, and our Compensation Committee takes the results of this vote into account when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determining NEO compensation. At our annual meeting of stockholders held in May 2025, approximately 97% of the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votes present and entitled to vote voted in favor of the Say on Pay proposal. Our Compensation Committee considered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these votes to be a continued endorsement of the Compensation Committee’s policies and practices and remains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committed to receiving ongoing stockholder feedback in connection with our pay-for-performance philosophy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and design.</w:t>
      </w:r>
    </w:p>
    <w:tbl>
      <w:tblPr>
        <w:tblW w:w="256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176"/>
        <w:gridCol w:w="391"/>
      </w:tblGrid>
      <w:tr>
        <w:trPr/>
        <w:tc>
          <w:tcPr>
            <w:tcW w:w="21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7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40404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404040"/>
                <w:sz w:val="18"/>
                <w:u w:val="none"/>
                <w:effect w:val="none"/>
              </w:rPr>
              <w:t>2026 Proxy Statement</w:t>
            </w:r>
          </w:p>
        </w:tc>
        <w:tc>
          <w:tcPr>
            <w:tcW w:w="39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  <w:t>69</w:t>
            </w:r>
          </w:p>
        </w:tc>
      </w:tr>
    </w:tbl>
    <w:tbl>
      <w:tblPr>
        <w:tblW w:w="954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696"/>
        <w:gridCol w:w="7846"/>
      </w:tblGrid>
      <w:tr>
        <w:trPr/>
        <w:tc>
          <w:tcPr>
            <w:tcW w:w="16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9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6d44722bfc2543dbbba9716d9e560c58_16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color w:val="0000FF"/>
                  <w:sz w:val="18"/>
                  <w:u w:val="single"/>
                </w:rPr>
                <w:t>Table of Contents</w:t>
              </w:r>
            </w:hyperlink>
          </w:p>
        </w:tc>
        <w:tc>
          <w:tcPr>
            <w:tcW w:w="784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 xml:space="preserve">How We Determine Executive Compensation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C4C02"/>
                <w:sz w:val="18"/>
                <w:u w:val="none"/>
                <w:effect w:val="none"/>
              </w:rPr>
              <w:t>|</w:t>
            </w: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 xml:space="preserve">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Compensation Discussion and Analysis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</w:pPr>
      <w:r>
        <w:rPr>
          <w:rFonts w:ascii="sans-serif" w:hAnsi="sans-serif"/>
          <w:b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  <w:t xml:space="preserve">Competitive Assessment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 key objective of our executive compensation program is to ensure that the overall compensation packages we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offer our executive officers remain competitive with the packages offered by companies with which we compete for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executive talent. Our Compensation Committee consults with its independent compensation consultant, Aon, to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develop a peer group of companies to serve as the basis for comparing our executive compensation program to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the market.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/>
          <w:i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/>
          <w:i/>
          <w:strike w:val="false"/>
          <w:dstrike w:val="false"/>
          <w:color w:val="3F3F3F"/>
          <w:sz w:val="20"/>
          <w:u w:val="none"/>
          <w:effect w:val="none"/>
        </w:rPr>
        <w:t xml:space="preserve">Peer Group Development Process and How We Used the Data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The Compensation Committee regularly reviews and adjusts the composition of the peer group to account for changes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in both our business and the businesses of the companies in the peer group. The Compensation Committee does not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have a specific target compensation level for the NEOs for their total compensation. Instead, we review our peer group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benchmarking data and data from within the general biotechnology market as a reference point to ensure our NEO and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executive officer roles are properly valued.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In developing the 2025</w:t>
      </w:r>
      <w:r>
        <w:rPr>
          <w:caps w:val="false"/>
          <w:smallCaps w:val="false"/>
          <w:strike w:val="false"/>
          <w:dstrike w:val="false"/>
          <w:color w:val="3F3F3F"/>
          <w:sz w:val="24"/>
          <w:u w:val="none"/>
          <w:effect w:val="none"/>
        </w:rPr>
        <w:t xml:space="preserve">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peer group, the Compensation Committee considered the continued evolution of our business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and meaningful developments in comparison to the 2024</w:t>
      </w:r>
      <w:r>
        <w:rPr>
          <w:caps w:val="false"/>
          <w:smallCaps w:val="false"/>
          <w:strike w:val="false"/>
          <w:dstrike w:val="false"/>
          <w:color w:val="3F3F3F"/>
          <w:sz w:val="24"/>
          <w:u w:val="none"/>
          <w:effect w:val="none"/>
        </w:rPr>
        <w:t xml:space="preserve">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peer group companies. It also considered what other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companies might make suitable additions to the 2025</w:t>
      </w:r>
      <w:r>
        <w:rPr>
          <w:caps w:val="false"/>
          <w:smallCaps w:val="false"/>
          <w:strike w:val="false"/>
          <w:dstrike w:val="false"/>
          <w:color w:val="3F3F3F"/>
          <w:sz w:val="24"/>
          <w:u w:val="none"/>
          <w:effect w:val="none"/>
        </w:rPr>
        <w:t xml:space="preserve">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list. The key qualitative and quantitative considerations that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influenced the development of the 2025</w:t>
      </w:r>
      <w:r>
        <w:rPr>
          <w:caps w:val="false"/>
          <w:smallCaps w:val="false"/>
          <w:strike w:val="false"/>
          <w:dstrike w:val="false"/>
          <w:color w:val="3F3F3F"/>
          <w:sz w:val="24"/>
          <w:u w:val="none"/>
          <w:effect w:val="none"/>
        </w:rPr>
        <w:t xml:space="preserve">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peer group were: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u w:val="none"/>
          <w:effect w:val="none"/>
        </w:rPr>
        <w:t>›</w:t>
      </w:r>
      <w:r>
        <w:rPr>
          <w:caps w:val="false"/>
          <w:smallCaps w:val="false"/>
          <w:strike w:val="false"/>
          <w:dstrike w:val="false"/>
          <w:color w:val="F47521"/>
          <w:u w:val="none"/>
          <w:effect w:val="none"/>
        </w:rPr>
        <w:t>›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industry, including biotechnology and pharmaceutical companies;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u w:val="none"/>
          <w:effect w:val="none"/>
        </w:rPr>
        <w:t>›</w:t>
      </w:r>
      <w:r>
        <w:rPr>
          <w:caps w:val="false"/>
          <w:smallCaps w:val="false"/>
          <w:strike w:val="false"/>
          <w:dstrike w:val="false"/>
          <w:color w:val="F47521"/>
          <w:u w:val="none"/>
          <w:effect w:val="none"/>
        </w:rPr>
        <w:t>›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therapeutic area, including companies with an oncology product focus;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u w:val="none"/>
          <w:effect w:val="none"/>
        </w:rPr>
        <w:t>›</w:t>
      </w:r>
      <w:r>
        <w:rPr>
          <w:caps w:val="false"/>
          <w:smallCaps w:val="false"/>
          <w:strike w:val="false"/>
          <w:dstrike w:val="false"/>
          <w:color w:val="F47521"/>
          <w:u w:val="none"/>
          <w:effect w:val="none"/>
        </w:rPr>
        <w:t>›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stage of business, with at least one marketed product;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u w:val="none"/>
          <w:effect w:val="none"/>
        </w:rPr>
        <w:t>›</w:t>
      </w:r>
      <w:r>
        <w:rPr>
          <w:caps w:val="false"/>
          <w:smallCaps w:val="false"/>
          <w:strike w:val="false"/>
          <w:dstrike w:val="false"/>
          <w:color w:val="F47521"/>
          <w:u w:val="none"/>
          <w:effect w:val="none"/>
        </w:rPr>
        <w:t>›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organizational complexity, as reflected by headcount between 0.34x—3.05x Exelixis’ then-current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headcount (approximately 450 employees—4,000 employees);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u w:val="none"/>
          <w:effect w:val="none"/>
        </w:rPr>
        <w:t>›</w:t>
      </w:r>
      <w:r>
        <w:rPr>
          <w:caps w:val="false"/>
          <w:smallCaps w:val="false"/>
          <w:strike w:val="false"/>
          <w:dstrike w:val="false"/>
          <w:color w:val="F47521"/>
          <w:u w:val="none"/>
          <w:effect w:val="none"/>
        </w:rPr>
        <w:t>›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whether the company is traded on a major U.S. exchange;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u w:val="none"/>
          <w:effect w:val="none"/>
        </w:rPr>
        <w:t>›</w:t>
      </w:r>
      <w:r>
        <w:rPr>
          <w:caps w:val="false"/>
          <w:smallCaps w:val="false"/>
          <w:strike w:val="false"/>
          <w:dstrike w:val="false"/>
          <w:color w:val="F47521"/>
          <w:u w:val="none"/>
          <w:effect w:val="none"/>
        </w:rPr>
        <w:t>›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market capitalization between 0.4x—3.1x of Exelixis’ then-current market capitalization (approximately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$2.5 billion—approximately $20.0 billion); and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u w:val="none"/>
          <w:effect w:val="none"/>
        </w:rPr>
        <w:t>›</w:t>
      </w:r>
      <w:r>
        <w:rPr>
          <w:caps w:val="false"/>
          <w:smallCaps w:val="false"/>
          <w:strike w:val="false"/>
          <w:dstrike w:val="false"/>
          <w:color w:val="F47521"/>
          <w:u w:val="none"/>
          <w:effect w:val="none"/>
        </w:rPr>
        <w:t>›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revenues between 0.5x—2.5x of Exelixis’ then-current revenues (approximately $900 million—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approximately $4.7 billion).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Following this analysis, the Compensation Committee, in consultation with management and Aon, identified the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following 17 publicly-traded, U.S.-based biotechnology/pharmaceutical companies as our peer group (our Peers) to be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used in reviewing compensation for 2025:</w:t>
      </w:r>
    </w:p>
    <w:tbl>
      <w:tblPr>
        <w:tblW w:w="9243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076"/>
        <w:gridCol w:w="2851"/>
        <w:gridCol w:w="3316"/>
      </w:tblGrid>
      <w:tr>
        <w:trPr/>
        <w:tc>
          <w:tcPr>
            <w:tcW w:w="30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243" w:type="dxa"/>
            <w:gridSpan w:val="3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sz w:val="24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Our Fiscal 2025</w:t>
            </w:r>
            <w:r>
              <w:rPr>
                <w:caps w:val="false"/>
                <w:smallCaps w:val="false"/>
                <w:strike w:val="false"/>
                <w:dstrike w:val="false"/>
                <w:color w:val="FFFFFF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Peers (1)</w:t>
            </w:r>
          </w:p>
        </w:tc>
      </w:tr>
      <w:tr>
        <w:trPr/>
        <w:tc>
          <w:tcPr>
            <w:tcW w:w="3076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ACADIA Pharmaceuticals Inc.</w:t>
            </w:r>
          </w:p>
        </w:tc>
        <w:tc>
          <w:tcPr>
            <w:tcW w:w="2851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Halozyme Therapeutics</w:t>
            </w:r>
          </w:p>
        </w:tc>
        <w:tc>
          <w:tcPr>
            <w:tcW w:w="3316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NovoCure Limited</w:t>
            </w:r>
          </w:p>
        </w:tc>
      </w:tr>
      <w:tr>
        <w:trPr/>
        <w:tc>
          <w:tcPr>
            <w:tcW w:w="307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Alkermes plc</w:t>
            </w:r>
          </w:p>
        </w:tc>
        <w:tc>
          <w:tcPr>
            <w:tcW w:w="285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Incyte Corporation</w:t>
            </w:r>
          </w:p>
        </w:tc>
        <w:tc>
          <w:tcPr>
            <w:tcW w:w="331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PTC Therapeutics, Inc.</w:t>
            </w:r>
          </w:p>
        </w:tc>
      </w:tr>
      <w:tr>
        <w:trPr/>
        <w:tc>
          <w:tcPr>
            <w:tcW w:w="307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Alnylam Pharmaceuticals, Inc.</w:t>
            </w:r>
          </w:p>
        </w:tc>
        <w:tc>
          <w:tcPr>
            <w:tcW w:w="285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Ionis Pharmaceuticals, Inc.</w:t>
            </w:r>
          </w:p>
        </w:tc>
        <w:tc>
          <w:tcPr>
            <w:tcW w:w="331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Sarepta Therapeutics, Inc.</w:t>
            </w:r>
          </w:p>
        </w:tc>
      </w:tr>
      <w:tr>
        <w:trPr/>
        <w:tc>
          <w:tcPr>
            <w:tcW w:w="307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BeiGene, Ltd.</w:t>
            </w:r>
          </w:p>
        </w:tc>
        <w:tc>
          <w:tcPr>
            <w:tcW w:w="285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Jazz Pharmaceuticals plc</w:t>
            </w:r>
          </w:p>
        </w:tc>
        <w:tc>
          <w:tcPr>
            <w:tcW w:w="331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Ultragenyx Pharmaceutical Inc.</w:t>
            </w:r>
          </w:p>
        </w:tc>
      </w:tr>
      <w:tr>
        <w:trPr/>
        <w:tc>
          <w:tcPr>
            <w:tcW w:w="307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BioMarin Pharmaceutical Inc.</w:t>
            </w:r>
          </w:p>
        </w:tc>
        <w:tc>
          <w:tcPr>
            <w:tcW w:w="285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Natera, Inc.</w:t>
            </w:r>
          </w:p>
        </w:tc>
        <w:tc>
          <w:tcPr>
            <w:tcW w:w="331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United Therapeutics Corporation</w:t>
            </w:r>
          </w:p>
        </w:tc>
      </w:tr>
      <w:tr>
        <w:trPr/>
        <w:tc>
          <w:tcPr>
            <w:tcW w:w="3076" w:type="dxa"/>
            <w:tcBorders>
              <w:top w:val="single" w:sz="4" w:space="0" w:color="B6B6B6"/>
              <w:bottom w:val="single" w:sz="8" w:space="0" w:color="F47521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Exact Sciences Corporation </w:t>
            </w:r>
          </w:p>
        </w:tc>
        <w:tc>
          <w:tcPr>
            <w:tcW w:w="2851" w:type="dxa"/>
            <w:tcBorders>
              <w:top w:val="single" w:sz="4" w:space="0" w:color="B6B6B6"/>
              <w:bottom w:val="single" w:sz="8" w:space="0" w:color="F47521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Neurocrine Biosciences, Inc.</w:t>
            </w:r>
          </w:p>
        </w:tc>
        <w:tc>
          <w:tcPr>
            <w:tcW w:w="3316" w:type="dxa"/>
            <w:tcBorders>
              <w:top w:val="single" w:sz="4" w:space="0" w:color="B6B6B6"/>
              <w:bottom w:val="single" w:sz="8" w:space="0" w:color="F47521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(1)  Per our selection criteria, in 2025, we added Halozyme Therapeutics and removed Seagen Inc. and Horizon Therapeutics plc,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>from our Peers after each was acquired.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Exelixis’ positioning relative to its 2025</w:t>
      </w:r>
      <w:r>
        <w:rPr>
          <w:caps w:val="false"/>
          <w:smallCaps w:val="false"/>
          <w:strike w:val="false"/>
          <w:dstrike w:val="false"/>
          <w:color w:val="3F3F3F"/>
          <w:sz w:val="24"/>
          <w:u w:val="none"/>
          <w:effect w:val="none"/>
        </w:rPr>
        <w:t xml:space="preserve">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Peers (as of July 2024) was the 54th percentile for revenues and the 35th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percentile for market capitalization.</w:t>
      </w:r>
    </w:p>
    <w:tbl>
      <w:tblPr>
        <w:tblW w:w="174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61"/>
        <w:gridCol w:w="1381"/>
      </w:tblGrid>
      <w:tr>
        <w:trPr/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  <w:t>70</w:t>
            </w:r>
          </w:p>
        </w:tc>
        <w:tc>
          <w:tcPr>
            <w:tcW w:w="138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Exelixis, Inc.</w:t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/>
      </w:pPr>
      <w:hyperlink w:anchor="i6d44722bfc2543dbbba9716d9e560c58_16">
        <w:r>
          <w:rPr>
            <w:rStyle w:val="InternetLink"/>
            <w:rFonts w:ascii="sans-serif" w:hAnsi="sans-serif"/>
            <w:b w:val="false"/>
            <w:i w:val="false"/>
            <w:caps w:val="false"/>
            <w:smallCaps w:val="false"/>
            <w:color w:val="0000FF"/>
            <w:sz w:val="18"/>
            <w:u w:val="single"/>
          </w:rPr>
          <w:t>Table of Contents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F47521"/>
          <w:sz w:val="2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F47521"/>
          <w:sz w:val="28"/>
          <w:u w:val="none"/>
          <w:effect w:val="none"/>
        </w:rPr>
        <w:t>Compensation Elements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Our executive compensation program generally consists of three principal components: base salary; annual cash bonus;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and long-term incentive compensation. </w:t>
      </w: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696"/>
        <w:gridCol w:w="1772"/>
        <w:gridCol w:w="3209"/>
        <w:gridCol w:w="3528"/>
      </w:tblGrid>
      <w:tr>
        <w:trPr/>
        <w:tc>
          <w:tcPr>
            <w:tcW w:w="16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7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2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96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Element</w:t>
            </w:r>
          </w:p>
        </w:tc>
        <w:tc>
          <w:tcPr>
            <w:tcW w:w="1772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09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Description</w:t>
            </w:r>
          </w:p>
        </w:tc>
        <w:tc>
          <w:tcPr>
            <w:tcW w:w="3528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Objective(s)</w:t>
            </w:r>
          </w:p>
        </w:tc>
      </w:tr>
      <w:tr>
        <w:trPr/>
        <w:tc>
          <w:tcPr>
            <w:tcW w:w="3468" w:type="dxa"/>
            <w:gridSpan w:val="2"/>
            <w:tcBorders>
              <w:bottom w:val="single" w:sz="4" w:space="0" w:color="B6B6B6"/>
              <w:right w:val="single" w:sz="4" w:space="0" w:color="B6B6B6"/>
            </w:tcBorders>
            <w:shd w:fill="E5E5E5" w:val="clear"/>
            <w:tcMar>
              <w:top w:w="0" w:type="dxa"/>
              <w:lef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Annual Base Salary</w:t>
            </w:r>
          </w:p>
        </w:tc>
        <w:tc>
          <w:tcPr>
            <w:tcW w:w="3209" w:type="dxa"/>
            <w:tcBorders>
              <w:left w:val="single" w:sz="4" w:space="0" w:color="B6B6B6"/>
              <w:bottom w:val="single" w:sz="4" w:space="0" w:color="B6B6B6"/>
              <w:right w:val="single" w:sz="4" w:space="0" w:color="B6B6B6"/>
            </w:tcBorders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Annual fixed cash compensation</w:t>
            </w:r>
          </w:p>
        </w:tc>
        <w:tc>
          <w:tcPr>
            <w:tcW w:w="3528" w:type="dxa"/>
            <w:tcBorders>
              <w:left w:val="single" w:sz="4" w:space="0" w:color="B6B6B6"/>
              <w:bottom w:val="single" w:sz="4" w:space="0" w:color="B6B6B6"/>
            </w:tcBorders>
            <w:tcMar>
              <w:top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Provide a predictable level of income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that is competitive with our Peers</w:t>
            </w:r>
          </w:p>
        </w:tc>
      </w:tr>
      <w:tr>
        <w:trPr/>
        <w:tc>
          <w:tcPr>
            <w:tcW w:w="3468" w:type="dxa"/>
            <w:gridSpan w:val="2"/>
            <w:tcBorders>
              <w:top w:val="single" w:sz="4" w:space="0" w:color="B6B6B6"/>
              <w:bottom w:val="single" w:sz="4" w:space="0" w:color="B6B6B6"/>
              <w:right w:val="single" w:sz="4" w:space="0" w:color="B6B6B6"/>
            </w:tcBorders>
            <w:shd w:fill="E5E5E5" w:val="clear"/>
            <w:tcMar>
              <w:lef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Annual Cash Bonus</w:t>
            </w:r>
          </w:p>
        </w:tc>
        <w:tc>
          <w:tcPr>
            <w:tcW w:w="3209" w:type="dxa"/>
            <w:tcBorders>
              <w:top w:val="single" w:sz="4" w:space="0" w:color="B6B6B6"/>
              <w:left w:val="single" w:sz="4" w:space="0" w:color="B6B6B6"/>
              <w:bottom w:val="single" w:sz="4" w:space="0" w:color="B6B6B6"/>
              <w:right w:val="single" w:sz="4" w:space="0" w:color="B6B6B6"/>
            </w:tcBorders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Variable cash compensation based on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corporate performance, including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achievement against pre-determined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corporate goals and the individual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contributions of each NEO toward the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achievement of such corporate goals</w:t>
            </w:r>
          </w:p>
        </w:tc>
        <w:tc>
          <w:tcPr>
            <w:tcW w:w="3528" w:type="dxa"/>
            <w:tcBorders>
              <w:top w:val="single" w:sz="4" w:space="0" w:color="B6B6B6"/>
              <w:left w:val="single" w:sz="4" w:space="0" w:color="B6B6B6"/>
              <w:bottom w:val="single" w:sz="4" w:space="0" w:color="B6B6B6"/>
            </w:tcBorders>
            <w:tcMar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Align our executive compensation with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our annual corporate goals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Motivate and reward achievement of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corporate goals and overall company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performance, including through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individual contributions</w:t>
            </w:r>
          </w:p>
        </w:tc>
      </w:tr>
      <w:tr>
        <w:trPr/>
        <w:tc>
          <w:tcPr>
            <w:tcW w:w="1696" w:type="dxa"/>
            <w:tcBorders>
              <w:top w:val="single" w:sz="4" w:space="0" w:color="B6B6B6"/>
              <w:bottom w:val="single" w:sz="4" w:space="0" w:color="B6B6B6"/>
              <w:right w:val="single" w:sz="4" w:space="0" w:color="B6B6B6"/>
            </w:tcBorders>
            <w:shd w:fill="E5E5E5" w:val="clear"/>
            <w:tcMar>
              <w:lef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Long-Term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Incentive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Compensation</w:t>
            </w:r>
          </w:p>
        </w:tc>
        <w:tc>
          <w:tcPr>
            <w:tcW w:w="1772" w:type="dxa"/>
            <w:tcBorders>
              <w:top w:val="single" w:sz="4" w:space="0" w:color="B6B6B6"/>
              <w:left w:val="single" w:sz="4" w:space="0" w:color="B6B6B6"/>
              <w:bottom w:val="single" w:sz="4" w:space="0" w:color="B6B6B6"/>
              <w:right w:val="single" w:sz="4" w:space="0" w:color="B6B6B6"/>
            </w:tcBorders>
            <w:shd w:fill="F2F2F2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RSUs (or PSUs,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if performance-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based)</w:t>
            </w:r>
          </w:p>
        </w:tc>
        <w:tc>
          <w:tcPr>
            <w:tcW w:w="3209" w:type="dxa"/>
            <w:tcBorders>
              <w:top w:val="single" w:sz="4" w:space="0" w:color="B6B6B6"/>
              <w:left w:val="single" w:sz="4" w:space="0" w:color="B6B6B6"/>
              <w:bottom w:val="single" w:sz="4" w:space="0" w:color="B6B6B6"/>
              <w:right w:val="single" w:sz="4" w:space="0" w:color="B6B6B6"/>
            </w:tcBorders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Variable share-based compensation,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subject to either time-based yearly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vesting over four years, performance-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based vesting based on the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achievement of key corporate goals,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or in the case of the One-Time PSU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Awards, both performance and time-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based vesting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PSUs generally have a three-year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performance period, with 50% of the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earned PSUs vesting upon the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Compensation Committee’s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certification of achieved performance,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and the remaining 50% vesting on the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first quarterly vesting date following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the one-year anniversary of the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Compensation Committee’s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certification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The One</w:t>
              <w:noBreakHyphen/>
              <w:t xml:space="preserve">Time PSU Awards, granted in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March 2025 under the Special Equity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Award Program, have a five-year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performance period, during which, the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holder may earn the target number of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shares subject to such award,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contingent upon the satisfaction of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both a stock price appreciation market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condition and continued service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throughout the five-year performance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period </w:t>
            </w:r>
          </w:p>
        </w:tc>
        <w:tc>
          <w:tcPr>
            <w:tcW w:w="3528" w:type="dxa"/>
            <w:tcBorders>
              <w:top w:val="single" w:sz="4" w:space="0" w:color="B6B6B6"/>
              <w:left w:val="single" w:sz="4" w:space="0" w:color="B6B6B6"/>
              <w:bottom w:val="single" w:sz="4" w:space="0" w:color="B6B6B6"/>
            </w:tcBorders>
            <w:tcMar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Align the interests of our executives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with those of our stockholders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Motivate our executives to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achieve long-term corporate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performance objectives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Promote retention, including during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periods of stock price volatility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common to biotechnology companies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Reinforce long-term alignment with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stockholders through a rigorous,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absolute stock-price performance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hurdle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Provide meaningful retention value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over a multi-year period of strategic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execution</w:t>
            </w:r>
          </w:p>
        </w:tc>
      </w:tr>
    </w:tbl>
    <w:tbl>
      <w:tblPr>
        <w:tblW w:w="256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176"/>
        <w:gridCol w:w="391"/>
      </w:tblGrid>
      <w:tr>
        <w:trPr/>
        <w:tc>
          <w:tcPr>
            <w:tcW w:w="21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7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40404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404040"/>
                <w:sz w:val="18"/>
                <w:u w:val="none"/>
                <w:effect w:val="none"/>
              </w:rPr>
              <w:t>2026 Proxy Statement</w:t>
            </w:r>
          </w:p>
        </w:tc>
        <w:tc>
          <w:tcPr>
            <w:tcW w:w="39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  <w:t>71</w:t>
            </w:r>
          </w:p>
        </w:tc>
      </w:tr>
    </w:tbl>
    <w:tbl>
      <w:tblPr>
        <w:tblW w:w="769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696"/>
        <w:gridCol w:w="6001"/>
      </w:tblGrid>
      <w:tr>
        <w:trPr/>
        <w:tc>
          <w:tcPr>
            <w:tcW w:w="16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9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6d44722bfc2543dbbba9716d9e560c58_16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color w:val="0000FF"/>
                  <w:sz w:val="18"/>
                  <w:u w:val="single"/>
                </w:rPr>
                <w:t>Table of Contents</w:t>
              </w:r>
            </w:hyperlink>
          </w:p>
        </w:tc>
        <w:tc>
          <w:tcPr>
            <w:tcW w:w="600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Compensation Elements</w:t>
            </w:r>
            <w:r>
              <w:rPr>
                <w:caps w:val="false"/>
                <w:smallCaps w:val="false"/>
                <w:strike w:val="false"/>
                <w:dstrike w:val="false"/>
                <w:color w:val="F47521"/>
                <w:u w:val="none"/>
                <w:effect w:val="none"/>
              </w:rPr>
              <w:t xml:space="preserve">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  <w:t>|</w:t>
            </w: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 xml:space="preserve">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Compensation Discussion and Analysis</w:t>
            </w:r>
          </w:p>
        </w:tc>
      </w:tr>
    </w:tbl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696"/>
        <w:gridCol w:w="1526"/>
        <w:gridCol w:w="3416"/>
        <w:gridCol w:w="3567"/>
      </w:tblGrid>
      <w:tr>
        <w:trPr/>
        <w:tc>
          <w:tcPr>
            <w:tcW w:w="16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6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96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Element</w:t>
            </w:r>
          </w:p>
        </w:tc>
        <w:tc>
          <w:tcPr>
            <w:tcW w:w="1526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16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Description</w:t>
            </w:r>
          </w:p>
        </w:tc>
        <w:tc>
          <w:tcPr>
            <w:tcW w:w="3567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Objective(s)</w:t>
            </w:r>
          </w:p>
        </w:tc>
      </w:tr>
      <w:tr>
        <w:trPr/>
        <w:tc>
          <w:tcPr>
            <w:tcW w:w="1696" w:type="dxa"/>
            <w:tcBorders>
              <w:top w:val="single" w:sz="4" w:space="0" w:color="B6B6B6"/>
              <w:bottom w:val="single" w:sz="8" w:space="0" w:color="F47521"/>
              <w:right w:val="single" w:sz="4" w:space="0" w:color="B6B6B6"/>
            </w:tcBorders>
            <w:shd w:fill="E5E5E5" w:val="clear"/>
            <w:tcMar>
              <w:lef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Long-Term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Incentive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Compensation</w:t>
            </w:r>
          </w:p>
        </w:tc>
        <w:tc>
          <w:tcPr>
            <w:tcW w:w="1526" w:type="dxa"/>
            <w:tcBorders>
              <w:top w:val="single" w:sz="4" w:space="0" w:color="B6B6B6"/>
              <w:left w:val="single" w:sz="4" w:space="0" w:color="B6B6B6"/>
              <w:bottom w:val="single" w:sz="8" w:space="0" w:color="F47521"/>
              <w:right w:val="single" w:sz="4" w:space="0" w:color="B6B6B6"/>
            </w:tcBorders>
            <w:shd w:fill="F2F2F2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Stock Options</w:t>
            </w:r>
          </w:p>
        </w:tc>
        <w:tc>
          <w:tcPr>
            <w:tcW w:w="3416" w:type="dxa"/>
            <w:tcBorders>
              <w:top w:val="single" w:sz="4" w:space="0" w:color="B6B6B6"/>
              <w:left w:val="single" w:sz="4" w:space="0" w:color="B6B6B6"/>
              <w:bottom w:val="single" w:sz="8" w:space="0" w:color="F47521"/>
              <w:right w:val="single" w:sz="4" w:space="0" w:color="B6B6B6"/>
            </w:tcBorders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Variable share-based compensation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with value derived from appreciation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in our company’s stock price</w:t>
            </w:r>
          </w:p>
        </w:tc>
        <w:tc>
          <w:tcPr>
            <w:tcW w:w="3567" w:type="dxa"/>
            <w:tcBorders>
              <w:top w:val="single" w:sz="4" w:space="0" w:color="B6B6B6"/>
              <w:left w:val="single" w:sz="4" w:space="0" w:color="B6B6B6"/>
              <w:bottom w:val="single" w:sz="8" w:space="0" w:color="F47521"/>
            </w:tcBorders>
            <w:tcMar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Align the interests of our executives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with those of our stockholders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Motivate our executives to achieve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critical business objectives as stock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options only have value if the value of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our company as reflected by our stock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price increases over time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We did not grant Stock Options to our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employees in 2025, but our CEO had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outstanding Stock Options as of the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end of the 2025 fiscal year. See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“</w:t>
            </w:r>
            <w:r>
              <w:rPr>
                <w:rFonts w:ascii="sans-serif" w:hAnsi="sans-serif"/>
                <w:b w:val="false"/>
                <w:i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Outstanding Equity Awards at Fiscal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rFonts w:ascii="sans-serif" w:hAnsi="sans-serif"/>
                <w:b w:val="false"/>
                <w:i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Year End</w:t>
            </w: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 xml:space="preserve">”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table below</w:t>
            </w:r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sans-serif" w:hAnsi="sans-serif"/>
          <w:b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  <w:t>Other Compensation and Benefits</w:t>
      </w:r>
      <w:bookmarkStart w:id="77" w:name="i0acb34db314644dbb8e2dd0d97576ef1_1125"/>
      <w:bookmarkEnd w:id="77"/>
      <w:r>
        <w:rPr>
          <w:caps w:val="false"/>
          <w:smallCaps w:val="false"/>
          <w:strike w:val="false"/>
          <w:dstrike w:val="false"/>
          <w:color w:val="494949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All of our employees, including our NEOs, are eligible to participate in our 401(k) Plan, our ESPP and other benefit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programs on the same basis as other employees. These programs are intended to provide tax-beneficial ways to save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toward retirement, promote health and wellness and encourage stock ownership. Our NEOs are also eligible to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participate in our Change in Control and Severance Benefit Plan (CIC Plan), a compensation program that incentivizes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our executive officers to remain with our company, and objectively evaluates and facilitates an acquisition of our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company should consideration of such a transaction be determined appropriate by the Board and in the best interests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of our stockholders. The Compensation Committee believes that, considered together, these benefits are critical for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motivating and retaining our executive leaders and are consistent with compensation arrangements provided in the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competitive market for executive talent. </w:t>
      </w: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199"/>
        <w:gridCol w:w="8006"/>
      </w:tblGrid>
      <w:tr>
        <w:trPr/>
        <w:tc>
          <w:tcPr>
            <w:tcW w:w="219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99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  <w:t>Element</w:t>
            </w:r>
          </w:p>
        </w:tc>
        <w:tc>
          <w:tcPr>
            <w:tcW w:w="8006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  <w:t>Description</w:t>
            </w:r>
          </w:p>
        </w:tc>
      </w:tr>
      <w:tr>
        <w:trPr/>
        <w:tc>
          <w:tcPr>
            <w:tcW w:w="2199" w:type="dxa"/>
            <w:tcBorders/>
            <w:shd w:fill="E5E5E5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401(k) Plan</w:t>
            </w:r>
          </w:p>
        </w:tc>
        <w:tc>
          <w:tcPr>
            <w:tcW w:w="800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All employees, including NEOs, may contribute their own funds, as salary deductions, on a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pre-tax or after-tax basis, to our 401(k) plan (401(k) Plan) subject to plan and government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limits. For 2025, we matched pre-tax and Roth 401(k) contributions dollar-for-dollar up to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$11,000.</w:t>
            </w:r>
          </w:p>
        </w:tc>
      </w:tr>
      <w:tr>
        <w:trPr/>
        <w:tc>
          <w:tcPr>
            <w:tcW w:w="2199" w:type="dxa"/>
            <w:tcBorders>
              <w:bottom w:val="single" w:sz="4" w:space="0" w:color="B6B6B6"/>
            </w:tcBorders>
            <w:shd w:fill="E5E5E5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06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99" w:type="dxa"/>
            <w:tcBorders>
              <w:top w:val="single" w:sz="4" w:space="0" w:color="B6B6B6"/>
            </w:tcBorders>
            <w:shd w:fill="E5E5E5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06" w:type="dxa"/>
            <w:tcBorders>
              <w:top w:val="single" w:sz="4" w:space="0" w:color="B6B6B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99" w:type="dxa"/>
            <w:tcBorders/>
            <w:shd w:fill="E5E5E5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Employee Stock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Purchase Plan</w:t>
            </w:r>
          </w:p>
        </w:tc>
        <w:tc>
          <w:tcPr>
            <w:tcW w:w="800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Our Employee Stock Purchase Plan (ESPP) allows all employees, including NEOs, to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purchase shares of our common stock at a price equal to the lower of 85% of the closing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price on the first day of the six-month offering period or 85% of the closing price on the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final day of such offering period, subject to specified limits. </w:t>
            </w:r>
          </w:p>
        </w:tc>
      </w:tr>
      <w:tr>
        <w:trPr/>
        <w:tc>
          <w:tcPr>
            <w:tcW w:w="2199" w:type="dxa"/>
            <w:tcBorders>
              <w:bottom w:val="single" w:sz="4" w:space="0" w:color="B6B6B6"/>
            </w:tcBorders>
            <w:shd w:fill="E5E5E5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06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99" w:type="dxa"/>
            <w:tcBorders>
              <w:top w:val="single" w:sz="4" w:space="0" w:color="B6B6B6"/>
            </w:tcBorders>
            <w:shd w:fill="E5E5E5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06" w:type="dxa"/>
            <w:tcBorders>
              <w:top w:val="single" w:sz="4" w:space="0" w:color="B6B6B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99" w:type="dxa"/>
            <w:tcBorders/>
            <w:shd w:fill="E5E5E5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Health Care, Dental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and Vision Benefits</w:t>
            </w:r>
          </w:p>
        </w:tc>
        <w:tc>
          <w:tcPr>
            <w:tcW w:w="800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Subject to applicable laws, these health and welfare benefits are available to all eligible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employees, including NEOs.</w:t>
            </w:r>
          </w:p>
        </w:tc>
      </w:tr>
      <w:tr>
        <w:trPr/>
        <w:tc>
          <w:tcPr>
            <w:tcW w:w="2199" w:type="dxa"/>
            <w:tcBorders>
              <w:bottom w:val="single" w:sz="4" w:space="0" w:color="B6B6B6"/>
            </w:tcBorders>
            <w:shd w:fill="E5E5E5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06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99" w:type="dxa"/>
            <w:tcBorders>
              <w:top w:val="single" w:sz="4" w:space="0" w:color="B6B6B6"/>
            </w:tcBorders>
            <w:shd w:fill="E5E5E5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06" w:type="dxa"/>
            <w:tcBorders>
              <w:top w:val="single" w:sz="4" w:space="0" w:color="B6B6B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99" w:type="dxa"/>
            <w:tcBorders>
              <w:bottom w:val="single" w:sz="8" w:space="0" w:color="F4914C"/>
            </w:tcBorders>
            <w:shd w:fill="E5E5E5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CIC Plan (1)</w:t>
            </w:r>
          </w:p>
        </w:tc>
        <w:tc>
          <w:tcPr>
            <w:tcW w:w="8006" w:type="dxa"/>
            <w:tcBorders>
              <w:bottom w:val="single" w:sz="8" w:space="0" w:color="F47521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Participants receive certain plan benefits only if terminated without cause or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constructively terminated, whether or not in connection with a change-in-control event.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In the context of a change in control, our plan requires a “double-trigger” – participants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are protected in the event of a termination without cause or constructive termination in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connection with a change-in-control event, but they are encouraged to stay throughout a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transition period in the event of a change in control, and the CIC Plan does not provide for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benefits for a participant who remains with the surviving company in a comparable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position.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To serve our best interests, the plan requires a release of claims against us as a condition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to receiving any severance benefits.</w:t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/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>(1)  Our CIC Plan is described in additional detail under the heading “</w:t>
      </w:r>
      <w:hyperlink w:anchor="i6d44722bfc2543dbbba9716d9e560c58_202">
        <w:r>
          <w:rPr>
            <w:rStyle w:val="InternetLink"/>
            <w:rFonts w:ascii="sans-serif" w:hAnsi="sans-serif"/>
            <w:b w:val="false"/>
            <w:i w:val="false"/>
            <w:caps w:val="false"/>
            <w:smallCaps w:val="false"/>
            <w:color w:val="0000FF"/>
            <w:sz w:val="18"/>
            <w:u w:val="single"/>
          </w:rPr>
          <w:t>Potential Payments Upon Termination or Change in Control</w:t>
        </w:r>
      </w:hyperlink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>.”</w:t>
      </w:r>
    </w:p>
    <w:tbl>
      <w:tblPr>
        <w:tblW w:w="174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61"/>
        <w:gridCol w:w="1381"/>
      </w:tblGrid>
      <w:tr>
        <w:trPr/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  <w:t>72</w:t>
            </w:r>
          </w:p>
        </w:tc>
        <w:tc>
          <w:tcPr>
            <w:tcW w:w="138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Exelixis, Inc.</w:t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/>
      </w:pPr>
      <w:hyperlink w:anchor="i6d44722bfc2543dbbba9716d9e560c58_16">
        <w:r>
          <w:rPr>
            <w:rStyle w:val="InternetLink"/>
            <w:rFonts w:ascii="sans-serif" w:hAnsi="sans-serif"/>
            <w:b w:val="false"/>
            <w:i w:val="false"/>
            <w:caps w:val="false"/>
            <w:smallCaps w:val="false"/>
            <w:color w:val="0000FF"/>
            <w:sz w:val="18"/>
            <w:u w:val="single"/>
          </w:rPr>
          <w:t>Table of Contents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F47521"/>
          <w:sz w:val="2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F47521"/>
          <w:sz w:val="28"/>
          <w:u w:val="none"/>
          <w:effect w:val="none"/>
        </w:rPr>
        <w:t>Compensation Mix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Our Compensation Committee does not rely on a fixed formula for all compensation decisions; rather, it applies a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consistent framework and defined inputs to align compensation outcomes with company performance, long-term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strategic objectives, and stockholder interests. These inputs include performance relative to pre-established goals,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individual contributions, relevant market data (including our peer group comparisons), internal pay relationships, and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stockholder feedback. To that end, a significant portion of our NEOs’ compensation is always “at risk” because it is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variable, performance-based and in large part dependent on the success of our company. At-risk compensation for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2025</w:t>
      </w:r>
      <w:r>
        <w:rPr>
          <w:caps w:val="false"/>
          <w:smallCaps w:val="false"/>
          <w:strike w:val="false"/>
          <w:dstrike w:val="false"/>
          <w:color w:val="3F3F3F"/>
          <w:sz w:val="24"/>
          <w:u w:val="none"/>
          <w:effect w:val="none"/>
        </w:rPr>
        <w:t xml:space="preserve">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included PSUs, RSUs, and annual incentive cash bonuses. The following charts highlight the 2025</w:t>
      </w:r>
      <w:r>
        <w:rPr>
          <w:caps w:val="false"/>
          <w:smallCaps w:val="false"/>
          <w:strike w:val="false"/>
          <w:dstrike w:val="false"/>
          <w:color w:val="3F3F3F"/>
          <w:sz w:val="24"/>
          <w:u w:val="none"/>
          <w:effect w:val="none"/>
        </w:rPr>
        <w:t xml:space="preserve">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pay mix for our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Chief Executive Officer and our other NEOs as of the end of fiscal 2025 (Mr. Senner, Dr. Aftab, Mr. Haley and Dr. Hefti)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as a group.</w:t>
      </w: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012"/>
        <w:gridCol w:w="109"/>
        <w:gridCol w:w="5084"/>
      </w:tblGrid>
      <w:tr>
        <w:trPr/>
        <w:tc>
          <w:tcPr>
            <w:tcW w:w="501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08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012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Chief Executive Officer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084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All Other NEOs</w:t>
            </w:r>
          </w:p>
        </w:tc>
      </w:tr>
      <w:tr>
        <w:trPr/>
        <w:tc>
          <w:tcPr>
            <w:tcW w:w="5012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Pay Mix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084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Pay Mix</w:t>
            </w:r>
          </w:p>
        </w:tc>
      </w:tr>
      <w:tr>
        <w:trPr/>
        <w:tc>
          <w:tcPr>
            <w:tcW w:w="5012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sz w:val="24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96% of CEO 2025</w:t>
            </w:r>
            <w:r>
              <w:rPr>
                <w:caps w:val="false"/>
                <w:smallCaps w:val="false"/>
                <w:strike w:val="false"/>
                <w:dstrike w:val="false"/>
                <w:color w:val="3F3F3F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Compensation is Considered Variable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and At-Risk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084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sz w:val="24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92% of All Other NEOs (as a group) 2025</w:t>
            </w:r>
            <w:r>
              <w:rPr>
                <w:caps w:val="false"/>
                <w:smallCaps w:val="false"/>
                <w:strike w:val="false"/>
                <w:dstrike w:val="false"/>
                <w:color w:val="3F3F3F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Compensation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is Considered Variable and At-Risk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caps w:val="false"/>
          <w:smallCaps w:val="false"/>
          <w:strike w:val="false"/>
          <w:dstrike w:val="false"/>
          <w:color w:val="3F3F3F"/>
          <w:u w:val="none"/>
          <w:effect w:val="none"/>
        </w:rPr>
      </w:pPr>
      <w:r>
        <w:rPr>
          <w:caps w:val="false"/>
          <w:smallCaps w:val="false"/>
          <w:strike w:val="false"/>
          <w:dstrike w:val="false"/>
          <w:color w:val="3F3F3F"/>
          <w:u w:val="none"/>
          <w:effect w:val="none"/>
        </w:rPr>
        <w:t xml:space="preserve">               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/>
        <w:drawing>
          <wp:inline distT="0" distB="0" distL="0" distR="0">
            <wp:extent cx="2743200" cy="2743200"/>
            <wp:effectExtent l="0" t="0" r="0" b="0"/>
            <wp:docPr id="73" name="Image7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" name="Image73" descr=""/>
                    <pic:cNvPicPr>
                      <a:picLocks noChangeAspect="1" noChangeArrowheads="1"/>
                    </pic:cNvPicPr>
                  </pic:nvPicPr>
                  <pic:blipFill>
                    <a:blip r:embed="rId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78" w:name="i-73"/>
      <w:bookmarkEnd w:id="78"/>
    </w:p>
    <w:p>
      <w:pPr>
        <w:pStyle w:val="TextBody"/>
        <w:bidi w:val="0"/>
        <w:spacing w:lineRule="atLeast" w:line="200" w:before="0" w:after="0"/>
        <w:jc w:val="left"/>
        <w:rPr/>
      </w:pPr>
      <w:r>
        <w:rPr/>
        <w:drawing>
          <wp:inline distT="0" distB="0" distL="0" distR="0">
            <wp:extent cx="2743200" cy="2743200"/>
            <wp:effectExtent l="0" t="0" r="0" b="0"/>
            <wp:docPr id="74" name="Image7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Image74" descr=""/>
                    <pic:cNvPicPr>
                      <a:picLocks noChangeAspect="1" noChangeArrowheads="1"/>
                    </pic:cNvPicPr>
                  </pic:nvPicPr>
                  <pic:blipFill>
                    <a:blip r:embed="rId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79" w:name="i-74"/>
      <w:bookmarkEnd w:id="79"/>
    </w:p>
    <w:p>
      <w:pPr>
        <w:pStyle w:val="TextBody"/>
        <w:bidi w:val="0"/>
        <w:spacing w:before="0" w:after="0"/>
        <w:jc w:val="left"/>
        <w:rPr>
          <w:shd w:fill="auto" w:val="clear"/>
        </w:rPr>
      </w:pPr>
      <w:r>
        <w:rPr>
          <w:shd w:fill="auto" w:val="clear"/>
        </w:rPr>
        <w:drawing>
          <wp:inline distT="0" distB="0" distL="0" distR="0">
            <wp:extent cx="3017520" cy="2743200"/>
            <wp:effectExtent l="0" t="0" r="0" b="0"/>
            <wp:docPr id="75" name="Image7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" name="Image75" descr=""/>
                    <pic:cNvPicPr>
                      <a:picLocks noChangeAspect="1" noChangeArrowheads="1"/>
                    </pic:cNvPicPr>
                  </pic:nvPicPr>
                  <pic:blipFill>
                    <a:blip r:embed="rId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7520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80" w:name="i-75"/>
      <w:bookmarkEnd w:id="80"/>
    </w:p>
    <w:p>
      <w:pPr>
        <w:pStyle w:val="TextBody"/>
        <w:bidi w:val="0"/>
        <w:spacing w:before="0" w:after="0"/>
        <w:jc w:val="left"/>
        <w:rPr>
          <w:shd w:fill="auto" w:val="clear"/>
        </w:rPr>
      </w:pPr>
      <w:r>
        <w:rPr>
          <w:shd w:fill="auto" w:val="clear"/>
        </w:rPr>
        <w:drawing>
          <wp:inline distT="0" distB="0" distL="0" distR="0">
            <wp:extent cx="3017520" cy="2743200"/>
            <wp:effectExtent l="0" t="0" r="0" b="0"/>
            <wp:docPr id="76" name="Image7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" name="Image76" descr=""/>
                    <pic:cNvPicPr>
                      <a:picLocks noChangeAspect="1" noChangeArrowheads="1"/>
                    </pic:cNvPicPr>
                  </pic:nvPicPr>
                  <pic:blipFill>
                    <a:blip r:embed="rId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7520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81" w:name="i-76"/>
      <w:bookmarkEnd w:id="81"/>
    </w:p>
    <w:p>
      <w:pPr>
        <w:pStyle w:val="TextBody"/>
        <w:bidi w:val="0"/>
        <w:spacing w:lineRule="atLeast" w:line="220" w:before="0" w:after="0"/>
        <w:jc w:val="left"/>
        <w:rPr>
          <w:rFonts w:ascii="sans-serif" w:hAnsi="sans-serif"/>
          <w:b/>
          <w:i w:val="false"/>
          <w:caps w:val="false"/>
          <w:smallCaps w:val="false"/>
          <w:strike w:val="false"/>
          <w:dstrike w:val="false"/>
          <w:color w:val="0E32E1"/>
          <w:sz w:val="22"/>
          <w:u w:val="none"/>
          <w:effect w:val="none"/>
          <w:shd w:fill="auto" w:val="clear"/>
        </w:rPr>
      </w:pPr>
      <w:r>
        <w:rPr>
          <w:rFonts w:ascii="sans-serif" w:hAnsi="sans-serif"/>
          <w:b/>
          <w:i w:val="false"/>
          <w:caps w:val="false"/>
          <w:smallCaps w:val="false"/>
          <w:strike w:val="false"/>
          <w:dstrike w:val="false"/>
          <w:color w:val="0E32E1"/>
          <w:sz w:val="22"/>
          <w:u w:val="none"/>
          <w:effect w:val="none"/>
          <w:shd w:fill="auto" w:val="clear"/>
        </w:rPr>
        <w:t>96%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  <w:shd w:fill="auto" w:val="clear"/>
        </w:rPr>
      </w:pPr>
      <w:r>
        <w:rPr>
          <w:rFonts w:ascii="sans-serif" w:hAnsi="sans-serif"/>
          <w:b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  <w:shd w:fill="auto" w:val="clear"/>
        </w:rPr>
        <w:t>At-Risk</w:t>
      </w: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218440" cy="218440"/>
            <wp:effectExtent l="0" t="0" r="0" b="0"/>
            <wp:docPr id="77" name="Image7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" name="Image77" descr=""/>
                    <pic:cNvPicPr>
                      <a:picLocks noChangeAspect="1" noChangeArrowheads="1"/>
                    </pic:cNvPicPr>
                  </pic:nvPicPr>
                  <pic:blipFill>
                    <a:blip r:embed="rId7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440" cy="218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82" w:name="i-77"/>
      <w:bookmarkEnd w:id="82"/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218440" cy="218440"/>
            <wp:effectExtent l="0" t="0" r="0" b="0"/>
            <wp:docPr id="78" name="Image7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" name="Image78" descr=""/>
                    <pic:cNvPicPr>
                      <a:picLocks noChangeAspect="1" noChangeArrowheads="1"/>
                    </pic:cNvPicPr>
                  </pic:nvPicPr>
                  <pic:blipFill>
                    <a:blip r:embed="rId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440" cy="218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83" w:name="i-78"/>
      <w:bookmarkEnd w:id="83"/>
    </w:p>
    <w:p>
      <w:pPr>
        <w:pStyle w:val="TextBody"/>
        <w:bidi w:val="0"/>
        <w:spacing w:lineRule="atLeast" w:line="220" w:before="0" w:after="0"/>
        <w:jc w:val="left"/>
        <w:rPr>
          <w:rFonts w:ascii="sans-serif" w:hAnsi="sans-serif"/>
          <w:b/>
          <w:i w:val="false"/>
          <w:caps w:val="false"/>
          <w:smallCaps w:val="false"/>
          <w:strike w:val="false"/>
          <w:dstrike w:val="false"/>
          <w:color w:val="0E32E1"/>
          <w:sz w:val="22"/>
          <w:u w:val="none"/>
          <w:effect w:val="none"/>
          <w:shd w:fill="auto" w:val="clear"/>
        </w:rPr>
      </w:pPr>
      <w:r>
        <w:rPr>
          <w:rFonts w:ascii="sans-serif" w:hAnsi="sans-serif"/>
          <w:b/>
          <w:i w:val="false"/>
          <w:caps w:val="false"/>
          <w:smallCaps w:val="false"/>
          <w:strike w:val="false"/>
          <w:dstrike w:val="false"/>
          <w:color w:val="0E32E1"/>
          <w:sz w:val="22"/>
          <w:u w:val="none"/>
          <w:effect w:val="none"/>
          <w:shd w:fill="auto" w:val="clear"/>
        </w:rPr>
        <w:t>92%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  <w:shd w:fill="auto" w:val="clear"/>
        </w:rPr>
      </w:pPr>
      <w:r>
        <w:rPr>
          <w:rFonts w:ascii="sans-serif" w:hAnsi="sans-serif"/>
          <w:b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  <w:shd w:fill="auto" w:val="clear"/>
        </w:rPr>
        <w:t>At-Risk</w:t>
      </w: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389890" cy="127000"/>
            <wp:effectExtent l="0" t="0" r="0" b="0"/>
            <wp:docPr id="79" name="Image7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" name="Image79" descr=""/>
                    <pic:cNvPicPr>
                      <a:picLocks noChangeAspect="1" noChangeArrowheads="1"/>
                    </pic:cNvPicPr>
                  </pic:nvPicPr>
                  <pic:blipFill>
                    <a:blip r:embed="rId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90" cy="12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84" w:name="i-79"/>
      <w:bookmarkEnd w:id="84"/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405130" cy="127000"/>
            <wp:effectExtent l="0" t="0" r="0" b="0"/>
            <wp:docPr id="80" name="Image8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Image80" descr=""/>
                    <pic:cNvPicPr>
                      <a:picLocks noChangeAspect="1" noChangeArrowheads="1"/>
                    </pic:cNvPicPr>
                  </pic:nvPicPr>
                  <pic:blipFill>
                    <a:blip r:embed="rId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130" cy="12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85" w:name="i-80"/>
      <w:bookmarkEnd w:id="85"/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80" w:before="0" w:after="0"/>
        <w:jc w:val="left"/>
        <w:rPr>
          <w:sz w:val="24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F47521"/>
          <w:sz w:val="28"/>
          <w:u w:val="none"/>
          <w:effect w:val="none"/>
        </w:rPr>
        <w:t>2025</w:t>
      </w:r>
      <w:r>
        <w:rPr>
          <w:caps w:val="false"/>
          <w:smallCaps w:val="false"/>
          <w:strike w:val="false"/>
          <w:dstrike w:val="false"/>
          <w:color w:val="F47521"/>
          <w:sz w:val="24"/>
          <w:u w:val="none"/>
          <w:effect w:val="none"/>
        </w:rPr>
        <w:t xml:space="preserve">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F47521"/>
          <w:sz w:val="28"/>
          <w:u w:val="none"/>
          <w:effect w:val="none"/>
        </w:rPr>
        <w:t>Compensation Decisions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sans-serif" w:hAnsi="sans-serif"/>
          <w:b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  <w:t>2025</w:t>
      </w:r>
      <w:r>
        <w:rPr>
          <w:caps w:val="false"/>
          <w:smallCaps w:val="false"/>
          <w:strike w:val="false"/>
          <w:dstrike w:val="false"/>
          <w:color w:val="3F3F3F"/>
          <w:sz w:val="24"/>
          <w:u w:val="none"/>
          <w:effect w:val="none"/>
        </w:rPr>
        <w:t xml:space="preserve"> </w:t>
      </w:r>
      <w:r>
        <w:rPr>
          <w:rFonts w:ascii="sans-serif" w:hAnsi="sans-serif"/>
          <w:b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  <w:t>Base Salaries</w:t>
      </w:r>
      <w:bookmarkStart w:id="86" w:name="i12950a0bd6d947f0afad64a7788654bd_394"/>
      <w:bookmarkEnd w:id="86"/>
      <w:r>
        <w:rPr>
          <w:caps w:val="false"/>
          <w:smallCaps w:val="false"/>
          <w:strike w:val="false"/>
          <w:dstrike w:val="false"/>
          <w:color w:val="494949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The Compensation Committee annually reviews the base salaries of our NEOs and adjusts them, as appropriate, to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maintain competitive market positioning relative to our Peers, align compensation with evolving role responsibilities,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and support retention. The following table sets forth the 2025</w:t>
      </w:r>
      <w:r>
        <w:rPr>
          <w:caps w:val="false"/>
          <w:smallCaps w:val="false"/>
          <w:strike w:val="false"/>
          <w:dstrike w:val="false"/>
          <w:color w:val="3F3F3F"/>
          <w:sz w:val="24"/>
          <w:u w:val="none"/>
          <w:effect w:val="none"/>
        </w:rPr>
        <w:t xml:space="preserve">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base salaries for each of Mr. Morrissey, Mr. Senner, Mr.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Haley, Mr. Hessekiel and Dr. Peterson, as approved by the Compensation Committee in February 2025. Dr. Aftab’s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salary reflects a promotion-related increase following his appointment as Executive Vice President, Research &amp;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Development in August 2025, in addition to the February 2025 merit-based salary increase, each as approved by the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Compensation Committee. With respect to Dr. Hefti, 2025 base salary reflects both a merit-based salary increase in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January 2025 and a promotion-related increase following her appointment as General Counsel in November 2025 (at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which time she became an NEO), each as approved by the Equity Award Committee.</w:t>
      </w:r>
    </w:p>
    <w:tbl>
      <w:tblPr>
        <w:tblW w:w="256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176"/>
        <w:gridCol w:w="391"/>
      </w:tblGrid>
      <w:tr>
        <w:trPr/>
        <w:tc>
          <w:tcPr>
            <w:tcW w:w="21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7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40404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404040"/>
                <w:sz w:val="18"/>
                <w:u w:val="none"/>
                <w:effect w:val="none"/>
              </w:rPr>
              <w:t>2026 Proxy Statement</w:t>
            </w:r>
          </w:p>
        </w:tc>
        <w:tc>
          <w:tcPr>
            <w:tcW w:w="39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  <w:t>73</w:t>
            </w:r>
          </w:p>
        </w:tc>
      </w:tr>
    </w:tbl>
    <w:tbl>
      <w:tblPr>
        <w:tblW w:w="823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696"/>
        <w:gridCol w:w="6541"/>
      </w:tblGrid>
      <w:tr>
        <w:trPr/>
        <w:tc>
          <w:tcPr>
            <w:tcW w:w="16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5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9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6d44722bfc2543dbbba9716d9e560c58_16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color w:val="0000FF"/>
                  <w:sz w:val="18"/>
                  <w:u w:val="single"/>
                </w:rPr>
                <w:t>Table of Contents</w:t>
              </w:r>
            </w:hyperlink>
          </w:p>
        </w:tc>
        <w:tc>
          <w:tcPr>
            <w:tcW w:w="654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2025 Compensation Decisions</w:t>
            </w:r>
            <w:r>
              <w:rPr>
                <w:caps w:val="false"/>
                <w:smallCaps w:val="false"/>
                <w:strike w:val="false"/>
                <w:dstrike w:val="false"/>
                <w:color w:val="F47521"/>
                <w:u w:val="none"/>
                <w:effect w:val="none"/>
              </w:rPr>
              <w:t xml:space="preserve">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  <w:t>|</w:t>
            </w: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 xml:space="preserve">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Compensation Discussion and Analysis</w:t>
            </w:r>
          </w:p>
        </w:tc>
      </w:tr>
    </w:tbl>
    <w:tbl>
      <w:tblPr>
        <w:tblW w:w="6761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791"/>
        <w:gridCol w:w="1186"/>
        <w:gridCol w:w="109"/>
        <w:gridCol w:w="1186"/>
        <w:gridCol w:w="109"/>
        <w:gridCol w:w="832"/>
        <w:gridCol w:w="548"/>
      </w:tblGrid>
      <w:tr>
        <w:trPr/>
        <w:tc>
          <w:tcPr>
            <w:tcW w:w="27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4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791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Name</w:t>
            </w:r>
          </w:p>
        </w:tc>
        <w:tc>
          <w:tcPr>
            <w:tcW w:w="1186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2024 Base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Salary</w:t>
            </w:r>
          </w:p>
        </w:tc>
        <w:tc>
          <w:tcPr>
            <w:tcW w:w="109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6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2025 Base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Salary</w:t>
            </w:r>
          </w:p>
        </w:tc>
        <w:tc>
          <w:tcPr>
            <w:tcW w:w="109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80" w:type="dxa"/>
            <w:gridSpan w:val="2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 xml:space="preserve">Percentage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Increase</w:t>
            </w:r>
          </w:p>
        </w:tc>
      </w:tr>
      <w:tr>
        <w:trPr/>
        <w:tc>
          <w:tcPr>
            <w:tcW w:w="2791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Michael M. Morrissey, Ph.D.</w:t>
            </w:r>
          </w:p>
        </w:tc>
        <w:tc>
          <w:tcPr>
            <w:tcW w:w="1186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$1,266,108</w:t>
            </w:r>
          </w:p>
        </w:tc>
        <w:tc>
          <w:tcPr>
            <w:tcW w:w="109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6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$1,316,753</w:t>
            </w:r>
          </w:p>
        </w:tc>
        <w:tc>
          <w:tcPr>
            <w:tcW w:w="109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2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4.0%</w:t>
            </w:r>
          </w:p>
        </w:tc>
        <w:tc>
          <w:tcPr>
            <w:tcW w:w="548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79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Christopher J. Senner</w:t>
            </w:r>
          </w:p>
        </w:tc>
        <w:tc>
          <w:tcPr>
            <w:tcW w:w="118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$797,665</w:t>
            </w:r>
          </w:p>
        </w:tc>
        <w:tc>
          <w:tcPr>
            <w:tcW w:w="109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$829,572</w:t>
            </w:r>
          </w:p>
        </w:tc>
        <w:tc>
          <w:tcPr>
            <w:tcW w:w="109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2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4.0%</w:t>
            </w:r>
          </w:p>
        </w:tc>
        <w:tc>
          <w:tcPr>
            <w:tcW w:w="548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79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Dana T. Aftab, Ph.D.</w:t>
            </w:r>
          </w:p>
        </w:tc>
        <w:tc>
          <w:tcPr>
            <w:tcW w:w="118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$628,993</w:t>
            </w:r>
          </w:p>
        </w:tc>
        <w:tc>
          <w:tcPr>
            <w:tcW w:w="109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$700,000</w:t>
            </w:r>
          </w:p>
        </w:tc>
        <w:tc>
          <w:tcPr>
            <w:tcW w:w="109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2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11.3%</w:t>
            </w:r>
          </w:p>
        </w:tc>
        <w:tc>
          <w:tcPr>
            <w:tcW w:w="548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(1)</w:t>
            </w:r>
          </w:p>
        </w:tc>
      </w:tr>
      <w:tr>
        <w:trPr/>
        <w:tc>
          <w:tcPr>
            <w:tcW w:w="279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Patrick J. Haley</w:t>
            </w:r>
          </w:p>
        </w:tc>
        <w:tc>
          <w:tcPr>
            <w:tcW w:w="118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$602,324</w:t>
            </w:r>
          </w:p>
        </w:tc>
        <w:tc>
          <w:tcPr>
            <w:tcW w:w="109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$626,417</w:t>
            </w:r>
          </w:p>
        </w:tc>
        <w:tc>
          <w:tcPr>
            <w:tcW w:w="109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2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4.0%</w:t>
            </w:r>
          </w:p>
        </w:tc>
        <w:tc>
          <w:tcPr>
            <w:tcW w:w="548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79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Brenda J. Hefti, J.D., Ph.D.</w:t>
            </w:r>
          </w:p>
        </w:tc>
        <w:tc>
          <w:tcPr>
            <w:tcW w:w="118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$430,260</w:t>
            </w:r>
          </w:p>
        </w:tc>
        <w:tc>
          <w:tcPr>
            <w:tcW w:w="109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$525,000</w:t>
            </w:r>
          </w:p>
        </w:tc>
        <w:tc>
          <w:tcPr>
            <w:tcW w:w="109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2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22.0%</w:t>
            </w:r>
          </w:p>
        </w:tc>
        <w:tc>
          <w:tcPr>
            <w:tcW w:w="548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(2)</w:t>
            </w:r>
          </w:p>
        </w:tc>
      </w:tr>
      <w:tr>
        <w:trPr/>
        <w:tc>
          <w:tcPr>
            <w:tcW w:w="279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Jeffrey J. Hessekiel, J.D. (3)</w:t>
            </w:r>
          </w:p>
        </w:tc>
        <w:tc>
          <w:tcPr>
            <w:tcW w:w="118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$692,071</w:t>
            </w:r>
          </w:p>
        </w:tc>
        <w:tc>
          <w:tcPr>
            <w:tcW w:w="109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$719,754</w:t>
            </w:r>
          </w:p>
        </w:tc>
        <w:tc>
          <w:tcPr>
            <w:tcW w:w="109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2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4.0%</w:t>
            </w:r>
          </w:p>
        </w:tc>
        <w:tc>
          <w:tcPr>
            <w:tcW w:w="548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791" w:type="dxa"/>
            <w:tcBorders>
              <w:top w:val="single" w:sz="4" w:space="0" w:color="B6B6B6"/>
              <w:bottom w:val="single" w:sz="8" w:space="0" w:color="F47521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Amy C. Peterson, M.D. (4)</w:t>
            </w:r>
          </w:p>
        </w:tc>
        <w:tc>
          <w:tcPr>
            <w:tcW w:w="1186" w:type="dxa"/>
            <w:tcBorders>
              <w:top w:val="single" w:sz="4" w:space="0" w:color="B6B6B6"/>
              <w:bottom w:val="single" w:sz="8" w:space="0" w:color="F47521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$658,095</w:t>
            </w:r>
          </w:p>
        </w:tc>
        <w:tc>
          <w:tcPr>
            <w:tcW w:w="109" w:type="dxa"/>
            <w:tcBorders>
              <w:top w:val="single" w:sz="4" w:space="0" w:color="B6B6B6"/>
              <w:bottom w:val="single" w:sz="8" w:space="0" w:color="F47521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6" w:type="dxa"/>
            <w:tcBorders>
              <w:top w:val="single" w:sz="4" w:space="0" w:color="B6B6B6"/>
              <w:bottom w:val="single" w:sz="8" w:space="0" w:color="F47521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$706,135</w:t>
            </w:r>
          </w:p>
        </w:tc>
        <w:tc>
          <w:tcPr>
            <w:tcW w:w="109" w:type="dxa"/>
            <w:tcBorders>
              <w:top w:val="single" w:sz="4" w:space="0" w:color="B6B6B6"/>
              <w:bottom w:val="single" w:sz="8" w:space="0" w:color="F47521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2" w:type="dxa"/>
            <w:tcBorders>
              <w:top w:val="single" w:sz="4" w:space="0" w:color="B6B6B6"/>
              <w:bottom w:val="single" w:sz="8" w:space="0" w:color="F47521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7.3%</w:t>
            </w:r>
          </w:p>
        </w:tc>
        <w:tc>
          <w:tcPr>
            <w:tcW w:w="548" w:type="dxa"/>
            <w:tcBorders>
              <w:top w:val="single" w:sz="4" w:space="0" w:color="B6B6B6"/>
              <w:bottom w:val="single" w:sz="8" w:space="0" w:color="F47521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(1)Reflects Dr. Aftab’s base salary increase of 4% over his 2024 base salary approved in February 2025 and a 7% promotion-related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>increase in August 2025.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>(2)Reflects Dr. Hefti’s base salary increase of 5% over her 2024 base salary approved in January 2025 and a 16.2% promotion-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>related increase in November 2025.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>(3)Mr. Hessekiel left the company in November 2025.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>(4)Dr. Peterson left the company in August 2025.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sans-serif" w:hAnsi="sans-serif"/>
          <w:b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  <w:t>2025</w:t>
      </w:r>
      <w:r>
        <w:rPr>
          <w:caps w:val="false"/>
          <w:smallCaps w:val="false"/>
          <w:strike w:val="false"/>
          <w:dstrike w:val="false"/>
          <w:color w:val="3F3F3F"/>
          <w:sz w:val="24"/>
          <w:u w:val="none"/>
          <w:effect w:val="none"/>
        </w:rPr>
        <w:t xml:space="preserve"> </w:t>
      </w:r>
      <w:r>
        <w:rPr>
          <w:rFonts w:ascii="sans-serif" w:hAnsi="sans-serif"/>
          <w:b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  <w:t>Annual Cash Bonuses</w:t>
      </w:r>
      <w:bookmarkStart w:id="87" w:name="idff363a48871448480f7e95ab9deb170_9494"/>
      <w:bookmarkEnd w:id="87"/>
      <w:r>
        <w:rPr>
          <w:caps w:val="false"/>
          <w:smallCaps w:val="false"/>
          <w:strike w:val="false"/>
          <w:dstrike w:val="false"/>
          <w:color w:val="494949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/>
          <w:i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/>
          <w:i/>
          <w:strike w:val="false"/>
          <w:dstrike w:val="false"/>
          <w:color w:val="3F3F3F"/>
          <w:sz w:val="20"/>
          <w:u w:val="none"/>
          <w:effect w:val="none"/>
        </w:rPr>
        <w:t xml:space="preserve">Rigorous Process for Determining Annual Cash Bonus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Our Annual Cash Bonus Plan is an annual incentive program designed to reward our senior management team,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including our NEOs, for the achievement of key corporate objectives and strong overall company performance, while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supporting our ability to attract and retain highly talented individuals. Under our Annual Cash Bonus Plan, NEOs are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eligible to receive an annual performance-based cash bonus award based on a pre-established target percentage of the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NEO’s annual base salary earned during the year. The Compensation Committee is responsible for establishing the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bonus target percentages, as well as the relative weighting of corporate performance and individual performance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components, as applicable.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For each NEO, the amount of the annual cash bonus award depends upon our overall corporate performance, including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the achievement of applicable corporate goals established by the Compensation Committee for the applicable year,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and, for NEOs other than Dr. Morrissey, the Compensation Committee’s consideration of individual contributions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toward the achievement of our corporate goals. Dr. Morrissey’s annual incentive cash bonus is based solely on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company performance, as determined by the Compensation Committee. For Dr. Hefti, whose 2025 annual cash bonus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is based solely on individual performance, the award is determined by the Equity Award Committee within the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Compensation Committee’s Compensation Framework. Under appropriate circumstances, the Compensation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Committee may exercise discretion to acknowledge progress toward achievement of a goal when factors outside of our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control render a performance target impossible or impractical to achieve.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The corporate goals under the Annual Cash Bonus Plan may be based on criteria such as the following: sales or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commercial goals; research, development and clinical achievements; financial metrics; hiring, retention and other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operational goals; commercial, clinical and strategic collaborations and alliance management; acquisitions and licensing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or partnering transactions; manufacturing and supply goals; quality goals; regulatory goals; legal and compliance goals;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and government affairs and public policy goals. Individual performance may be assessed by the Compensation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Committee (or the Equity Award Committee with respect to Dr. Hefti) based on the NEO’s contributions toward the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achievement of our corporate goals, recommended by the Chief Executive Officer and approved by the Compensation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Committee, as applicable, for the NEO’s area of responsibility. Taking these factors into account, the Compensation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Committee (or the Equity Award Committee with respect to Dr. Hefti) assigns an individual performance percentage for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each NEO, other than Dr. Morrissey. For any year, the achieved corporate performance percentage and/or individual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performance percentage may exceed 100%, provided that neither percentage may exceed 200%.</w:t>
      </w:r>
    </w:p>
    <w:tbl>
      <w:tblPr>
        <w:tblW w:w="174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61"/>
        <w:gridCol w:w="1381"/>
      </w:tblGrid>
      <w:tr>
        <w:trPr/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  <w:t>74</w:t>
            </w:r>
          </w:p>
        </w:tc>
        <w:tc>
          <w:tcPr>
            <w:tcW w:w="138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Exelixis, Inc.</w:t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/>
      </w:pPr>
      <w:hyperlink w:anchor="i6d44722bfc2543dbbba9716d9e560c58_16">
        <w:r>
          <w:rPr>
            <w:rStyle w:val="InternetLink"/>
            <w:rFonts w:ascii="sans-serif" w:hAnsi="sans-serif"/>
            <w:b w:val="false"/>
            <w:i w:val="false"/>
            <w:caps w:val="false"/>
            <w:smallCaps w:val="false"/>
            <w:color w:val="0000FF"/>
            <w:sz w:val="18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sans-serif" w:hAnsi="sans-serif"/>
          <w:b/>
          <w:i/>
          <w:strike w:val="false"/>
          <w:dstrike w:val="false"/>
          <w:color w:val="3F3F3F"/>
          <w:sz w:val="20"/>
          <w:u w:val="none"/>
          <w:effect w:val="none"/>
        </w:rPr>
        <w:t>2025</w:t>
      </w:r>
      <w:r>
        <w:rPr>
          <w:caps w:val="false"/>
          <w:smallCaps w:val="false"/>
          <w:strike w:val="false"/>
          <w:dstrike w:val="false"/>
          <w:color w:val="494949"/>
          <w:sz w:val="24"/>
          <w:u w:val="none"/>
          <w:effect w:val="none"/>
        </w:rPr>
        <w:t xml:space="preserve"> </w:t>
      </w:r>
      <w:r>
        <w:rPr>
          <w:rFonts w:ascii="sans-serif" w:hAnsi="sans-serif"/>
          <w:b/>
          <w:i/>
          <w:strike w:val="false"/>
          <w:dstrike w:val="false"/>
          <w:color w:val="3F3F3F"/>
          <w:sz w:val="20"/>
          <w:u w:val="none"/>
          <w:effect w:val="none"/>
        </w:rPr>
        <w:t xml:space="preserve">Bonus Targets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Bonus targets (expressed as a percentage of base salary) are based on the seniority of the applicable position. They are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reviewed annually by the Compensation Committee, taking into consideration competitive market data and the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criticality of the role for the organization, and adjusted if deemed appropriate by the Compensation Committee.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Following such review in February 2025, the Compensation Committee determined that the existing bonus targets from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2024</w:t>
      </w:r>
      <w:r>
        <w:rPr>
          <w:caps w:val="false"/>
          <w:smallCaps w:val="false"/>
          <w:strike w:val="false"/>
          <w:dstrike w:val="false"/>
          <w:color w:val="3F3F3F"/>
          <w:sz w:val="24"/>
          <w:u w:val="none"/>
          <w:effect w:val="none"/>
        </w:rPr>
        <w:t xml:space="preserve">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remained aligned with competitive market data and therefore would remain unchanged for 2025. The following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table sets forth the 2025</w:t>
      </w:r>
      <w:r>
        <w:rPr>
          <w:caps w:val="false"/>
          <w:smallCaps w:val="false"/>
          <w:strike w:val="false"/>
          <w:dstrike w:val="false"/>
          <w:color w:val="3F3F3F"/>
          <w:sz w:val="24"/>
          <w:u w:val="none"/>
          <w:effect w:val="none"/>
        </w:rPr>
        <w:t xml:space="preserve">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bonus targets for the NEOs.</w:t>
      </w:r>
    </w:p>
    <w:tbl>
      <w:tblPr>
        <w:tblW w:w="426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941"/>
        <w:gridCol w:w="1321"/>
      </w:tblGrid>
      <w:tr>
        <w:trPr/>
        <w:tc>
          <w:tcPr>
            <w:tcW w:w="29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941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NEO</w:t>
            </w:r>
          </w:p>
        </w:tc>
        <w:tc>
          <w:tcPr>
            <w:tcW w:w="1321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2025 Bonus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Target</w:t>
            </w:r>
          </w:p>
        </w:tc>
      </w:tr>
      <w:tr>
        <w:trPr/>
        <w:tc>
          <w:tcPr>
            <w:tcW w:w="2941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Michael M. Morrissey, Ph.D.</w:t>
            </w:r>
          </w:p>
        </w:tc>
        <w:tc>
          <w:tcPr>
            <w:tcW w:w="1321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100%</w:t>
            </w:r>
          </w:p>
        </w:tc>
      </w:tr>
      <w:tr>
        <w:trPr/>
        <w:tc>
          <w:tcPr>
            <w:tcW w:w="294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Christopher J. Senner</w:t>
            </w:r>
          </w:p>
        </w:tc>
        <w:tc>
          <w:tcPr>
            <w:tcW w:w="132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50%</w:t>
            </w:r>
          </w:p>
        </w:tc>
      </w:tr>
      <w:tr>
        <w:trPr/>
        <w:tc>
          <w:tcPr>
            <w:tcW w:w="294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Dana T. Aftab, Ph.D.</w:t>
            </w:r>
          </w:p>
        </w:tc>
        <w:tc>
          <w:tcPr>
            <w:tcW w:w="132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50%</w:t>
            </w:r>
          </w:p>
        </w:tc>
      </w:tr>
      <w:tr>
        <w:trPr/>
        <w:tc>
          <w:tcPr>
            <w:tcW w:w="294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Patrick J. Haley</w:t>
            </w:r>
          </w:p>
        </w:tc>
        <w:tc>
          <w:tcPr>
            <w:tcW w:w="132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50%</w:t>
            </w:r>
          </w:p>
        </w:tc>
      </w:tr>
      <w:tr>
        <w:trPr/>
        <w:tc>
          <w:tcPr>
            <w:tcW w:w="294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Brenda J. Hefti, J.D., Ph.D. (1)</w:t>
            </w:r>
          </w:p>
        </w:tc>
        <w:tc>
          <w:tcPr>
            <w:tcW w:w="132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35%</w:t>
            </w:r>
          </w:p>
        </w:tc>
      </w:tr>
      <w:tr>
        <w:trPr/>
        <w:tc>
          <w:tcPr>
            <w:tcW w:w="294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Jeffrey J. Hessekiel, J.D. (2)</w:t>
            </w:r>
          </w:p>
        </w:tc>
        <w:tc>
          <w:tcPr>
            <w:tcW w:w="132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50%</w:t>
            </w:r>
          </w:p>
        </w:tc>
      </w:tr>
      <w:tr>
        <w:trPr/>
        <w:tc>
          <w:tcPr>
            <w:tcW w:w="2941" w:type="dxa"/>
            <w:tcBorders>
              <w:top w:val="single" w:sz="4" w:space="0" w:color="B6B6B6"/>
              <w:bottom w:val="single" w:sz="8" w:space="0" w:color="F47521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Amy C. Peterson, M.D. (3)</w:t>
            </w:r>
          </w:p>
        </w:tc>
        <w:tc>
          <w:tcPr>
            <w:tcW w:w="1321" w:type="dxa"/>
            <w:tcBorders>
              <w:top w:val="single" w:sz="4" w:space="0" w:color="B6B6B6"/>
              <w:bottom w:val="single" w:sz="8" w:space="0" w:color="F47521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50%</w:t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(1)Dr. Hefti was appointed as General Counsel in November 2025, when she became an executive officer of the company.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>(2)Mr. Hessekiel left the company in November 2025.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>(3)Dr. Peterson left the company in August 2025.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sans-serif" w:hAnsi="sans-serif"/>
          <w:b/>
          <w:i/>
          <w:strike w:val="false"/>
          <w:dstrike w:val="false"/>
          <w:color w:val="3F3F3F"/>
          <w:sz w:val="20"/>
          <w:u w:val="none"/>
          <w:effect w:val="none"/>
        </w:rPr>
        <w:t>2025</w:t>
      </w:r>
      <w:r>
        <w:rPr>
          <w:strike w:val="false"/>
          <w:dstrike w:val="false"/>
          <w:color w:val="3F3F3F"/>
          <w:sz w:val="24"/>
          <w:u w:val="none"/>
          <w:effect w:val="none"/>
        </w:rPr>
        <w:t xml:space="preserve"> </w:t>
      </w:r>
      <w:r>
        <w:rPr>
          <w:rFonts w:ascii="sans-serif" w:hAnsi="sans-serif"/>
          <w:b/>
          <w:i/>
          <w:strike w:val="false"/>
          <w:dstrike w:val="false"/>
          <w:color w:val="3F3F3F"/>
          <w:sz w:val="20"/>
          <w:u w:val="none"/>
          <w:effect w:val="none"/>
        </w:rPr>
        <w:t xml:space="preserve">Corporate Goal Development and Weighting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In establishing the bonus program for 2025, our Compensation Committee reviewed and approved management’s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proposed goals relating to further advancement and commercialization of cabozantinib, clinical development of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zanzalintinib and other product candidates, clinical collaborations and business development activities, and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advancement of discovery programs to IND or DC stages. Our Compensation Committee selected these goals as key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drivers for our business, providing a balance between the efforts necessary to continue strong commercial execution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for CABOMETYX in its approved indications, advancement of zanzalintinib as Exelixis’ next potential oncology franchise,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and progression of our other clinical programs and early-stage product pipeline, while maintaining a strong financial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position. Collectively, these objectives are intended to enhance long-term stockholder value. At the time the 2025</w:t>
      </w:r>
      <w:r>
        <w:rPr>
          <w:caps w:val="false"/>
          <w:smallCaps w:val="false"/>
          <w:strike w:val="false"/>
          <w:dstrike w:val="false"/>
          <w:color w:val="3F3F3F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corporate goals were set, the Compensation Committee and management believed that such goals were appropriately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challenging and achieving them would require not only sustained commercial performance, meaningful clinical and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development success, and prudent financial and legal oversight, but also a high level of effort and skilled execution on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the part of our NEOs. The Compensation Committee also applied a performance weighting to each goal relative to the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overall performance of the company to reflect the prioritization of key business objectives. Target and maximum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achievement levels were defined for certain corporate goals and, depending on the level of achievement, NEOs were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eligible to receive a payout ranging from 0% to 150% for such goal. Additionally, a weighting between corporate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performance and individual performance was also applied for each NEO to reflect the level of impact such individual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would be able to make on the overall corporate performance. The following table sets forth the relative weighting for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each corporate goal and corporate versus individual performance for our NEOs.</w:t>
      </w:r>
    </w:p>
    <w:tbl>
      <w:tblPr>
        <w:tblW w:w="256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176"/>
        <w:gridCol w:w="391"/>
      </w:tblGrid>
      <w:tr>
        <w:trPr/>
        <w:tc>
          <w:tcPr>
            <w:tcW w:w="21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7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40404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404040"/>
                <w:sz w:val="18"/>
                <w:u w:val="none"/>
                <w:effect w:val="none"/>
              </w:rPr>
              <w:t>2026 Proxy Statement</w:t>
            </w:r>
          </w:p>
        </w:tc>
        <w:tc>
          <w:tcPr>
            <w:tcW w:w="39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  <w:t>75</w:t>
            </w:r>
          </w:p>
        </w:tc>
      </w:tr>
    </w:tbl>
    <w:tbl>
      <w:tblPr>
        <w:tblW w:w="823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696"/>
        <w:gridCol w:w="6541"/>
      </w:tblGrid>
      <w:tr>
        <w:trPr/>
        <w:tc>
          <w:tcPr>
            <w:tcW w:w="16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5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9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6d44722bfc2543dbbba9716d9e560c58_16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color w:val="0000FF"/>
                  <w:sz w:val="18"/>
                  <w:u w:val="single"/>
                </w:rPr>
                <w:t>Table of Contents</w:t>
              </w:r>
            </w:hyperlink>
          </w:p>
        </w:tc>
        <w:tc>
          <w:tcPr>
            <w:tcW w:w="654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2025 Compensation Decisions</w:t>
            </w:r>
            <w:r>
              <w:rPr>
                <w:caps w:val="false"/>
                <w:smallCaps w:val="false"/>
                <w:strike w:val="false"/>
                <w:dstrike w:val="false"/>
                <w:color w:val="F47521"/>
                <w:u w:val="none"/>
                <w:effect w:val="none"/>
              </w:rPr>
              <w:t xml:space="preserve">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  <w:t>|</w:t>
            </w: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 xml:space="preserve">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Compensation Discussion and Analysis</w:t>
            </w:r>
          </w:p>
        </w:tc>
      </w:tr>
    </w:tbl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578"/>
        <w:gridCol w:w="1171"/>
        <w:gridCol w:w="109"/>
        <w:gridCol w:w="2449"/>
        <w:gridCol w:w="1426"/>
        <w:gridCol w:w="1472"/>
      </w:tblGrid>
      <w:tr>
        <w:trPr/>
        <w:tc>
          <w:tcPr>
            <w:tcW w:w="357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4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7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8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Corporate Goals</w:t>
            </w:r>
          </w:p>
        </w:tc>
        <w:tc>
          <w:tcPr>
            <w:tcW w:w="1171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Weighting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(%)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49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NEO</w:t>
            </w:r>
          </w:p>
        </w:tc>
        <w:tc>
          <w:tcPr>
            <w:tcW w:w="1426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Weighting of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Corporate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Goals</w:t>
            </w:r>
          </w:p>
        </w:tc>
        <w:tc>
          <w:tcPr>
            <w:tcW w:w="1472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Weighting of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Individual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Performance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Assessment</w:t>
            </w:r>
          </w:p>
        </w:tc>
      </w:tr>
      <w:tr>
        <w:trPr/>
        <w:tc>
          <w:tcPr>
            <w:tcW w:w="3578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Cabozantinib</w:t>
            </w:r>
          </w:p>
        </w:tc>
        <w:tc>
          <w:tcPr>
            <w:tcW w:w="1171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35%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49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Michael M. Morrissey, Ph.D.</w:t>
            </w:r>
          </w:p>
        </w:tc>
        <w:tc>
          <w:tcPr>
            <w:tcW w:w="1426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100%</w:t>
            </w:r>
          </w:p>
        </w:tc>
        <w:tc>
          <w:tcPr>
            <w:tcW w:w="1472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0%</w:t>
            </w:r>
          </w:p>
        </w:tc>
      </w:tr>
      <w:tr>
        <w:trPr/>
        <w:tc>
          <w:tcPr>
            <w:tcW w:w="3578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Zanzalintinib</w:t>
            </w:r>
          </w:p>
        </w:tc>
        <w:tc>
          <w:tcPr>
            <w:tcW w:w="117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30%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49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Christopher J. Senner</w:t>
            </w:r>
          </w:p>
        </w:tc>
        <w:tc>
          <w:tcPr>
            <w:tcW w:w="142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70%</w:t>
            </w:r>
          </w:p>
        </w:tc>
        <w:tc>
          <w:tcPr>
            <w:tcW w:w="1472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30%</w:t>
            </w:r>
          </w:p>
        </w:tc>
      </w:tr>
      <w:tr>
        <w:trPr/>
        <w:tc>
          <w:tcPr>
            <w:tcW w:w="3578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XL309</w:t>
            </w:r>
          </w:p>
        </w:tc>
        <w:tc>
          <w:tcPr>
            <w:tcW w:w="117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10%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49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Dana T. Aftab, Ph.D.</w:t>
            </w:r>
          </w:p>
        </w:tc>
        <w:tc>
          <w:tcPr>
            <w:tcW w:w="142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70%</w:t>
            </w:r>
          </w:p>
        </w:tc>
        <w:tc>
          <w:tcPr>
            <w:tcW w:w="1472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30%</w:t>
            </w:r>
          </w:p>
        </w:tc>
      </w:tr>
      <w:tr>
        <w:trPr/>
        <w:tc>
          <w:tcPr>
            <w:tcW w:w="3578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XL495/XB010/Early Clinical Development</w:t>
            </w:r>
          </w:p>
        </w:tc>
        <w:tc>
          <w:tcPr>
            <w:tcW w:w="117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5%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49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Patrick J. Haley</w:t>
            </w:r>
          </w:p>
        </w:tc>
        <w:tc>
          <w:tcPr>
            <w:tcW w:w="142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70%</w:t>
            </w:r>
          </w:p>
        </w:tc>
        <w:tc>
          <w:tcPr>
            <w:tcW w:w="1472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30%</w:t>
            </w:r>
          </w:p>
        </w:tc>
      </w:tr>
      <w:tr>
        <w:trPr/>
        <w:tc>
          <w:tcPr>
            <w:tcW w:w="3578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Clinical Collaborations</w:t>
            </w:r>
          </w:p>
        </w:tc>
        <w:tc>
          <w:tcPr>
            <w:tcW w:w="117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5%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49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Brenda J. Hefti, J.D., Ph.D.</w:t>
            </w:r>
          </w:p>
        </w:tc>
        <w:tc>
          <w:tcPr>
            <w:tcW w:w="142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0%</w:t>
            </w:r>
          </w:p>
        </w:tc>
        <w:tc>
          <w:tcPr>
            <w:tcW w:w="1472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100%</w:t>
            </w:r>
          </w:p>
        </w:tc>
      </w:tr>
      <w:tr>
        <w:trPr/>
        <w:tc>
          <w:tcPr>
            <w:tcW w:w="3578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Business Development</w:t>
            </w:r>
          </w:p>
        </w:tc>
        <w:tc>
          <w:tcPr>
            <w:tcW w:w="117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5%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49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Jeffrey J. Hessekiel, J.D.</w:t>
            </w:r>
          </w:p>
        </w:tc>
        <w:tc>
          <w:tcPr>
            <w:tcW w:w="142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70%</w:t>
            </w:r>
          </w:p>
        </w:tc>
        <w:tc>
          <w:tcPr>
            <w:tcW w:w="1472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30%</w:t>
            </w:r>
          </w:p>
        </w:tc>
      </w:tr>
      <w:tr>
        <w:trPr/>
        <w:tc>
          <w:tcPr>
            <w:tcW w:w="3578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IND Candidates</w:t>
            </w:r>
          </w:p>
        </w:tc>
        <w:tc>
          <w:tcPr>
            <w:tcW w:w="117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5%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49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Amy C. Peterson, M.D.</w:t>
            </w:r>
          </w:p>
        </w:tc>
        <w:tc>
          <w:tcPr>
            <w:tcW w:w="142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70%</w:t>
            </w:r>
          </w:p>
        </w:tc>
        <w:tc>
          <w:tcPr>
            <w:tcW w:w="1472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30%</w:t>
            </w:r>
          </w:p>
        </w:tc>
      </w:tr>
      <w:tr>
        <w:trPr/>
        <w:tc>
          <w:tcPr>
            <w:tcW w:w="3578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New DCs</w:t>
            </w:r>
          </w:p>
        </w:tc>
        <w:tc>
          <w:tcPr>
            <w:tcW w:w="117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5%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49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2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72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8" w:type="dxa"/>
            <w:tcBorders>
              <w:top w:val="single" w:sz="4" w:space="0" w:color="B6B6B6"/>
              <w:bottom w:val="single" w:sz="8" w:space="0" w:color="F47521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Total</w:t>
            </w:r>
          </w:p>
        </w:tc>
        <w:tc>
          <w:tcPr>
            <w:tcW w:w="1171" w:type="dxa"/>
            <w:tcBorders>
              <w:top w:val="single" w:sz="4" w:space="0" w:color="B6B6B6"/>
              <w:bottom w:val="single" w:sz="8" w:space="0" w:color="F47521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100%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49" w:type="dxa"/>
            <w:tcBorders>
              <w:top w:val="single" w:sz="4" w:space="0" w:color="B6B6B6"/>
              <w:bottom w:val="single" w:sz="8" w:space="0" w:color="F47521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26" w:type="dxa"/>
            <w:tcBorders>
              <w:top w:val="single" w:sz="4" w:space="0" w:color="B6B6B6"/>
              <w:bottom w:val="single" w:sz="8" w:space="0" w:color="F47521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72" w:type="dxa"/>
            <w:tcBorders>
              <w:top w:val="single" w:sz="4" w:space="0" w:color="B6B6B6"/>
              <w:bottom w:val="single" w:sz="8" w:space="0" w:color="F47521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sans-serif" w:hAnsi="sans-serif"/>
          <w:b/>
          <w:i/>
          <w:strike w:val="false"/>
          <w:dstrike w:val="false"/>
          <w:color w:val="3F3F3F"/>
          <w:sz w:val="20"/>
          <w:u w:val="none"/>
          <w:effect w:val="none"/>
        </w:rPr>
        <w:t>2025</w:t>
      </w:r>
      <w:r>
        <w:rPr>
          <w:strike w:val="false"/>
          <w:dstrike w:val="false"/>
          <w:color w:val="3F3F3F"/>
          <w:sz w:val="24"/>
          <w:u w:val="none"/>
          <w:effect w:val="none"/>
        </w:rPr>
        <w:t xml:space="preserve"> </w:t>
      </w:r>
      <w:r>
        <w:rPr>
          <w:rFonts w:ascii="sans-serif" w:hAnsi="sans-serif"/>
          <w:b/>
          <w:i/>
          <w:strike w:val="false"/>
          <w:dstrike w:val="false"/>
          <w:color w:val="3F3F3F"/>
          <w:sz w:val="20"/>
          <w:u w:val="none"/>
          <w:effect w:val="none"/>
        </w:rPr>
        <w:t xml:space="preserve">Performance Evaluation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During 2025, management reported regularly to the Compensation Committee and the Board on the status of the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company’s performance against our 2025</w:t>
      </w:r>
      <w:r>
        <w:rPr>
          <w:caps w:val="false"/>
          <w:smallCaps w:val="false"/>
          <w:strike w:val="false"/>
          <w:dstrike w:val="false"/>
          <w:color w:val="3F3F3F"/>
          <w:sz w:val="24"/>
          <w:u w:val="none"/>
          <w:effect w:val="none"/>
        </w:rPr>
        <w:t xml:space="preserve">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goals, including in formal meetings in February, May, August and December.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In February 2025, the Compensation Committee evaluated the company’s performance in relation to the 2025</w:t>
      </w:r>
      <w:r>
        <w:rPr>
          <w:caps w:val="false"/>
          <w:smallCaps w:val="false"/>
          <w:strike w:val="false"/>
          <w:dstrike w:val="false"/>
          <w:color w:val="3F3F3F"/>
          <w:sz w:val="24"/>
          <w:u w:val="none"/>
          <w:effect w:val="none"/>
        </w:rPr>
        <w:t xml:space="preserve">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goals, as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well as the individual contributions of each NEO (other than Dr. Morrissey, whose annual incentive cash bonus is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entirely dependent on the company’s performance against our pre-determined 2025 corporate goals, and Dr. Hefti,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whose annual incentive cash bonus is determined by the Equity Award Committee and is entirely dependent on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individual performance) toward the achievement of those goals.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Following its evaluation of such performance, the Compensation Committee concluded that 2025</w:t>
      </w:r>
      <w:r>
        <w:rPr>
          <w:caps w:val="false"/>
          <w:smallCaps w:val="false"/>
          <w:strike w:val="false"/>
          <w:dstrike w:val="false"/>
          <w:color w:val="3F3F3F"/>
          <w:sz w:val="24"/>
          <w:u w:val="none"/>
          <w:effect w:val="none"/>
        </w:rPr>
        <w:t xml:space="preserve">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was a year of strong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execution, during which the company largely achieved each of the goals, as further described in the table below: </w:t>
      </w: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2916"/>
        <w:gridCol w:w="2343"/>
        <w:gridCol w:w="1704"/>
        <w:gridCol w:w="1083"/>
        <w:gridCol w:w="2035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9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4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0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3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259" w:type="dxa"/>
            <w:gridSpan w:val="2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PERFORMANCE OBJECTIVES</w:t>
            </w:r>
          </w:p>
        </w:tc>
        <w:tc>
          <w:tcPr>
            <w:tcW w:w="1704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ACHIEVEMENTS</w:t>
            </w:r>
          </w:p>
        </w:tc>
        <w:tc>
          <w:tcPr>
            <w:tcW w:w="1083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TARGET %</w:t>
            </w:r>
          </w:p>
        </w:tc>
        <w:tc>
          <w:tcPr>
            <w:tcW w:w="2035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ACHIEVEMENT %</w:t>
            </w:r>
            <w:r>
              <w:rPr>
                <w:caps w:val="false"/>
                <w:smallCaps w:val="false"/>
                <w:strike w:val="false"/>
                <w:dstrike w:val="false"/>
                <w:color w:val="FFFFFF"/>
                <w:u w:val="none"/>
                <w:effect w:val="none"/>
              </w:rPr>
              <w:t xml:space="preserve"> </w:t>
            </w: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(1)</w:t>
            </w:r>
          </w:p>
        </w:tc>
      </w:tr>
      <w:tr>
        <w:trPr/>
        <w:tc>
          <w:tcPr>
            <w:tcW w:w="3040" w:type="dxa"/>
            <w:gridSpan w:val="2"/>
            <w:tcBorders>
              <w:bottom w:val="single" w:sz="8" w:space="0" w:color="020202"/>
            </w:tcBorders>
            <w:shd w:fill="E5E5E5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2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28"/>
                <w:u w:val="none"/>
                <w:effect w:val="none"/>
              </w:rPr>
              <w:t>Cabozantinib</w:t>
            </w:r>
          </w:p>
        </w:tc>
        <w:tc>
          <w:tcPr>
            <w:tcW w:w="2343" w:type="dxa"/>
            <w:tcBorders>
              <w:bottom w:val="single" w:sz="8" w:space="0" w:color="020202"/>
            </w:tcBorders>
            <w:shd w:fill="E5E5E5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04" w:type="dxa"/>
            <w:tcBorders>
              <w:bottom w:val="single" w:sz="8" w:space="0" w:color="020202"/>
            </w:tcBorders>
            <w:shd w:fill="E5E5E5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3" w:type="dxa"/>
            <w:tcBorders>
              <w:bottom w:val="single" w:sz="8" w:space="0" w:color="020202"/>
            </w:tcBorders>
            <w:shd w:fill="E5E5E5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2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28"/>
                <w:u w:val="none"/>
                <w:effect w:val="none"/>
              </w:rPr>
              <w:t>35%</w:t>
            </w:r>
          </w:p>
        </w:tc>
        <w:tc>
          <w:tcPr>
            <w:tcW w:w="2035" w:type="dxa"/>
            <w:tcBorders>
              <w:bottom w:val="single" w:sz="8" w:space="0" w:color="020202"/>
            </w:tcBorders>
            <w:shd w:fill="E5E5E5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2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28"/>
                <w:u w:val="none"/>
                <w:effect w:val="none"/>
              </w:rPr>
              <w:t>41.0%</w:t>
            </w:r>
          </w:p>
        </w:tc>
      </w:tr>
      <w:tr>
        <w:trPr/>
        <w:tc>
          <w:tcPr>
            <w:tcW w:w="124" w:type="dxa"/>
            <w:tcBorders>
              <w:top w:val="single" w:sz="8" w:space="0" w:color="020202"/>
            </w:tcBorders>
            <w:shd w:fill="E5E5E5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916" w:type="dxa"/>
            <w:tcBorders>
              <w:top w:val="single" w:sz="8" w:space="0" w:color="020202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Target</w:t>
            </w:r>
          </w:p>
        </w:tc>
        <w:tc>
          <w:tcPr>
            <w:tcW w:w="2343" w:type="dxa"/>
            <w:tcBorders>
              <w:top w:val="single" w:sz="8" w:space="0" w:color="020202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Maximum</w:t>
            </w:r>
          </w:p>
        </w:tc>
        <w:tc>
          <w:tcPr>
            <w:tcW w:w="1704" w:type="dxa"/>
            <w:tcBorders>
              <w:top w:val="single" w:sz="8" w:space="0" w:color="020202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3" w:type="dxa"/>
            <w:tcBorders>
              <w:top w:val="single" w:sz="8" w:space="0" w:color="020202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35" w:type="dxa"/>
            <w:tcBorders>
              <w:top w:val="single" w:sz="8" w:space="0" w:color="020202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shd w:fill="E5E5E5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916" w:type="dxa"/>
            <w:tcBorders>
              <w:top w:val="single" w:sz="4" w:space="0" w:color="B6B6B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Meet the U.S. cabozantinib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franchise net product revenues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target</w:t>
            </w:r>
          </w:p>
        </w:tc>
        <w:tc>
          <w:tcPr>
            <w:tcW w:w="2343" w:type="dxa"/>
            <w:tcBorders>
              <w:top w:val="single" w:sz="4" w:space="0" w:color="B6B6B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Exceed U.S. cabozantinib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franchise net product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revenue target by 5%</w:t>
            </w:r>
          </w:p>
        </w:tc>
        <w:tc>
          <w:tcPr>
            <w:tcW w:w="4822" w:type="dxa"/>
            <w:gridSpan w:val="3"/>
            <w:tcBorders>
              <w:top w:val="single" w:sz="4" w:space="0" w:color="B6B6B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›</w:t>
            </w:r>
            <w:r>
              <w:rPr>
                <w:caps w:val="false"/>
                <w:smallCaps w:val="false"/>
                <w:strike w:val="false"/>
                <w:dstrike w:val="false"/>
                <w:color w:val="FC4C02"/>
                <w:u w:val="none"/>
                <w:effect w:val="none"/>
              </w:rPr>
              <w:t xml:space="preserve">› 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U.S. cabozantinib franchise net product revenue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 xml:space="preserve">     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exceeded the maximum performance target</w:t>
            </w:r>
          </w:p>
        </w:tc>
      </w:tr>
      <w:tr>
        <w:trPr/>
        <w:tc>
          <w:tcPr>
            <w:tcW w:w="124" w:type="dxa"/>
            <w:tcBorders/>
            <w:shd w:fill="E5E5E5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916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43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22" w:type="dxa"/>
            <w:gridSpan w:val="3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Target Achievement</w:t>
            </w:r>
          </w:p>
        </w:tc>
      </w:tr>
      <w:tr>
        <w:trPr/>
        <w:tc>
          <w:tcPr>
            <w:tcW w:w="124" w:type="dxa"/>
            <w:tcBorders/>
            <w:shd w:fill="E5E5E5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916" w:type="dxa"/>
            <w:tcBorders>
              <w:top w:val="single" w:sz="4" w:space="0" w:color="B6B6B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Achieve CABINET FDA approval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for pNET and epNET by PDUFA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date</w:t>
            </w:r>
          </w:p>
        </w:tc>
        <w:tc>
          <w:tcPr>
            <w:tcW w:w="2343" w:type="dxa"/>
            <w:tcBorders>
              <w:top w:val="single" w:sz="4" w:space="0" w:color="B6B6B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Achieve FDA approval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ahead of PDUFA date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Achieve approvals in EU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plus ≥ 5 additional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countries</w:t>
            </w:r>
          </w:p>
        </w:tc>
        <w:tc>
          <w:tcPr>
            <w:tcW w:w="4822" w:type="dxa"/>
            <w:gridSpan w:val="3"/>
            <w:tcBorders>
              <w:top w:val="single" w:sz="4" w:space="0" w:color="B6B6B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›</w:t>
            </w:r>
            <w:r>
              <w:rPr>
                <w:caps w:val="false"/>
                <w:smallCaps w:val="false"/>
                <w:strike w:val="false"/>
                <w:dstrike w:val="false"/>
                <w:color w:val="FC4C02"/>
                <w:u w:val="none"/>
                <w:effect w:val="none"/>
              </w:rPr>
              <w:t xml:space="preserve">› 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FDA approval received prior to PDUFA date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›</w:t>
            </w:r>
            <w:r>
              <w:rPr>
                <w:caps w:val="false"/>
                <w:smallCaps w:val="false"/>
                <w:strike w:val="false"/>
                <w:dstrike w:val="false"/>
                <w:color w:val="FC4C02"/>
                <w:u w:val="none"/>
                <w:effect w:val="none"/>
              </w:rPr>
              <w:t xml:space="preserve">› 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Approvals received in: Australia, Brazil,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Singapore, Switzerland and the U.K.</w:t>
            </w:r>
          </w:p>
        </w:tc>
      </w:tr>
      <w:tr>
        <w:trPr/>
        <w:tc>
          <w:tcPr>
            <w:tcW w:w="124" w:type="dxa"/>
            <w:tcBorders/>
            <w:shd w:fill="E5E5E5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916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43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22" w:type="dxa"/>
            <w:gridSpan w:val="3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Above Target Achievement</w:t>
            </w:r>
          </w:p>
        </w:tc>
      </w:tr>
      <w:tr>
        <w:trPr/>
        <w:tc>
          <w:tcPr>
            <w:tcW w:w="124" w:type="dxa"/>
            <w:tcBorders/>
            <w:shd w:fill="E5E5E5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916" w:type="dxa"/>
            <w:tcBorders>
              <w:top w:val="single" w:sz="4" w:space="0" w:color="B6B6B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Submit sNDA for CONTACT-02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and publish manuscript</w:t>
            </w:r>
          </w:p>
        </w:tc>
        <w:tc>
          <w:tcPr>
            <w:tcW w:w="2343" w:type="dxa"/>
            <w:tcBorders>
              <w:top w:val="single" w:sz="4" w:space="0" w:color="B6B6B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FDA acceptance of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CONTACT-02 sNDA for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review OR inclusion in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National Comprehensive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Cancer Network (NCCN)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guidelines</w:t>
            </w:r>
          </w:p>
        </w:tc>
        <w:tc>
          <w:tcPr>
            <w:tcW w:w="4822" w:type="dxa"/>
            <w:gridSpan w:val="3"/>
            <w:tcBorders>
              <w:top w:val="single" w:sz="4" w:space="0" w:color="B6B6B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›</w:t>
            </w:r>
            <w:r>
              <w:rPr>
                <w:caps w:val="false"/>
                <w:smallCaps w:val="false"/>
                <w:strike w:val="false"/>
                <w:dstrike w:val="false"/>
                <w:color w:val="FC4C02"/>
                <w:u w:val="none"/>
                <w:effect w:val="none"/>
              </w:rPr>
              <w:t>›</w:t>
            </w: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 xml:space="preserve"> 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Manuscript published; sNDA not pursued to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prioritize zanzalintinib filings; NCCN review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process initiated</w:t>
            </w:r>
          </w:p>
        </w:tc>
      </w:tr>
      <w:tr>
        <w:trPr/>
        <w:tc>
          <w:tcPr>
            <w:tcW w:w="124" w:type="dxa"/>
            <w:tcBorders>
              <w:bottom w:val="single" w:sz="4" w:space="0" w:color="B2B2B2"/>
            </w:tcBorders>
            <w:shd w:fill="E5E5E5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916" w:type="dxa"/>
            <w:tcBorders>
              <w:bottom w:val="single" w:sz="4" w:space="0" w:color="B2B2B2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43" w:type="dxa"/>
            <w:tcBorders>
              <w:bottom w:val="single" w:sz="4" w:space="0" w:color="B2B2B2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22" w:type="dxa"/>
            <w:gridSpan w:val="3"/>
            <w:tcBorders>
              <w:bottom w:val="single" w:sz="4" w:space="0" w:color="B2B2B2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Below Target Achievement</w:t>
            </w:r>
          </w:p>
        </w:tc>
      </w:tr>
    </w:tbl>
    <w:tbl>
      <w:tblPr>
        <w:tblW w:w="174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61"/>
        <w:gridCol w:w="1381"/>
      </w:tblGrid>
      <w:tr>
        <w:trPr/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  <w:t>76</w:t>
            </w:r>
          </w:p>
        </w:tc>
        <w:tc>
          <w:tcPr>
            <w:tcW w:w="138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Exelixis, Inc.</w:t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/>
      </w:pPr>
      <w:hyperlink w:anchor="i6d44722bfc2543dbbba9716d9e560c58_16">
        <w:r>
          <w:rPr>
            <w:rStyle w:val="InternetLink"/>
            <w:rFonts w:ascii="sans-serif" w:hAnsi="sans-serif"/>
            <w:b w:val="false"/>
            <w:i w:val="false"/>
            <w:caps w:val="false"/>
            <w:smallCaps w:val="false"/>
            <w:color w:val="0000FF"/>
            <w:sz w:val="18"/>
            <w:u w:val="single"/>
          </w:rPr>
          <w:t>Table of Contents</w:t>
        </w:r>
      </w:hyperlink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33"/>
        <w:gridCol w:w="2937"/>
        <w:gridCol w:w="2490"/>
        <w:gridCol w:w="1685"/>
        <w:gridCol w:w="1034"/>
        <w:gridCol w:w="1926"/>
      </w:tblGrid>
      <w:tr>
        <w:trPr/>
        <w:tc>
          <w:tcPr>
            <w:tcW w:w="13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93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8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33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427" w:type="dxa"/>
            <w:gridSpan w:val="2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PERFORMANCE OBJECTIVES</w:t>
            </w:r>
          </w:p>
        </w:tc>
        <w:tc>
          <w:tcPr>
            <w:tcW w:w="1685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ACHIEVEMENTS</w:t>
            </w:r>
          </w:p>
        </w:tc>
        <w:tc>
          <w:tcPr>
            <w:tcW w:w="1034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TARGET %</w:t>
            </w:r>
          </w:p>
        </w:tc>
        <w:tc>
          <w:tcPr>
            <w:tcW w:w="1926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ACHIEVEMENT %</w:t>
            </w:r>
            <w:r>
              <w:rPr>
                <w:caps w:val="false"/>
                <w:smallCaps w:val="false"/>
                <w:strike w:val="false"/>
                <w:dstrike w:val="false"/>
                <w:color w:val="FFFFFF"/>
                <w:u w:val="none"/>
                <w:effect w:val="none"/>
              </w:rPr>
              <w:t xml:space="preserve"> </w:t>
            </w: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(1)</w:t>
            </w:r>
          </w:p>
        </w:tc>
      </w:tr>
      <w:tr>
        <w:trPr/>
        <w:tc>
          <w:tcPr>
            <w:tcW w:w="3070" w:type="dxa"/>
            <w:gridSpan w:val="2"/>
            <w:tcBorders>
              <w:top w:val="single" w:sz="4" w:space="0" w:color="B2B2B2"/>
              <w:bottom w:val="single" w:sz="8" w:space="0" w:color="242424"/>
            </w:tcBorders>
            <w:shd w:fill="E5E5E5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2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28"/>
                <w:u w:val="none"/>
                <w:effect w:val="none"/>
              </w:rPr>
              <w:t>Zanzalintinib</w:t>
            </w:r>
          </w:p>
        </w:tc>
        <w:tc>
          <w:tcPr>
            <w:tcW w:w="2490" w:type="dxa"/>
            <w:tcBorders>
              <w:top w:val="single" w:sz="4" w:space="0" w:color="B2B2B2"/>
              <w:bottom w:val="single" w:sz="8" w:space="0" w:color="242424"/>
            </w:tcBorders>
            <w:shd w:fill="E5E5E5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85" w:type="dxa"/>
            <w:tcBorders>
              <w:top w:val="single" w:sz="4" w:space="0" w:color="B2B2B2"/>
              <w:bottom w:val="single" w:sz="8" w:space="0" w:color="242424"/>
            </w:tcBorders>
            <w:shd w:fill="E5E5E5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4" w:type="dxa"/>
            <w:tcBorders>
              <w:top w:val="single" w:sz="4" w:space="0" w:color="B2B2B2"/>
              <w:bottom w:val="single" w:sz="8" w:space="0" w:color="242424"/>
            </w:tcBorders>
            <w:shd w:fill="E5E5E5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2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28"/>
                <w:u w:val="none"/>
                <w:effect w:val="none"/>
              </w:rPr>
              <w:t>30%</w:t>
            </w:r>
          </w:p>
        </w:tc>
        <w:tc>
          <w:tcPr>
            <w:tcW w:w="1926" w:type="dxa"/>
            <w:tcBorders>
              <w:top w:val="single" w:sz="4" w:space="0" w:color="B2B2B2"/>
              <w:bottom w:val="single" w:sz="8" w:space="0" w:color="242424"/>
            </w:tcBorders>
            <w:shd w:fill="E5E5E5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2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28"/>
                <w:u w:val="none"/>
                <w:effect w:val="none"/>
              </w:rPr>
              <w:t>31.2%</w:t>
            </w:r>
          </w:p>
        </w:tc>
      </w:tr>
      <w:tr>
        <w:trPr/>
        <w:tc>
          <w:tcPr>
            <w:tcW w:w="133" w:type="dxa"/>
            <w:tcBorders>
              <w:top w:val="single" w:sz="8" w:space="0" w:color="242424"/>
            </w:tcBorders>
            <w:shd w:fill="E5E5E5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937" w:type="dxa"/>
            <w:tcBorders>
              <w:top w:val="single" w:sz="8" w:space="0" w:color="242424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Target</w:t>
            </w:r>
          </w:p>
        </w:tc>
        <w:tc>
          <w:tcPr>
            <w:tcW w:w="2490" w:type="dxa"/>
            <w:tcBorders>
              <w:top w:val="single" w:sz="8" w:space="0" w:color="242424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Maximum</w:t>
            </w:r>
          </w:p>
        </w:tc>
        <w:tc>
          <w:tcPr>
            <w:tcW w:w="1685" w:type="dxa"/>
            <w:tcBorders>
              <w:top w:val="single" w:sz="8" w:space="0" w:color="242424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4" w:type="dxa"/>
            <w:tcBorders>
              <w:top w:val="single" w:sz="8" w:space="0" w:color="242424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26" w:type="dxa"/>
            <w:tcBorders>
              <w:top w:val="single" w:sz="8" w:space="0" w:color="242424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33" w:type="dxa"/>
            <w:tcBorders/>
            <w:shd w:fill="E5E5E5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937" w:type="dxa"/>
            <w:tcBorders>
              <w:top w:val="single" w:sz="4" w:space="0" w:color="B6B6B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STELLAR-303 top-line data</w:t>
            </w:r>
          </w:p>
        </w:tc>
        <w:tc>
          <w:tcPr>
            <w:tcW w:w="2490" w:type="dxa"/>
            <w:tcBorders>
              <w:top w:val="single" w:sz="4" w:space="0" w:color="B6B6B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Top</w:t>
              <w:noBreakHyphen/>
              <w:t xml:space="preserve">line data on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expedited timeline or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positive readout</w:t>
            </w:r>
          </w:p>
        </w:tc>
        <w:tc>
          <w:tcPr>
            <w:tcW w:w="4645" w:type="dxa"/>
            <w:gridSpan w:val="3"/>
            <w:tcBorders>
              <w:top w:val="single" w:sz="4" w:space="0" w:color="B6B6B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›</w:t>
            </w:r>
            <w:r>
              <w:rPr>
                <w:caps w:val="false"/>
                <w:smallCaps w:val="false"/>
                <w:strike w:val="false"/>
                <w:dstrike w:val="false"/>
                <w:color w:val="FC4C02"/>
                <w:u w:val="none"/>
                <w:effect w:val="none"/>
              </w:rPr>
              <w:t xml:space="preserve">› 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Positive top</w:t>
              <w:noBreakHyphen/>
              <w:t>line results delivered June 2025</w:t>
            </w:r>
          </w:p>
        </w:tc>
      </w:tr>
      <w:tr>
        <w:trPr/>
        <w:tc>
          <w:tcPr>
            <w:tcW w:w="133" w:type="dxa"/>
            <w:tcBorders/>
            <w:shd w:fill="E5E5E5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937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90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45" w:type="dxa"/>
            <w:gridSpan w:val="3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Above Target Achievement</w:t>
            </w:r>
          </w:p>
        </w:tc>
      </w:tr>
      <w:tr>
        <w:trPr/>
        <w:tc>
          <w:tcPr>
            <w:tcW w:w="133" w:type="dxa"/>
            <w:tcBorders/>
            <w:shd w:fill="E5E5E5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937" w:type="dxa"/>
            <w:tcBorders>
              <w:top w:val="single" w:sz="4" w:space="0" w:color="B6B6B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STELLAR-304 enrollment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completion</w:t>
            </w:r>
          </w:p>
        </w:tc>
        <w:tc>
          <w:tcPr>
            <w:tcW w:w="2490" w:type="dxa"/>
            <w:tcBorders>
              <w:top w:val="single" w:sz="4" w:space="0" w:color="B6B6B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PFS clinical cut</w:t>
              <w:noBreakHyphen/>
              <w:t xml:space="preserve">off before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YE </w:t>
            </w:r>
          </w:p>
        </w:tc>
        <w:tc>
          <w:tcPr>
            <w:tcW w:w="4645" w:type="dxa"/>
            <w:gridSpan w:val="3"/>
            <w:tcBorders>
              <w:top w:val="single" w:sz="4" w:space="0" w:color="B6B6B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›</w:t>
            </w:r>
            <w:r>
              <w:rPr>
                <w:caps w:val="false"/>
                <w:smallCaps w:val="false"/>
                <w:strike w:val="false"/>
                <w:dstrike w:val="false"/>
                <w:color w:val="FC4C02"/>
                <w:u w:val="none"/>
                <w:effect w:val="none"/>
              </w:rPr>
              <w:t xml:space="preserve">› 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Enrollment completed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›</w:t>
            </w:r>
            <w:r>
              <w:rPr>
                <w:caps w:val="false"/>
                <w:smallCaps w:val="false"/>
                <w:strike w:val="false"/>
                <w:dstrike w:val="false"/>
                <w:color w:val="FC4C02"/>
                <w:u w:val="none"/>
                <w:effect w:val="none"/>
              </w:rPr>
              <w:t xml:space="preserve">› 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Analyses on track toward the next milestone</w:t>
            </w:r>
          </w:p>
        </w:tc>
      </w:tr>
      <w:tr>
        <w:trPr/>
        <w:tc>
          <w:tcPr>
            <w:tcW w:w="133" w:type="dxa"/>
            <w:tcBorders/>
            <w:shd w:fill="E5E5E5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937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90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45" w:type="dxa"/>
            <w:gridSpan w:val="3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Target Achievement</w:t>
            </w:r>
          </w:p>
        </w:tc>
      </w:tr>
      <w:tr>
        <w:trPr/>
        <w:tc>
          <w:tcPr>
            <w:tcW w:w="133" w:type="dxa"/>
            <w:tcBorders/>
            <w:shd w:fill="E5E5E5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937" w:type="dxa"/>
            <w:tcBorders>
              <w:top w:val="single" w:sz="4" w:space="0" w:color="B6B6B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STELLAR-305 Data to inform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Phase 2/3 decision</w:t>
            </w:r>
          </w:p>
        </w:tc>
        <w:tc>
          <w:tcPr>
            <w:tcW w:w="2490" w:type="dxa"/>
            <w:tcBorders>
              <w:top w:val="single" w:sz="4" w:space="0" w:color="B6B6B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IDMC recommendation of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‘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Go’ to Phase 3</w:t>
            </w:r>
          </w:p>
        </w:tc>
        <w:tc>
          <w:tcPr>
            <w:tcW w:w="4645" w:type="dxa"/>
            <w:gridSpan w:val="3"/>
            <w:tcBorders>
              <w:top w:val="single" w:sz="4" w:space="0" w:color="B6B6B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›</w:t>
            </w:r>
            <w:r>
              <w:rPr>
                <w:caps w:val="false"/>
                <w:smallCaps w:val="false"/>
                <w:strike w:val="false"/>
                <w:dstrike w:val="false"/>
                <w:color w:val="FC4C02"/>
                <w:u w:val="none"/>
                <w:effect w:val="none"/>
              </w:rPr>
              <w:t>›</w:t>
            </w: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 xml:space="preserve"> 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Data supported a No</w:t>
              <w:noBreakHyphen/>
              <w:t xml:space="preserve">Go outcome, enabling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resource focus on higher</w:t>
              <w:noBreakHyphen/>
              <w:t>value indications</w:t>
            </w:r>
          </w:p>
        </w:tc>
      </w:tr>
      <w:tr>
        <w:trPr/>
        <w:tc>
          <w:tcPr>
            <w:tcW w:w="133" w:type="dxa"/>
            <w:tcBorders/>
            <w:shd w:fill="E5E5E5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937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90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45" w:type="dxa"/>
            <w:gridSpan w:val="3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Below Target Achievement</w:t>
            </w:r>
          </w:p>
        </w:tc>
      </w:tr>
      <w:tr>
        <w:trPr/>
        <w:tc>
          <w:tcPr>
            <w:tcW w:w="133" w:type="dxa"/>
            <w:tcBorders/>
            <w:shd w:fill="E5E5E5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937" w:type="dxa"/>
            <w:tcBorders>
              <w:top w:val="single" w:sz="4" w:space="0" w:color="B6B6B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STELLAR-311 First site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activation or First Patient In</w:t>
            </w:r>
          </w:p>
        </w:tc>
        <w:tc>
          <w:tcPr>
            <w:tcW w:w="2490" w:type="dxa"/>
            <w:tcBorders>
              <w:top w:val="single" w:sz="4" w:space="0" w:color="B6B6B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Enroll prespecified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number of patients</w:t>
            </w:r>
          </w:p>
        </w:tc>
        <w:tc>
          <w:tcPr>
            <w:tcW w:w="4645" w:type="dxa"/>
            <w:gridSpan w:val="3"/>
            <w:tcBorders>
              <w:top w:val="single" w:sz="4" w:space="0" w:color="B6B6B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›</w:t>
            </w:r>
            <w:r>
              <w:rPr>
                <w:caps w:val="false"/>
                <w:smallCaps w:val="false"/>
                <w:strike w:val="false"/>
                <w:dstrike w:val="false"/>
                <w:color w:val="FC4C02"/>
                <w:u w:val="none"/>
                <w:effect w:val="none"/>
              </w:rPr>
              <w:t>›</w:t>
            </w: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 xml:space="preserve"> 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Trial initiated and enrolling</w:t>
            </w:r>
          </w:p>
        </w:tc>
      </w:tr>
      <w:tr>
        <w:trPr/>
        <w:tc>
          <w:tcPr>
            <w:tcW w:w="133" w:type="dxa"/>
            <w:tcBorders/>
            <w:shd w:fill="E5E5E5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937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90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45" w:type="dxa"/>
            <w:gridSpan w:val="3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Target Achievement</w:t>
            </w:r>
          </w:p>
        </w:tc>
      </w:tr>
      <w:tr>
        <w:trPr/>
        <w:tc>
          <w:tcPr>
            <w:tcW w:w="133" w:type="dxa"/>
            <w:tcBorders/>
            <w:shd w:fill="E5E5E5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937" w:type="dxa"/>
            <w:tcBorders>
              <w:top w:val="single" w:sz="4" w:space="0" w:color="B6B6B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Propose one new pivotal study</w:t>
            </w:r>
          </w:p>
        </w:tc>
        <w:tc>
          <w:tcPr>
            <w:tcW w:w="2490" w:type="dxa"/>
            <w:tcBorders>
              <w:top w:val="single" w:sz="4" w:space="0" w:color="B6B6B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Propose two new pivotal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studies</w:t>
            </w:r>
          </w:p>
        </w:tc>
        <w:tc>
          <w:tcPr>
            <w:tcW w:w="4645" w:type="dxa"/>
            <w:gridSpan w:val="3"/>
            <w:tcBorders>
              <w:top w:val="single" w:sz="4" w:space="0" w:color="B6B6B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›</w:t>
            </w:r>
            <w:r>
              <w:rPr>
                <w:caps w:val="false"/>
                <w:smallCaps w:val="false"/>
                <w:strike w:val="false"/>
                <w:dstrike w:val="false"/>
                <w:color w:val="FC4C02"/>
                <w:u w:val="none"/>
                <w:effect w:val="none"/>
              </w:rPr>
              <w:t xml:space="preserve">› 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Two new studies advanced (STELLAR-311,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STELLAR-201), broadening late</w:t>
              <w:noBreakHyphen/>
              <w:t>stage optionality</w:t>
            </w:r>
          </w:p>
        </w:tc>
      </w:tr>
      <w:tr>
        <w:trPr/>
        <w:tc>
          <w:tcPr>
            <w:tcW w:w="133" w:type="dxa"/>
            <w:tcBorders/>
            <w:shd w:fill="E5E5E5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937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90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45" w:type="dxa"/>
            <w:gridSpan w:val="3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Above Target Achievement</w:t>
            </w:r>
          </w:p>
        </w:tc>
      </w:tr>
      <w:tr>
        <w:trPr/>
        <w:tc>
          <w:tcPr>
            <w:tcW w:w="133" w:type="dxa"/>
            <w:tcBorders/>
            <w:shd w:fill="E5E5E5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937" w:type="dxa"/>
            <w:tcBorders>
              <w:top w:val="single" w:sz="4" w:space="0" w:color="B6B6B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2026 launch preparation: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Complete key pre-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commercialization and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manufacturing readiness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activities and launch planning</w:t>
            </w:r>
          </w:p>
        </w:tc>
        <w:tc>
          <w:tcPr>
            <w:tcW w:w="2490" w:type="dxa"/>
            <w:tcBorders>
              <w:top w:val="single" w:sz="4" w:space="0" w:color="B6B6B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45" w:type="dxa"/>
            <w:gridSpan w:val="3"/>
            <w:tcBorders>
              <w:top w:val="single" w:sz="4" w:space="0" w:color="B6B6B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›</w:t>
            </w:r>
            <w:r>
              <w:rPr>
                <w:caps w:val="false"/>
                <w:smallCaps w:val="false"/>
                <w:strike w:val="false"/>
                <w:dstrike w:val="false"/>
                <w:color w:val="FC4C02"/>
                <w:u w:val="none"/>
                <w:effect w:val="none"/>
              </w:rPr>
              <w:t xml:space="preserve">› 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Manufacturing readiness, branding, and launch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planning advanced, positioning for potential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2026 launch </w:t>
            </w:r>
          </w:p>
        </w:tc>
      </w:tr>
      <w:tr>
        <w:trPr/>
        <w:tc>
          <w:tcPr>
            <w:tcW w:w="133" w:type="dxa"/>
            <w:tcBorders/>
            <w:shd w:fill="E5E5E5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93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4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Above Target Achievement</w:t>
            </w:r>
          </w:p>
        </w:tc>
      </w:tr>
      <w:tr>
        <w:trPr/>
        <w:tc>
          <w:tcPr>
            <w:tcW w:w="3070" w:type="dxa"/>
            <w:gridSpan w:val="2"/>
            <w:tcBorders>
              <w:bottom w:val="single" w:sz="8" w:space="0" w:color="000000"/>
            </w:tcBorders>
            <w:shd w:fill="E5E5E5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2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28"/>
                <w:u w:val="none"/>
                <w:effect w:val="none"/>
              </w:rPr>
              <w:t>XL309</w:t>
            </w:r>
          </w:p>
        </w:tc>
        <w:tc>
          <w:tcPr>
            <w:tcW w:w="2490" w:type="dxa"/>
            <w:tcBorders>
              <w:bottom w:val="single" w:sz="8" w:space="0" w:color="000000"/>
            </w:tcBorders>
            <w:shd w:fill="E5E5E5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85" w:type="dxa"/>
            <w:tcBorders>
              <w:bottom w:val="single" w:sz="8" w:space="0" w:color="000000"/>
            </w:tcBorders>
            <w:shd w:fill="E5E5E5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4" w:type="dxa"/>
            <w:tcBorders>
              <w:bottom w:val="single" w:sz="8" w:space="0" w:color="000000"/>
            </w:tcBorders>
            <w:shd w:fill="E5E5E5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2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28"/>
                <w:u w:val="none"/>
                <w:effect w:val="none"/>
              </w:rPr>
              <w:t>10%</w:t>
            </w:r>
          </w:p>
        </w:tc>
        <w:tc>
          <w:tcPr>
            <w:tcW w:w="1926" w:type="dxa"/>
            <w:tcBorders>
              <w:bottom w:val="single" w:sz="8" w:space="0" w:color="000000"/>
            </w:tcBorders>
            <w:shd w:fill="E5E5E5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2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28"/>
                <w:u w:val="none"/>
                <w:effect w:val="none"/>
              </w:rPr>
              <w:t>6.0%</w:t>
            </w:r>
          </w:p>
        </w:tc>
      </w:tr>
      <w:tr>
        <w:trPr/>
        <w:tc>
          <w:tcPr>
            <w:tcW w:w="133" w:type="dxa"/>
            <w:tcBorders>
              <w:top w:val="single" w:sz="8" w:space="0" w:color="000000"/>
            </w:tcBorders>
            <w:shd w:fill="E5E5E5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937" w:type="dxa"/>
            <w:tcBorders>
              <w:top w:val="single" w:sz="8" w:space="0" w:color="000000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Target</w:t>
            </w:r>
          </w:p>
        </w:tc>
        <w:tc>
          <w:tcPr>
            <w:tcW w:w="2490" w:type="dxa"/>
            <w:tcBorders>
              <w:top w:val="single" w:sz="8" w:space="0" w:color="000000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Maximum</w:t>
            </w:r>
          </w:p>
        </w:tc>
        <w:tc>
          <w:tcPr>
            <w:tcW w:w="1685" w:type="dxa"/>
            <w:tcBorders>
              <w:top w:val="single" w:sz="8" w:space="0" w:color="000000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4" w:type="dxa"/>
            <w:tcBorders>
              <w:top w:val="single" w:sz="8" w:space="0" w:color="000000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26" w:type="dxa"/>
            <w:tcBorders>
              <w:top w:val="single" w:sz="8" w:space="0" w:color="000000"/>
              <w:bottom w:val="single" w:sz="4" w:space="0" w:color="B6B6B6"/>
              <w:right w:val="single" w:sz="8" w:space="0" w:color="B6B6B6"/>
            </w:tcBorders>
            <w:tcMar>
              <w:lef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33" w:type="dxa"/>
            <w:tcBorders/>
            <w:shd w:fill="E5E5E5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937" w:type="dxa"/>
            <w:tcBorders>
              <w:top w:val="single" w:sz="4" w:space="0" w:color="B6B6B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Select recommended dose for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monotherapy dose expansion</w:t>
            </w:r>
          </w:p>
        </w:tc>
        <w:tc>
          <w:tcPr>
            <w:tcW w:w="2490" w:type="dxa"/>
            <w:tcBorders>
              <w:top w:val="single" w:sz="4" w:space="0" w:color="B6B6B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Initiate dose expansion</w:t>
            </w:r>
          </w:p>
        </w:tc>
        <w:tc>
          <w:tcPr>
            <w:tcW w:w="4645" w:type="dxa"/>
            <w:gridSpan w:val="3"/>
            <w:tcBorders>
              <w:top w:val="single" w:sz="4" w:space="0" w:color="B6B6B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›</w:t>
            </w:r>
            <w:r>
              <w:rPr>
                <w:caps w:val="false"/>
                <w:smallCaps w:val="false"/>
                <w:strike w:val="false"/>
                <w:dstrike w:val="false"/>
                <w:color w:val="FC4C02"/>
                <w:u w:val="none"/>
                <w:effect w:val="none"/>
              </w:rPr>
              <w:t xml:space="preserve">› 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Recommended dose selected</w:t>
            </w:r>
          </w:p>
        </w:tc>
      </w:tr>
      <w:tr>
        <w:trPr/>
        <w:tc>
          <w:tcPr>
            <w:tcW w:w="133" w:type="dxa"/>
            <w:tcBorders/>
            <w:shd w:fill="E5E5E5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937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90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45" w:type="dxa"/>
            <w:gridSpan w:val="3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Target Achievement</w:t>
            </w:r>
          </w:p>
        </w:tc>
      </w:tr>
      <w:tr>
        <w:trPr/>
        <w:tc>
          <w:tcPr>
            <w:tcW w:w="133" w:type="dxa"/>
            <w:tcBorders/>
            <w:shd w:fill="E5E5E5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937" w:type="dxa"/>
            <w:tcBorders>
              <w:top w:val="single" w:sz="4" w:space="0" w:color="B6B6B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Select recommended dose for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XL309 + olaparib expansion/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Ph2 by YE</w:t>
            </w:r>
          </w:p>
        </w:tc>
        <w:tc>
          <w:tcPr>
            <w:tcW w:w="2490" w:type="dxa"/>
            <w:tcBorders>
              <w:top w:val="single" w:sz="4" w:space="0" w:color="B6B6B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Initiate combo dose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expansion or achieve FSA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for Ph 2 study</w:t>
            </w:r>
          </w:p>
        </w:tc>
        <w:tc>
          <w:tcPr>
            <w:tcW w:w="4645" w:type="dxa"/>
            <w:gridSpan w:val="3"/>
            <w:tcBorders>
              <w:top w:val="single" w:sz="4" w:space="0" w:color="B6B6B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›</w:t>
            </w:r>
            <w:r>
              <w:rPr>
                <w:caps w:val="false"/>
                <w:smallCaps w:val="false"/>
                <w:strike w:val="false"/>
                <w:dstrike w:val="false"/>
                <w:color w:val="FC4C02"/>
                <w:u w:val="none"/>
                <w:effect w:val="none"/>
              </w:rPr>
              <w:t xml:space="preserve">› 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Recommended dose selected</w:t>
            </w:r>
          </w:p>
        </w:tc>
      </w:tr>
      <w:tr>
        <w:trPr/>
        <w:tc>
          <w:tcPr>
            <w:tcW w:w="133" w:type="dxa"/>
            <w:tcBorders/>
            <w:shd w:fill="E5E5E5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93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4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Below Target Achievement</w:t>
            </w:r>
          </w:p>
        </w:tc>
      </w:tr>
      <w:tr>
        <w:trPr/>
        <w:tc>
          <w:tcPr>
            <w:tcW w:w="5560" w:type="dxa"/>
            <w:gridSpan w:val="3"/>
            <w:tcBorders>
              <w:bottom w:val="single" w:sz="8" w:space="0" w:color="000000"/>
            </w:tcBorders>
            <w:shd w:fill="E5E5E5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2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28"/>
                <w:u w:val="none"/>
                <w:effect w:val="none"/>
              </w:rPr>
              <w:t>XL495/XB010/Early Clinical Development</w:t>
            </w:r>
          </w:p>
        </w:tc>
        <w:tc>
          <w:tcPr>
            <w:tcW w:w="1685" w:type="dxa"/>
            <w:tcBorders>
              <w:bottom w:val="single" w:sz="8" w:space="0" w:color="020202"/>
            </w:tcBorders>
            <w:shd w:fill="E5E5E5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4" w:type="dxa"/>
            <w:tcBorders>
              <w:bottom w:val="single" w:sz="8" w:space="0" w:color="020202"/>
            </w:tcBorders>
            <w:shd w:fill="E5E5E5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2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28"/>
                <w:u w:val="none"/>
                <w:effect w:val="none"/>
              </w:rPr>
              <w:t>5%</w:t>
            </w:r>
          </w:p>
        </w:tc>
        <w:tc>
          <w:tcPr>
            <w:tcW w:w="1926" w:type="dxa"/>
            <w:tcBorders>
              <w:bottom w:val="single" w:sz="8" w:space="0" w:color="020202"/>
            </w:tcBorders>
            <w:shd w:fill="E5E5E5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2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28"/>
                <w:u w:val="none"/>
                <w:effect w:val="none"/>
              </w:rPr>
              <w:t>7.5%</w:t>
            </w:r>
          </w:p>
        </w:tc>
      </w:tr>
      <w:tr>
        <w:trPr/>
        <w:tc>
          <w:tcPr>
            <w:tcW w:w="133" w:type="dxa"/>
            <w:tcBorders>
              <w:top w:val="single" w:sz="8" w:space="0" w:color="000000"/>
            </w:tcBorders>
            <w:shd w:fill="E5E5E5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937" w:type="dxa"/>
            <w:tcBorders>
              <w:top w:val="single" w:sz="8" w:space="0" w:color="000000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Target</w:t>
            </w:r>
          </w:p>
        </w:tc>
        <w:tc>
          <w:tcPr>
            <w:tcW w:w="2490" w:type="dxa"/>
            <w:tcBorders>
              <w:top w:val="single" w:sz="8" w:space="0" w:color="000000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Maximum</w:t>
            </w:r>
          </w:p>
        </w:tc>
        <w:tc>
          <w:tcPr>
            <w:tcW w:w="1685" w:type="dxa"/>
            <w:tcBorders>
              <w:top w:val="single" w:sz="8" w:space="0" w:color="020202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4" w:type="dxa"/>
            <w:tcBorders>
              <w:top w:val="single" w:sz="8" w:space="0" w:color="020202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26" w:type="dxa"/>
            <w:tcBorders>
              <w:top w:val="single" w:sz="8" w:space="0" w:color="020202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33" w:type="dxa"/>
            <w:tcBorders/>
            <w:shd w:fill="E5E5E5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937" w:type="dxa"/>
            <w:tcBorders>
              <w:top w:val="single" w:sz="4" w:space="0" w:color="B6B6B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XL495 efficacious-dose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exposure OR XB010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monotherapy max tolerated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dose/max-administered dose</w:t>
            </w:r>
          </w:p>
        </w:tc>
        <w:tc>
          <w:tcPr>
            <w:tcW w:w="2490" w:type="dxa"/>
            <w:tcBorders>
              <w:top w:val="single" w:sz="4" w:space="0" w:color="B6B6B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Determine XL495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recommended dose for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combination testing or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initiate XB010 expansion</w:t>
            </w:r>
          </w:p>
        </w:tc>
        <w:tc>
          <w:tcPr>
            <w:tcW w:w="4645" w:type="dxa"/>
            <w:gridSpan w:val="3"/>
            <w:tcBorders>
              <w:top w:val="single" w:sz="4" w:space="0" w:color="B6B6B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›</w:t>
            </w:r>
            <w:r>
              <w:rPr>
                <w:caps w:val="false"/>
                <w:smallCaps w:val="false"/>
                <w:strike w:val="false"/>
                <w:dstrike w:val="false"/>
                <w:color w:val="FC4C01"/>
                <w:u w:val="none"/>
                <w:effect w:val="none"/>
              </w:rPr>
              <w:t>›</w:t>
            </w: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 xml:space="preserve"> 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XB010 advanced into expansion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›</w:t>
            </w:r>
            <w:r>
              <w:rPr>
                <w:caps w:val="false"/>
                <w:smallCaps w:val="false"/>
                <w:strike w:val="false"/>
                <w:dstrike w:val="false"/>
                <w:color w:val="FC4C01"/>
                <w:u w:val="none"/>
                <w:effect w:val="none"/>
              </w:rPr>
              <w:t>›</w:t>
            </w: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 xml:space="preserve"> 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XL495 discontinued, focusing resources on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higher</w:t>
              <w:noBreakHyphen/>
              <w:t>potential assets</w:t>
            </w:r>
          </w:p>
        </w:tc>
      </w:tr>
      <w:tr>
        <w:trPr/>
        <w:tc>
          <w:tcPr>
            <w:tcW w:w="133" w:type="dxa"/>
            <w:tcBorders/>
            <w:shd w:fill="E5E5E5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937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90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45" w:type="dxa"/>
            <w:gridSpan w:val="3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Above Target Achievement</w:t>
            </w:r>
          </w:p>
        </w:tc>
      </w:tr>
      <w:tr>
        <w:trPr/>
        <w:tc>
          <w:tcPr>
            <w:tcW w:w="133" w:type="dxa"/>
            <w:tcBorders/>
            <w:shd w:fill="E5E5E5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937" w:type="dxa"/>
            <w:tcBorders>
              <w:top w:val="single" w:sz="4" w:space="0" w:color="B6B6B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First site activation (FSA) for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XB628 </w:t>
            </w:r>
          </w:p>
        </w:tc>
        <w:tc>
          <w:tcPr>
            <w:tcW w:w="2490" w:type="dxa"/>
            <w:tcBorders>
              <w:top w:val="single" w:sz="4" w:space="0" w:color="B6B6B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Achieve FPI for ≥1 IND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and FSA for a second IND</w:t>
            </w:r>
          </w:p>
        </w:tc>
        <w:tc>
          <w:tcPr>
            <w:tcW w:w="4645" w:type="dxa"/>
            <w:gridSpan w:val="3"/>
            <w:tcBorders>
              <w:top w:val="single" w:sz="4" w:space="0" w:color="B6B6B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›</w:t>
            </w:r>
            <w:r>
              <w:rPr>
                <w:caps w:val="false"/>
                <w:smallCaps w:val="false"/>
                <w:strike w:val="false"/>
                <w:dstrike w:val="false"/>
                <w:color w:val="FC4C01"/>
                <w:u w:val="none"/>
                <w:effect w:val="none"/>
              </w:rPr>
              <w:t>›</w:t>
            </w: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 xml:space="preserve"> 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XB628: FSA and FPI achieved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›</w:t>
            </w:r>
            <w:r>
              <w:rPr>
                <w:caps w:val="false"/>
                <w:smallCaps w:val="false"/>
                <w:strike w:val="false"/>
                <w:dstrike w:val="false"/>
                <w:color w:val="FC4C01"/>
                <w:u w:val="none"/>
                <w:effect w:val="none"/>
              </w:rPr>
              <w:t>›</w:t>
            </w: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 xml:space="preserve"> 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XL371: FSA and FPI achieved </w:t>
            </w:r>
          </w:p>
        </w:tc>
      </w:tr>
      <w:tr>
        <w:trPr/>
        <w:tc>
          <w:tcPr>
            <w:tcW w:w="133" w:type="dxa"/>
            <w:tcBorders>
              <w:bottom w:val="single" w:sz="4" w:space="0" w:color="B2B2B2"/>
            </w:tcBorders>
            <w:shd w:fill="E5E5E5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937" w:type="dxa"/>
            <w:tcBorders>
              <w:bottom w:val="single" w:sz="4" w:space="0" w:color="B2B2B2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90" w:type="dxa"/>
            <w:tcBorders>
              <w:bottom w:val="single" w:sz="4" w:space="0" w:color="B2B2B2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45" w:type="dxa"/>
            <w:gridSpan w:val="3"/>
            <w:tcBorders>
              <w:bottom w:val="single" w:sz="4" w:space="0" w:color="B2B2B2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Above Target Achievement</w:t>
            </w:r>
          </w:p>
        </w:tc>
      </w:tr>
    </w:tbl>
    <w:tbl>
      <w:tblPr>
        <w:tblW w:w="256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176"/>
        <w:gridCol w:w="391"/>
      </w:tblGrid>
      <w:tr>
        <w:trPr/>
        <w:tc>
          <w:tcPr>
            <w:tcW w:w="21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7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40404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404040"/>
                <w:sz w:val="18"/>
                <w:u w:val="none"/>
                <w:effect w:val="none"/>
              </w:rPr>
              <w:t>2026 Proxy Statement</w:t>
            </w:r>
          </w:p>
        </w:tc>
        <w:tc>
          <w:tcPr>
            <w:tcW w:w="39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  <w:t>77</w:t>
            </w:r>
          </w:p>
        </w:tc>
      </w:tr>
    </w:tbl>
    <w:tbl>
      <w:tblPr>
        <w:tblW w:w="823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696"/>
        <w:gridCol w:w="6541"/>
      </w:tblGrid>
      <w:tr>
        <w:trPr/>
        <w:tc>
          <w:tcPr>
            <w:tcW w:w="16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5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9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6d44722bfc2543dbbba9716d9e560c58_16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color w:val="0000FF"/>
                  <w:sz w:val="18"/>
                  <w:u w:val="single"/>
                </w:rPr>
                <w:t>Table of Contents</w:t>
              </w:r>
            </w:hyperlink>
          </w:p>
        </w:tc>
        <w:tc>
          <w:tcPr>
            <w:tcW w:w="654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2025 Compensation Decisions</w:t>
            </w:r>
            <w:r>
              <w:rPr>
                <w:caps w:val="false"/>
                <w:smallCaps w:val="false"/>
                <w:strike w:val="false"/>
                <w:dstrike w:val="false"/>
                <w:color w:val="F47521"/>
                <w:u w:val="none"/>
                <w:effect w:val="none"/>
              </w:rPr>
              <w:t xml:space="preserve">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  <w:t>|</w:t>
            </w: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 xml:space="preserve">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Compensation Discussion and Analysis</w:t>
            </w:r>
          </w:p>
        </w:tc>
      </w:tr>
    </w:tbl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34"/>
        <w:gridCol w:w="3178"/>
        <w:gridCol w:w="2182"/>
        <w:gridCol w:w="1690"/>
        <w:gridCol w:w="1052"/>
        <w:gridCol w:w="1969"/>
      </w:tblGrid>
      <w:tr>
        <w:trPr/>
        <w:tc>
          <w:tcPr>
            <w:tcW w:w="13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7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8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6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34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360" w:type="dxa"/>
            <w:gridSpan w:val="2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PERFORMANCE OBJECTIVES</w:t>
            </w:r>
          </w:p>
        </w:tc>
        <w:tc>
          <w:tcPr>
            <w:tcW w:w="1690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ACHIEVEMENTS</w:t>
            </w:r>
          </w:p>
        </w:tc>
        <w:tc>
          <w:tcPr>
            <w:tcW w:w="1052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TARGET %</w:t>
            </w:r>
          </w:p>
        </w:tc>
        <w:tc>
          <w:tcPr>
            <w:tcW w:w="1969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ACHIEVEMENT %</w:t>
            </w:r>
            <w:r>
              <w:rPr>
                <w:caps w:val="false"/>
                <w:smallCaps w:val="false"/>
                <w:strike w:val="false"/>
                <w:dstrike w:val="false"/>
                <w:color w:val="FFFFFF"/>
                <w:u w:val="none"/>
                <w:effect w:val="none"/>
              </w:rPr>
              <w:t xml:space="preserve"> </w:t>
            </w: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(1)</w:t>
            </w:r>
          </w:p>
        </w:tc>
      </w:tr>
      <w:tr>
        <w:trPr/>
        <w:tc>
          <w:tcPr>
            <w:tcW w:w="3312" w:type="dxa"/>
            <w:gridSpan w:val="2"/>
            <w:tcBorders>
              <w:top w:val="single" w:sz="4" w:space="0" w:color="B2B2B2"/>
              <w:bottom w:val="single" w:sz="8" w:space="0" w:color="242424"/>
            </w:tcBorders>
            <w:shd w:fill="E5E5E5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2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28"/>
                <w:u w:val="none"/>
                <w:effect w:val="none"/>
              </w:rPr>
              <w:t>Clinical Collaborations</w:t>
            </w:r>
          </w:p>
        </w:tc>
        <w:tc>
          <w:tcPr>
            <w:tcW w:w="2182" w:type="dxa"/>
            <w:tcBorders>
              <w:top w:val="single" w:sz="4" w:space="0" w:color="B2B2B2"/>
              <w:bottom w:val="single" w:sz="8" w:space="0" w:color="242424"/>
            </w:tcBorders>
            <w:shd w:fill="E5E5E5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90" w:type="dxa"/>
            <w:tcBorders>
              <w:top w:val="single" w:sz="4" w:space="0" w:color="B2B2B2"/>
              <w:bottom w:val="single" w:sz="8" w:space="0" w:color="242424"/>
            </w:tcBorders>
            <w:shd w:fill="E5E5E5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2" w:type="dxa"/>
            <w:tcBorders>
              <w:top w:val="single" w:sz="4" w:space="0" w:color="B2B2B2"/>
              <w:bottom w:val="single" w:sz="8" w:space="0" w:color="242424"/>
            </w:tcBorders>
            <w:shd w:fill="E5E5E5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2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28"/>
                <w:u w:val="none"/>
                <w:effect w:val="none"/>
              </w:rPr>
              <w:t>5%</w:t>
            </w:r>
          </w:p>
        </w:tc>
        <w:tc>
          <w:tcPr>
            <w:tcW w:w="1969" w:type="dxa"/>
            <w:tcBorders>
              <w:top w:val="single" w:sz="4" w:space="0" w:color="B2B2B2"/>
              <w:bottom w:val="single" w:sz="8" w:space="0" w:color="242424"/>
            </w:tcBorders>
            <w:shd w:fill="E5E5E5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2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28"/>
                <w:u w:val="none"/>
                <w:effect w:val="none"/>
              </w:rPr>
              <w:t>6.5%</w:t>
            </w:r>
          </w:p>
        </w:tc>
      </w:tr>
      <w:tr>
        <w:trPr/>
        <w:tc>
          <w:tcPr>
            <w:tcW w:w="134" w:type="dxa"/>
            <w:tcBorders>
              <w:top w:val="single" w:sz="8" w:space="0" w:color="242424"/>
            </w:tcBorders>
            <w:shd w:fill="E5E5E5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78" w:type="dxa"/>
            <w:tcBorders>
              <w:top w:val="single" w:sz="8" w:space="0" w:color="242424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Target</w:t>
            </w:r>
          </w:p>
        </w:tc>
        <w:tc>
          <w:tcPr>
            <w:tcW w:w="2182" w:type="dxa"/>
            <w:tcBorders>
              <w:top w:val="single" w:sz="8" w:space="0" w:color="242424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Maximum</w:t>
            </w:r>
          </w:p>
        </w:tc>
        <w:tc>
          <w:tcPr>
            <w:tcW w:w="1690" w:type="dxa"/>
            <w:tcBorders>
              <w:top w:val="single" w:sz="8" w:space="0" w:color="242424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2" w:type="dxa"/>
            <w:tcBorders>
              <w:top w:val="single" w:sz="8" w:space="0" w:color="242424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69" w:type="dxa"/>
            <w:tcBorders>
              <w:top w:val="single" w:sz="8" w:space="0" w:color="242424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34" w:type="dxa"/>
            <w:tcBorders/>
            <w:shd w:fill="E5E5E5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78" w:type="dxa"/>
            <w:tcBorders>
              <w:top w:val="single" w:sz="4" w:space="0" w:color="B6B6B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Enable phase 2 start for Merck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collaboration</w:t>
            </w:r>
          </w:p>
        </w:tc>
        <w:tc>
          <w:tcPr>
            <w:tcW w:w="2182" w:type="dxa"/>
            <w:tcBorders>
              <w:top w:val="single" w:sz="4" w:space="0" w:color="B6B6B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Enable a phase 3 IND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submission</w:t>
            </w:r>
          </w:p>
        </w:tc>
        <w:tc>
          <w:tcPr>
            <w:tcW w:w="4711" w:type="dxa"/>
            <w:gridSpan w:val="3"/>
            <w:tcBorders>
              <w:top w:val="single" w:sz="4" w:space="0" w:color="B6B6B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›</w:t>
            </w:r>
            <w:r>
              <w:rPr>
                <w:caps w:val="false"/>
                <w:smallCaps w:val="false"/>
                <w:strike w:val="false"/>
                <w:dstrike w:val="false"/>
                <w:color w:val="FC4C01"/>
                <w:u w:val="none"/>
                <w:effect w:val="none"/>
              </w:rPr>
              <w:t>›</w:t>
            </w: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 xml:space="preserve"> 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Phase 2 study initiated</w:t>
            </w:r>
          </w:p>
        </w:tc>
      </w:tr>
      <w:tr>
        <w:trPr/>
        <w:tc>
          <w:tcPr>
            <w:tcW w:w="134" w:type="dxa"/>
            <w:tcBorders/>
            <w:shd w:fill="E5E5E5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78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82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711" w:type="dxa"/>
            <w:gridSpan w:val="3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Above Target Achievement</w:t>
            </w:r>
          </w:p>
        </w:tc>
      </w:tr>
      <w:tr>
        <w:trPr/>
        <w:tc>
          <w:tcPr>
            <w:tcW w:w="134" w:type="dxa"/>
            <w:tcBorders/>
            <w:shd w:fill="E5E5E5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78" w:type="dxa"/>
            <w:tcBorders>
              <w:top w:val="single" w:sz="4" w:space="0" w:color="B6B6B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Sairopa B.V. (ADU-1805):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initiate monotherapy dose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expansion</w:t>
            </w:r>
          </w:p>
        </w:tc>
        <w:tc>
          <w:tcPr>
            <w:tcW w:w="2182" w:type="dxa"/>
            <w:tcBorders>
              <w:top w:val="single" w:sz="4" w:space="0" w:color="B6B6B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Determine dose for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combination expansion </w:t>
            </w:r>
          </w:p>
        </w:tc>
        <w:tc>
          <w:tcPr>
            <w:tcW w:w="4711" w:type="dxa"/>
            <w:gridSpan w:val="3"/>
            <w:tcBorders>
              <w:top w:val="single" w:sz="4" w:space="0" w:color="B6B6B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›</w:t>
            </w:r>
            <w:r>
              <w:rPr>
                <w:caps w:val="false"/>
                <w:smallCaps w:val="false"/>
                <w:strike w:val="false"/>
                <w:dstrike w:val="false"/>
                <w:color w:val="FC4C01"/>
                <w:u w:val="none"/>
                <w:effect w:val="none"/>
              </w:rPr>
              <w:t>›</w:t>
            </w: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 xml:space="preserve"> 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Monotherapy recommended phase 2 dose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(RP2D) established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›</w:t>
            </w:r>
            <w:r>
              <w:rPr>
                <w:caps w:val="false"/>
                <w:smallCaps w:val="false"/>
                <w:strike w:val="false"/>
                <w:dstrike w:val="false"/>
                <w:color w:val="FC4C01"/>
                <w:u w:val="none"/>
                <w:effect w:val="none"/>
              </w:rPr>
              <w:t>›</w:t>
            </w: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 xml:space="preserve"> 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RP2D for combination expansion achieved</w:t>
            </w:r>
          </w:p>
        </w:tc>
      </w:tr>
      <w:tr>
        <w:trPr/>
        <w:tc>
          <w:tcPr>
            <w:tcW w:w="134" w:type="dxa"/>
            <w:tcBorders/>
            <w:shd w:fill="E5E5E5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7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8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711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Target Achievement</w:t>
            </w:r>
          </w:p>
        </w:tc>
      </w:tr>
      <w:tr>
        <w:trPr/>
        <w:tc>
          <w:tcPr>
            <w:tcW w:w="3312" w:type="dxa"/>
            <w:gridSpan w:val="2"/>
            <w:tcBorders>
              <w:bottom w:val="single" w:sz="8" w:space="0" w:color="020202"/>
            </w:tcBorders>
            <w:shd w:fill="E5E5E5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2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28"/>
                <w:u w:val="none"/>
                <w:effect w:val="none"/>
              </w:rPr>
              <w:t>Business Development</w:t>
            </w:r>
          </w:p>
        </w:tc>
        <w:tc>
          <w:tcPr>
            <w:tcW w:w="2182" w:type="dxa"/>
            <w:tcBorders>
              <w:bottom w:val="single" w:sz="8" w:space="0" w:color="020202"/>
            </w:tcBorders>
            <w:shd w:fill="E5E5E5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90" w:type="dxa"/>
            <w:tcBorders>
              <w:bottom w:val="single" w:sz="8" w:space="0" w:color="020202"/>
            </w:tcBorders>
            <w:shd w:fill="E5E5E5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2" w:type="dxa"/>
            <w:tcBorders>
              <w:bottom w:val="single" w:sz="8" w:space="0" w:color="020202"/>
            </w:tcBorders>
            <w:shd w:fill="E5E5E5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2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28"/>
                <w:u w:val="none"/>
                <w:effect w:val="none"/>
              </w:rPr>
              <w:t>5%</w:t>
            </w:r>
          </w:p>
        </w:tc>
        <w:tc>
          <w:tcPr>
            <w:tcW w:w="1969" w:type="dxa"/>
            <w:tcBorders>
              <w:bottom w:val="single" w:sz="8" w:space="0" w:color="020202"/>
            </w:tcBorders>
            <w:shd w:fill="E5E5E5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2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28"/>
                <w:u w:val="none"/>
                <w:effect w:val="none"/>
              </w:rPr>
              <w:t>2.5%</w:t>
            </w:r>
          </w:p>
        </w:tc>
      </w:tr>
      <w:tr>
        <w:trPr/>
        <w:tc>
          <w:tcPr>
            <w:tcW w:w="134" w:type="dxa"/>
            <w:tcBorders>
              <w:top w:val="single" w:sz="8" w:space="0" w:color="020202"/>
            </w:tcBorders>
            <w:shd w:fill="E5E5E5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78" w:type="dxa"/>
            <w:tcBorders>
              <w:top w:val="single" w:sz="8" w:space="0" w:color="020202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Target</w:t>
            </w:r>
          </w:p>
        </w:tc>
        <w:tc>
          <w:tcPr>
            <w:tcW w:w="2182" w:type="dxa"/>
            <w:tcBorders>
              <w:top w:val="single" w:sz="8" w:space="0" w:color="020202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Maximum</w:t>
            </w:r>
          </w:p>
        </w:tc>
        <w:tc>
          <w:tcPr>
            <w:tcW w:w="1690" w:type="dxa"/>
            <w:tcBorders>
              <w:top w:val="single" w:sz="8" w:space="0" w:color="020202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2" w:type="dxa"/>
            <w:tcBorders>
              <w:top w:val="single" w:sz="8" w:space="0" w:color="020202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69" w:type="dxa"/>
            <w:tcBorders>
              <w:top w:val="single" w:sz="8" w:space="0" w:color="020202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34" w:type="dxa"/>
            <w:tcBorders/>
            <w:shd w:fill="E5E5E5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78" w:type="dxa"/>
            <w:tcBorders>
              <w:top w:val="single" w:sz="4" w:space="0" w:color="B6B6B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In</w:t>
              <w:noBreakHyphen/>
              <w:t>license/acquire a pre</w:t>
              <w:noBreakHyphen/>
              <w:t xml:space="preserve">clinical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to pre</w:t>
              <w:noBreakHyphen/>
              <w:t>POC asset</w:t>
            </w:r>
          </w:p>
        </w:tc>
        <w:tc>
          <w:tcPr>
            <w:tcW w:w="2182" w:type="dxa"/>
            <w:tcBorders>
              <w:top w:val="single" w:sz="4" w:space="0" w:color="B6B6B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711" w:type="dxa"/>
            <w:gridSpan w:val="3"/>
            <w:tcBorders>
              <w:top w:val="single" w:sz="4" w:space="0" w:color="B6B6B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›</w:t>
            </w:r>
            <w:r>
              <w:rPr>
                <w:caps w:val="false"/>
                <w:smallCaps w:val="false"/>
                <w:strike w:val="false"/>
                <w:dstrike w:val="false"/>
                <w:color w:val="FC4C01"/>
                <w:u w:val="none"/>
                <w:effect w:val="none"/>
              </w:rPr>
              <w:t>›</w:t>
            </w: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 xml:space="preserve"> 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Preclinical SSTR2 small molecule agonist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program acquired</w:t>
            </w:r>
          </w:p>
        </w:tc>
      </w:tr>
      <w:tr>
        <w:trPr/>
        <w:tc>
          <w:tcPr>
            <w:tcW w:w="134" w:type="dxa"/>
            <w:tcBorders/>
            <w:shd w:fill="E5E5E5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78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82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711" w:type="dxa"/>
            <w:gridSpan w:val="3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Target Achievement</w:t>
            </w:r>
          </w:p>
        </w:tc>
      </w:tr>
      <w:tr>
        <w:trPr/>
        <w:tc>
          <w:tcPr>
            <w:tcW w:w="134" w:type="dxa"/>
            <w:tcBorders/>
            <w:shd w:fill="E5E5E5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78" w:type="dxa"/>
            <w:tcBorders>
              <w:top w:val="single" w:sz="4" w:space="0" w:color="B6B6B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Establish a clinical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collaboration combination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pivotal trial(s) for zanzalintinib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with provision of free drug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and/or co-funding</w:t>
            </w:r>
          </w:p>
        </w:tc>
        <w:tc>
          <w:tcPr>
            <w:tcW w:w="2182" w:type="dxa"/>
            <w:tcBorders>
              <w:top w:val="single" w:sz="4" w:space="0" w:color="B6B6B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Two clinical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collaborations for free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drug and/or co-funding,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OR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In-license clinical stage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asset in later-stage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development</w:t>
            </w:r>
          </w:p>
        </w:tc>
        <w:tc>
          <w:tcPr>
            <w:tcW w:w="4711" w:type="dxa"/>
            <w:gridSpan w:val="3"/>
            <w:tcBorders>
              <w:top w:val="single" w:sz="4" w:space="0" w:color="B6B6B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›</w:t>
            </w:r>
            <w:r>
              <w:rPr>
                <w:caps w:val="false"/>
                <w:smallCaps w:val="false"/>
                <w:strike w:val="false"/>
                <w:dstrike w:val="false"/>
                <w:color w:val="FC4C01"/>
                <w:u w:val="none"/>
                <w:effect w:val="none"/>
              </w:rPr>
              <w:t>›</w:t>
            </w: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 xml:space="preserve"> 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Multiple partnering discussions around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zanzalintinib combination collaborations and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diligence for several clinical stage assets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continuing into 2026</w:t>
            </w:r>
          </w:p>
        </w:tc>
      </w:tr>
      <w:tr>
        <w:trPr/>
        <w:tc>
          <w:tcPr>
            <w:tcW w:w="134" w:type="dxa"/>
            <w:tcBorders/>
            <w:shd w:fill="E5E5E5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7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8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711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Below Target Achievement</w:t>
            </w:r>
          </w:p>
        </w:tc>
      </w:tr>
      <w:tr>
        <w:trPr/>
        <w:tc>
          <w:tcPr>
            <w:tcW w:w="3312" w:type="dxa"/>
            <w:gridSpan w:val="2"/>
            <w:tcBorders>
              <w:bottom w:val="single" w:sz="8" w:space="0" w:color="020202"/>
            </w:tcBorders>
            <w:shd w:fill="E5E5E5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2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28"/>
                <w:u w:val="none"/>
                <w:effect w:val="none"/>
              </w:rPr>
              <w:t>IND Candidates</w:t>
            </w:r>
          </w:p>
        </w:tc>
        <w:tc>
          <w:tcPr>
            <w:tcW w:w="2182" w:type="dxa"/>
            <w:tcBorders>
              <w:bottom w:val="single" w:sz="8" w:space="0" w:color="020202"/>
            </w:tcBorders>
            <w:shd w:fill="E5E5E5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90" w:type="dxa"/>
            <w:tcBorders>
              <w:bottom w:val="single" w:sz="8" w:space="0" w:color="020202"/>
            </w:tcBorders>
            <w:shd w:fill="E5E5E5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2" w:type="dxa"/>
            <w:tcBorders>
              <w:bottom w:val="single" w:sz="8" w:space="0" w:color="020202"/>
            </w:tcBorders>
            <w:shd w:fill="E5E5E5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2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28"/>
                <w:u w:val="none"/>
                <w:effect w:val="none"/>
              </w:rPr>
              <w:t>5%</w:t>
            </w:r>
          </w:p>
        </w:tc>
        <w:tc>
          <w:tcPr>
            <w:tcW w:w="1969" w:type="dxa"/>
            <w:tcBorders>
              <w:bottom w:val="single" w:sz="8" w:space="0" w:color="020202"/>
            </w:tcBorders>
            <w:shd w:fill="E5E5E5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2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28"/>
                <w:u w:val="none"/>
                <w:effect w:val="none"/>
              </w:rPr>
              <w:t>5.0%</w:t>
            </w:r>
          </w:p>
        </w:tc>
      </w:tr>
      <w:tr>
        <w:trPr/>
        <w:tc>
          <w:tcPr>
            <w:tcW w:w="134" w:type="dxa"/>
            <w:tcBorders>
              <w:top w:val="single" w:sz="8" w:space="0" w:color="020202"/>
            </w:tcBorders>
            <w:shd w:fill="E5E5E5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78" w:type="dxa"/>
            <w:tcBorders>
              <w:top w:val="single" w:sz="8" w:space="0" w:color="020202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Target</w:t>
            </w:r>
          </w:p>
        </w:tc>
        <w:tc>
          <w:tcPr>
            <w:tcW w:w="2182" w:type="dxa"/>
            <w:tcBorders>
              <w:top w:val="single" w:sz="8" w:space="0" w:color="020202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Maximum</w:t>
            </w:r>
          </w:p>
        </w:tc>
        <w:tc>
          <w:tcPr>
            <w:tcW w:w="1690" w:type="dxa"/>
            <w:tcBorders>
              <w:top w:val="single" w:sz="8" w:space="0" w:color="020202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2" w:type="dxa"/>
            <w:tcBorders>
              <w:top w:val="single" w:sz="8" w:space="0" w:color="020202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69" w:type="dxa"/>
            <w:tcBorders>
              <w:top w:val="single" w:sz="8" w:space="0" w:color="020202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34" w:type="dxa"/>
            <w:tcBorders/>
            <w:shd w:fill="E5E5E5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78" w:type="dxa"/>
            <w:tcBorders>
              <w:top w:val="single" w:sz="4" w:space="0" w:color="B6B6B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File two new INDs from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internal R&amp;D efforts or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existing/new collaborations</w:t>
            </w:r>
          </w:p>
        </w:tc>
        <w:tc>
          <w:tcPr>
            <w:tcW w:w="2182" w:type="dxa"/>
            <w:tcBorders>
              <w:top w:val="single" w:sz="4" w:space="0" w:color="B6B6B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File three new INDs </w:t>
            </w:r>
          </w:p>
        </w:tc>
        <w:tc>
          <w:tcPr>
            <w:tcW w:w="4711" w:type="dxa"/>
            <w:gridSpan w:val="3"/>
            <w:tcBorders>
              <w:top w:val="single" w:sz="4" w:space="0" w:color="B6B6B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›</w:t>
            </w:r>
            <w:r>
              <w:rPr>
                <w:caps w:val="false"/>
                <w:smallCaps w:val="false"/>
                <w:strike w:val="false"/>
                <w:dstrike w:val="false"/>
                <w:color w:val="FC4C02"/>
                <w:u w:val="none"/>
                <w:effect w:val="none"/>
              </w:rPr>
              <w:t xml:space="preserve">› 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XB628: IND filed in Feb 2025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›</w:t>
            </w:r>
            <w:r>
              <w:rPr>
                <w:caps w:val="false"/>
                <w:smallCaps w:val="false"/>
                <w:strike w:val="false"/>
                <w:dstrike w:val="false"/>
                <w:color w:val="FC4C02"/>
                <w:u w:val="none"/>
                <w:effect w:val="none"/>
              </w:rPr>
              <w:t xml:space="preserve">› 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XL371: IND filed in June 2025</w:t>
            </w:r>
          </w:p>
        </w:tc>
      </w:tr>
      <w:tr>
        <w:trPr/>
        <w:tc>
          <w:tcPr>
            <w:tcW w:w="134" w:type="dxa"/>
            <w:tcBorders/>
            <w:shd w:fill="E5E5E5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7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8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711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Target Achievement</w:t>
            </w:r>
          </w:p>
        </w:tc>
      </w:tr>
      <w:tr>
        <w:trPr/>
        <w:tc>
          <w:tcPr>
            <w:tcW w:w="3312" w:type="dxa"/>
            <w:gridSpan w:val="2"/>
            <w:tcBorders>
              <w:bottom w:val="single" w:sz="8" w:space="0" w:color="020202"/>
            </w:tcBorders>
            <w:shd w:fill="E5E5E5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2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28"/>
                <w:u w:val="none"/>
                <w:effect w:val="none"/>
              </w:rPr>
              <w:t>New DCs</w:t>
            </w:r>
          </w:p>
        </w:tc>
        <w:tc>
          <w:tcPr>
            <w:tcW w:w="2182" w:type="dxa"/>
            <w:tcBorders>
              <w:bottom w:val="single" w:sz="8" w:space="0" w:color="020202"/>
            </w:tcBorders>
            <w:shd w:fill="E5E5E5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90" w:type="dxa"/>
            <w:tcBorders>
              <w:bottom w:val="single" w:sz="8" w:space="0" w:color="020202"/>
            </w:tcBorders>
            <w:shd w:fill="E5E5E5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2" w:type="dxa"/>
            <w:tcBorders>
              <w:bottom w:val="single" w:sz="8" w:space="0" w:color="020202"/>
            </w:tcBorders>
            <w:shd w:fill="E5E5E5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2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28"/>
                <w:u w:val="none"/>
                <w:effect w:val="none"/>
              </w:rPr>
              <w:t>5%</w:t>
            </w:r>
          </w:p>
        </w:tc>
        <w:tc>
          <w:tcPr>
            <w:tcW w:w="1969" w:type="dxa"/>
            <w:tcBorders>
              <w:bottom w:val="single" w:sz="8" w:space="0" w:color="020202"/>
            </w:tcBorders>
            <w:shd w:fill="E5E5E5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2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28"/>
                <w:u w:val="none"/>
                <w:effect w:val="none"/>
              </w:rPr>
              <w:t>5.0%</w:t>
            </w:r>
          </w:p>
        </w:tc>
      </w:tr>
      <w:tr>
        <w:trPr/>
        <w:tc>
          <w:tcPr>
            <w:tcW w:w="134" w:type="dxa"/>
            <w:tcBorders>
              <w:top w:val="single" w:sz="8" w:space="0" w:color="020202"/>
            </w:tcBorders>
            <w:shd w:fill="E5E5E5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78" w:type="dxa"/>
            <w:tcBorders>
              <w:top w:val="single" w:sz="8" w:space="0" w:color="020202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424242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424242"/>
                <w:sz w:val="20"/>
                <w:u w:val="none"/>
                <w:effect w:val="none"/>
              </w:rPr>
              <w:t>Target</w:t>
            </w:r>
          </w:p>
        </w:tc>
        <w:tc>
          <w:tcPr>
            <w:tcW w:w="2182" w:type="dxa"/>
            <w:tcBorders>
              <w:top w:val="single" w:sz="8" w:space="0" w:color="020202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424242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424242"/>
                <w:sz w:val="20"/>
                <w:u w:val="none"/>
                <w:effect w:val="none"/>
              </w:rPr>
              <w:t>Maximum</w:t>
            </w:r>
          </w:p>
        </w:tc>
        <w:tc>
          <w:tcPr>
            <w:tcW w:w="1690" w:type="dxa"/>
            <w:tcBorders>
              <w:top w:val="single" w:sz="8" w:space="0" w:color="020202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2" w:type="dxa"/>
            <w:tcBorders>
              <w:top w:val="single" w:sz="8" w:space="0" w:color="020202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69" w:type="dxa"/>
            <w:tcBorders>
              <w:top w:val="single" w:sz="8" w:space="0" w:color="020202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34" w:type="dxa"/>
            <w:tcBorders/>
            <w:shd w:fill="E5E5E5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78" w:type="dxa"/>
            <w:tcBorders>
              <w:top w:val="single" w:sz="4" w:space="0" w:color="B6B6B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424242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424242"/>
                <w:sz w:val="20"/>
                <w:u w:val="none"/>
                <w:effect w:val="none"/>
              </w:rPr>
              <w:t xml:space="preserve">Advance up to two new DCs </w:t>
            </w:r>
          </w:p>
        </w:tc>
        <w:tc>
          <w:tcPr>
            <w:tcW w:w="2182" w:type="dxa"/>
            <w:tcBorders>
              <w:top w:val="single" w:sz="4" w:space="0" w:color="B6B6B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424242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424242"/>
                <w:sz w:val="20"/>
                <w:u w:val="none"/>
                <w:effect w:val="none"/>
              </w:rPr>
              <w:t xml:space="preserve">Advance up to three new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424242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424242"/>
                <w:sz w:val="20"/>
                <w:u w:val="none"/>
                <w:effect w:val="none"/>
              </w:rPr>
              <w:t>DCs</w:t>
            </w:r>
          </w:p>
        </w:tc>
        <w:tc>
          <w:tcPr>
            <w:tcW w:w="4711" w:type="dxa"/>
            <w:gridSpan w:val="3"/>
            <w:tcBorders>
              <w:top w:val="single" w:sz="4" w:space="0" w:color="B6B6B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›</w:t>
            </w:r>
            <w:r>
              <w:rPr>
                <w:caps w:val="false"/>
                <w:smallCaps w:val="false"/>
                <w:strike w:val="false"/>
                <w:dstrike w:val="false"/>
                <w:color w:val="FC4C02"/>
                <w:u w:val="none"/>
                <w:effect w:val="none"/>
              </w:rPr>
              <w:t xml:space="preserve">› 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Two new DCs designated, strengthening future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pipeline depth</w:t>
            </w:r>
          </w:p>
        </w:tc>
      </w:tr>
      <w:tr>
        <w:trPr/>
        <w:tc>
          <w:tcPr>
            <w:tcW w:w="134" w:type="dxa"/>
            <w:tcBorders/>
            <w:shd w:fill="E5E5E5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7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8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711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Target Achievement</w:t>
            </w:r>
          </w:p>
        </w:tc>
      </w:tr>
      <w:tr>
        <w:trPr/>
        <w:tc>
          <w:tcPr>
            <w:tcW w:w="134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78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82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90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2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100%</w:t>
            </w:r>
          </w:p>
        </w:tc>
        <w:tc>
          <w:tcPr>
            <w:tcW w:w="1969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104.8% (2)</w:t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>(1)The percentage of achievement for each performance objective is rounded to the nearest tenth of a percent.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>(2)The Compensation Committee rounded the performance achievement to set the bonus payout level at 105%.</w:t>
      </w:r>
    </w:p>
    <w:tbl>
      <w:tblPr>
        <w:tblW w:w="174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61"/>
        <w:gridCol w:w="1381"/>
      </w:tblGrid>
      <w:tr>
        <w:trPr/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  <w:t>78</w:t>
            </w:r>
          </w:p>
        </w:tc>
        <w:tc>
          <w:tcPr>
            <w:tcW w:w="138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Exelixis, Inc.</w:t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/>
      </w:pPr>
      <w:hyperlink w:anchor="i6d44722bfc2543dbbba9716d9e560c58_16">
        <w:r>
          <w:rPr>
            <w:rStyle w:val="InternetLink"/>
            <w:rFonts w:ascii="sans-serif" w:hAnsi="sans-serif"/>
            <w:b w:val="false"/>
            <w:i w:val="false"/>
            <w:caps w:val="false"/>
            <w:smallCaps w:val="false"/>
            <w:color w:val="0000FF"/>
            <w:sz w:val="18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/>
          <w:i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/>
          <w:i/>
          <w:strike w:val="false"/>
          <w:dstrike w:val="false"/>
          <w:color w:val="3F3F3F"/>
          <w:sz w:val="20"/>
          <w:u w:val="none"/>
          <w:effect w:val="none"/>
        </w:rPr>
        <w:t>Individual Performance Assessments of our NEOs other than the Chief Executive Officer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The Compensation Committee also recognized the individual contributions of each NEO toward achievement of the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2025</w:t>
      </w:r>
      <w:r>
        <w:rPr>
          <w:caps w:val="false"/>
          <w:smallCaps w:val="false"/>
          <w:strike w:val="false"/>
          <w:dstrike w:val="false"/>
          <w:color w:val="3F3F3F"/>
          <w:sz w:val="24"/>
          <w:u w:val="none"/>
          <w:effect w:val="none"/>
        </w:rPr>
        <w:t xml:space="preserve">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corporate goals (other than Dr. Morrissey, whose annual incentive cash bonus is entirely dependent on the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company’s performance against our pre-determined 2025</w:t>
      </w:r>
      <w:r>
        <w:rPr>
          <w:caps w:val="false"/>
          <w:smallCaps w:val="false"/>
          <w:strike w:val="false"/>
          <w:dstrike w:val="false"/>
          <w:color w:val="3F3F3F"/>
          <w:sz w:val="24"/>
          <w:u w:val="none"/>
          <w:effect w:val="none"/>
        </w:rPr>
        <w:t xml:space="preserve">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corporate goals, and Dr. Hefti, whose individual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contributions are recognized by the Equity Award Committee). In evaluating the individual performance of these NEOs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as part of determining the annual cash bonus payments, the Compensation Committee, or Equity Award Committee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(with respect to Dr. Hefti), considered the following contributions from each NEO: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3F3F3F"/>
          <w:u w:val="none"/>
          <w:effect w:val="none"/>
        </w:rPr>
        <w:t>›</w:t>
      </w:r>
      <w:r>
        <w:rPr>
          <w:caps w:val="false"/>
          <w:smallCaps w:val="false"/>
          <w:strike w:val="false"/>
          <w:dstrike w:val="false"/>
          <w:color w:val="FC4C02"/>
          <w:u w:val="none"/>
          <w:effect w:val="none"/>
        </w:rPr>
        <w:t>›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Mr. Senner’s overall leadership of our finance organization and his performance with respect to the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achievement of our financial goals in 2025, particularly regarding: his role in maintaining financial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flexibility while supporting disciplined expense management and capital allocation, including the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execution of our 2025</w:t>
      </w:r>
      <w:r>
        <w:rPr>
          <w:caps w:val="false"/>
          <w:smallCaps w:val="false"/>
          <w:strike w:val="false"/>
          <w:dstrike w:val="false"/>
          <w:color w:val="3F3F3F"/>
          <w:sz w:val="24"/>
          <w:u w:val="none"/>
          <w:effect w:val="none"/>
        </w:rPr>
        <w:t xml:space="preserve">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stock repurchase programs; oversight of facilities and related enterprise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operations; and his continuing leadership of our Information Technology function to enhance and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safeguard our technology environment, including cybersecurity and related data protection and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governance initiatives.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3F3F3F"/>
          <w:u w:val="none"/>
          <w:effect w:val="none"/>
        </w:rPr>
        <w:t>›</w:t>
      </w:r>
      <w:r>
        <w:rPr>
          <w:caps w:val="false"/>
          <w:smallCaps w:val="false"/>
          <w:strike w:val="false"/>
          <w:dstrike w:val="false"/>
          <w:color w:val="FC4C02"/>
          <w:u w:val="none"/>
          <w:effect w:val="none"/>
        </w:rPr>
        <w:t>›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Dr. Aftab’s overall leadership of our R&amp;D organizations and his performance with respect to the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achievement of our R&amp;D goals in</w:t>
      </w:r>
      <w:r>
        <w:rPr>
          <w:caps w:val="false"/>
          <w:smallCaps w:val="false"/>
          <w:strike w:val="false"/>
          <w:dstrike w:val="false"/>
          <w:color w:val="3F3F3F"/>
          <w:sz w:val="24"/>
          <w:u w:val="none"/>
          <w:effect w:val="none"/>
        </w:rPr>
        <w:t xml:space="preserve">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2025, particularly regarding: clinical development of zanzalintinib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(including regulatory and pivotal development activities) and other product candidates; advancement of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our clinical</w:t>
        <w:noBreakHyphen/>
        <w:t xml:space="preserve">stage pipeline and Phase 1 programs (including XL309, XB010, XB628 and XB371); progression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of early</w:t>
        <w:noBreakHyphen/>
        <w:t xml:space="preserve">stage programs toward IND and development milestones; and disciplined execution to support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our multi</w:t>
        <w:noBreakHyphen/>
        <w:t>franchise strategy and R&amp;D productivity.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3F3F3F"/>
          <w:u w:val="none"/>
          <w:effect w:val="none"/>
        </w:rPr>
        <w:t>›</w:t>
      </w:r>
      <w:r>
        <w:rPr>
          <w:caps w:val="false"/>
          <w:smallCaps w:val="false"/>
          <w:strike w:val="false"/>
          <w:dstrike w:val="false"/>
          <w:color w:val="FC4C02"/>
          <w:u w:val="none"/>
          <w:effect w:val="none"/>
        </w:rPr>
        <w:t>›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Mr. Haley’s overall leadership of our Commercial organization and his performance with respect to the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achievement of our commercial goals in 2025, particularly regarding: his role in the continued strong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execution and momentum for the cabozantinib franchise, including the sustained leadership in RCC, and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successful launch execution and adoption acceleration in NET; expansion and deployment of our GI sales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team to support NET growth and prepare for the potential launch of zanzalintinib in colorectal cancer,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pending approval; and ongoing commercial planning to support future franchise growth opportunities.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3F3F3F"/>
          <w:u w:val="none"/>
          <w:effect w:val="none"/>
        </w:rPr>
        <w:t>›</w:t>
      </w:r>
      <w:r>
        <w:rPr>
          <w:caps w:val="false"/>
          <w:smallCaps w:val="false"/>
          <w:strike w:val="false"/>
          <w:dstrike w:val="false"/>
          <w:color w:val="FC4C02"/>
          <w:u w:val="none"/>
          <w:effect w:val="none"/>
        </w:rPr>
        <w:t>›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Dr. Hefti’s assumption of leadership of our legal and compliance organizations and her performance, </w:t>
      </w:r>
    </w:p>
    <w:p>
      <w:pPr>
        <w:pStyle w:val="TextBody"/>
        <w:bidi w:val="0"/>
        <w:spacing w:lineRule="atLeast" w:line="210" w:before="0" w:after="0"/>
        <w:jc w:val="left"/>
        <w:rPr/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including her continued effective management of the Abbreviated New Drug Application litigations</w:t>
      </w:r>
      <w:r>
        <w:rPr>
          <w:rFonts w:ascii="sans-serif" w:hAnsi="sans-serif"/>
          <w:b w:val="false"/>
          <w:i w:val="false"/>
          <w:caps w:val="false"/>
          <w:smallCaps w:val="false"/>
          <w:sz w:val="21"/>
        </w:rPr>
        <w:t>,</w:t>
      </w:r>
      <w:r>
        <w:rPr>
          <w:caps w:val="false"/>
          <w:smallCaps w:val="false"/>
          <w:strike w:val="false"/>
          <w:dstrike w:val="false"/>
          <w:color w:val="3F3F3F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oversight of key intellectual property and patent matters supporting our product portfolio and pipeline,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and demonstrated leadership in overseeing legal support for research and development, manufacturing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and clinical contracting in furtherance of our clinical and pipeline activities.</w:t>
      </w:r>
    </w:p>
    <w:tbl>
      <w:tblPr>
        <w:tblW w:w="256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176"/>
        <w:gridCol w:w="391"/>
      </w:tblGrid>
      <w:tr>
        <w:trPr/>
        <w:tc>
          <w:tcPr>
            <w:tcW w:w="21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7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40404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404040"/>
                <w:sz w:val="18"/>
                <w:u w:val="none"/>
                <w:effect w:val="none"/>
              </w:rPr>
              <w:t>2026 Proxy Statement</w:t>
            </w:r>
          </w:p>
        </w:tc>
        <w:tc>
          <w:tcPr>
            <w:tcW w:w="39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  <w:t>79</w:t>
            </w:r>
          </w:p>
        </w:tc>
      </w:tr>
    </w:tbl>
    <w:tbl>
      <w:tblPr>
        <w:tblW w:w="823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696"/>
        <w:gridCol w:w="6541"/>
      </w:tblGrid>
      <w:tr>
        <w:trPr/>
        <w:tc>
          <w:tcPr>
            <w:tcW w:w="16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5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9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6d44722bfc2543dbbba9716d9e560c58_16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color w:val="0000FF"/>
                  <w:sz w:val="18"/>
                  <w:u w:val="single"/>
                </w:rPr>
                <w:t>Table of Contents</w:t>
              </w:r>
            </w:hyperlink>
          </w:p>
        </w:tc>
        <w:tc>
          <w:tcPr>
            <w:tcW w:w="654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2025 Compensation Decisions</w:t>
            </w:r>
            <w:r>
              <w:rPr>
                <w:caps w:val="false"/>
                <w:smallCaps w:val="false"/>
                <w:strike w:val="false"/>
                <w:dstrike w:val="false"/>
                <w:color w:val="F47521"/>
                <w:u w:val="none"/>
                <w:effect w:val="none"/>
              </w:rPr>
              <w:t xml:space="preserve">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  <w:t>|</w:t>
            </w: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 xml:space="preserve">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Compensation Discussion and Analysis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In consideration of the foregoing, in February 2026, the Compensation Committee, or Equity Award Committee (with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respect to Dr. Hefti) approved annual cash bonus payments for each NEO, as reflected in the table below.</w:t>
      </w:r>
    </w:p>
    <w:tbl>
      <w:tblPr>
        <w:tblW w:w="10764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6"/>
        <w:gridCol w:w="1066"/>
        <w:gridCol w:w="706"/>
        <w:gridCol w:w="1276"/>
        <w:gridCol w:w="1276"/>
        <w:gridCol w:w="1276"/>
        <w:gridCol w:w="1276"/>
        <w:gridCol w:w="1396"/>
        <w:gridCol w:w="1246"/>
      </w:tblGrid>
      <w:tr>
        <w:trPr/>
        <w:tc>
          <w:tcPr>
            <w:tcW w:w="12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6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Name</w:t>
            </w:r>
          </w:p>
        </w:tc>
        <w:tc>
          <w:tcPr>
            <w:tcW w:w="1066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sz w:val="24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2025</w:t>
            </w:r>
            <w:r>
              <w:rPr>
                <w:caps w:val="false"/>
                <w:smallCaps w:val="false"/>
                <w:strike w:val="false"/>
                <w:dstrike w:val="false"/>
                <w:color w:val="FFFFFF"/>
                <w:sz w:val="24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Base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Salary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($)</w:t>
            </w:r>
          </w:p>
        </w:tc>
        <w:tc>
          <w:tcPr>
            <w:tcW w:w="706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2025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Target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Award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(%)</w:t>
            </w:r>
          </w:p>
        </w:tc>
        <w:tc>
          <w:tcPr>
            <w:tcW w:w="1276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2025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Corporate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Performance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Weighting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(%)</w:t>
            </w:r>
          </w:p>
        </w:tc>
        <w:tc>
          <w:tcPr>
            <w:tcW w:w="1276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2025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Approved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Corporate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Performance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(%)</w:t>
            </w:r>
          </w:p>
        </w:tc>
        <w:tc>
          <w:tcPr>
            <w:tcW w:w="1276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2025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Individual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Performance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Weighting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(%)</w:t>
            </w:r>
          </w:p>
        </w:tc>
        <w:tc>
          <w:tcPr>
            <w:tcW w:w="1276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2025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Individual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Performance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(%)</w:t>
            </w:r>
          </w:p>
        </w:tc>
        <w:tc>
          <w:tcPr>
            <w:tcW w:w="1396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2025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Annual Cash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Bonus Payout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(% of Target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Award)</w:t>
            </w:r>
          </w:p>
        </w:tc>
        <w:tc>
          <w:tcPr>
            <w:tcW w:w="1246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2025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Annual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Cash Bonus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Payout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($)</w:t>
            </w:r>
          </w:p>
        </w:tc>
      </w:tr>
      <w:tr>
        <w:trPr/>
        <w:tc>
          <w:tcPr>
            <w:tcW w:w="1246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Michael M.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Morrissey, Ph.D.</w:t>
            </w:r>
          </w:p>
        </w:tc>
        <w:tc>
          <w:tcPr>
            <w:tcW w:w="1066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1,316,753</w:t>
            </w:r>
          </w:p>
        </w:tc>
        <w:tc>
          <w:tcPr>
            <w:tcW w:w="706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100%</w:t>
            </w:r>
          </w:p>
        </w:tc>
        <w:tc>
          <w:tcPr>
            <w:tcW w:w="1276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100%</w:t>
            </w:r>
          </w:p>
        </w:tc>
        <w:tc>
          <w:tcPr>
            <w:tcW w:w="1276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105%</w:t>
            </w:r>
          </w:p>
        </w:tc>
        <w:tc>
          <w:tcPr>
            <w:tcW w:w="1276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N/A</w:t>
            </w:r>
          </w:p>
        </w:tc>
        <w:tc>
          <w:tcPr>
            <w:tcW w:w="1276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N/A</w:t>
            </w:r>
          </w:p>
        </w:tc>
        <w:tc>
          <w:tcPr>
            <w:tcW w:w="1396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105%</w:t>
            </w:r>
          </w:p>
        </w:tc>
        <w:tc>
          <w:tcPr>
            <w:tcW w:w="1246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1,382,591</w:t>
            </w:r>
          </w:p>
        </w:tc>
      </w:tr>
      <w:tr>
        <w:trPr/>
        <w:tc>
          <w:tcPr>
            <w:tcW w:w="124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Christopher J. Senner</w:t>
            </w:r>
          </w:p>
        </w:tc>
        <w:tc>
          <w:tcPr>
            <w:tcW w:w="106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829,572</w:t>
            </w:r>
          </w:p>
        </w:tc>
        <w:tc>
          <w:tcPr>
            <w:tcW w:w="70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50%</w:t>
            </w:r>
          </w:p>
        </w:tc>
        <w:tc>
          <w:tcPr>
            <w:tcW w:w="127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70%</w:t>
            </w:r>
          </w:p>
        </w:tc>
        <w:tc>
          <w:tcPr>
            <w:tcW w:w="127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105%</w:t>
            </w:r>
          </w:p>
        </w:tc>
        <w:tc>
          <w:tcPr>
            <w:tcW w:w="127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30%</w:t>
            </w:r>
          </w:p>
        </w:tc>
        <w:tc>
          <w:tcPr>
            <w:tcW w:w="127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133%</w:t>
            </w:r>
          </w:p>
        </w:tc>
        <w:tc>
          <w:tcPr>
            <w:tcW w:w="139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114%</w:t>
            </w:r>
          </w:p>
        </w:tc>
        <w:tc>
          <w:tcPr>
            <w:tcW w:w="124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470,782</w:t>
            </w:r>
          </w:p>
        </w:tc>
      </w:tr>
      <w:tr>
        <w:trPr/>
        <w:tc>
          <w:tcPr>
            <w:tcW w:w="124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Dana T. Aftab, Ph.D.</w:t>
            </w:r>
          </w:p>
        </w:tc>
        <w:tc>
          <w:tcPr>
            <w:tcW w:w="106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700,000</w:t>
            </w:r>
          </w:p>
        </w:tc>
        <w:tc>
          <w:tcPr>
            <w:tcW w:w="70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50%</w:t>
            </w:r>
          </w:p>
        </w:tc>
        <w:tc>
          <w:tcPr>
            <w:tcW w:w="127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70%</w:t>
            </w:r>
          </w:p>
        </w:tc>
        <w:tc>
          <w:tcPr>
            <w:tcW w:w="127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105%</w:t>
            </w:r>
          </w:p>
        </w:tc>
        <w:tc>
          <w:tcPr>
            <w:tcW w:w="127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30%</w:t>
            </w:r>
          </w:p>
        </w:tc>
        <w:tc>
          <w:tcPr>
            <w:tcW w:w="127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133%</w:t>
            </w:r>
          </w:p>
        </w:tc>
        <w:tc>
          <w:tcPr>
            <w:tcW w:w="139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114%</w:t>
            </w:r>
          </w:p>
        </w:tc>
        <w:tc>
          <w:tcPr>
            <w:tcW w:w="124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397,250</w:t>
            </w:r>
          </w:p>
        </w:tc>
      </w:tr>
      <w:tr>
        <w:trPr/>
        <w:tc>
          <w:tcPr>
            <w:tcW w:w="124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Patrick J. Haley</w:t>
            </w:r>
          </w:p>
        </w:tc>
        <w:tc>
          <w:tcPr>
            <w:tcW w:w="106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626,417</w:t>
            </w:r>
          </w:p>
        </w:tc>
        <w:tc>
          <w:tcPr>
            <w:tcW w:w="70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50%</w:t>
            </w:r>
          </w:p>
        </w:tc>
        <w:tc>
          <w:tcPr>
            <w:tcW w:w="127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70%</w:t>
            </w:r>
          </w:p>
        </w:tc>
        <w:tc>
          <w:tcPr>
            <w:tcW w:w="127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105%</w:t>
            </w:r>
          </w:p>
        </w:tc>
        <w:tc>
          <w:tcPr>
            <w:tcW w:w="127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30%</w:t>
            </w:r>
          </w:p>
        </w:tc>
        <w:tc>
          <w:tcPr>
            <w:tcW w:w="127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103%</w:t>
            </w:r>
          </w:p>
        </w:tc>
        <w:tc>
          <w:tcPr>
            <w:tcW w:w="139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105%</w:t>
            </w:r>
          </w:p>
        </w:tc>
        <w:tc>
          <w:tcPr>
            <w:tcW w:w="124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327,303</w:t>
            </w:r>
          </w:p>
        </w:tc>
      </w:tr>
      <w:tr>
        <w:trPr/>
        <w:tc>
          <w:tcPr>
            <w:tcW w:w="124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Brenda J. Hefti, J.D.,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Ph.D.</w:t>
            </w:r>
          </w:p>
        </w:tc>
        <w:tc>
          <w:tcPr>
            <w:tcW w:w="106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525,000</w:t>
            </w:r>
          </w:p>
        </w:tc>
        <w:tc>
          <w:tcPr>
            <w:tcW w:w="70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35%</w:t>
            </w:r>
          </w:p>
        </w:tc>
        <w:tc>
          <w:tcPr>
            <w:tcW w:w="127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N/A</w:t>
            </w:r>
          </w:p>
        </w:tc>
        <w:tc>
          <w:tcPr>
            <w:tcW w:w="127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105%</w:t>
            </w:r>
          </w:p>
        </w:tc>
        <w:tc>
          <w:tcPr>
            <w:tcW w:w="127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100%</w:t>
            </w:r>
          </w:p>
        </w:tc>
        <w:tc>
          <w:tcPr>
            <w:tcW w:w="127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156%</w:t>
            </w:r>
          </w:p>
        </w:tc>
        <w:tc>
          <w:tcPr>
            <w:tcW w:w="139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156%</w:t>
            </w:r>
          </w:p>
        </w:tc>
        <w:tc>
          <w:tcPr>
            <w:tcW w:w="124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286,751</w:t>
            </w:r>
          </w:p>
        </w:tc>
      </w:tr>
      <w:tr>
        <w:trPr/>
        <w:tc>
          <w:tcPr>
            <w:tcW w:w="124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Jeffrey J. Hessekiel,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J.D. (1)</w:t>
            </w:r>
          </w:p>
        </w:tc>
        <w:tc>
          <w:tcPr>
            <w:tcW w:w="106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719,754</w:t>
            </w:r>
          </w:p>
        </w:tc>
        <w:tc>
          <w:tcPr>
            <w:tcW w:w="70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50%</w:t>
            </w:r>
          </w:p>
        </w:tc>
        <w:tc>
          <w:tcPr>
            <w:tcW w:w="127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70%</w:t>
            </w:r>
          </w:p>
        </w:tc>
        <w:tc>
          <w:tcPr>
            <w:tcW w:w="127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105%</w:t>
            </w:r>
          </w:p>
        </w:tc>
        <w:tc>
          <w:tcPr>
            <w:tcW w:w="127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30%</w:t>
            </w:r>
          </w:p>
        </w:tc>
        <w:tc>
          <w:tcPr>
            <w:tcW w:w="127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N/A</w:t>
            </w:r>
          </w:p>
        </w:tc>
        <w:tc>
          <w:tcPr>
            <w:tcW w:w="139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%</w:t>
            </w:r>
          </w:p>
        </w:tc>
        <w:tc>
          <w:tcPr>
            <w:tcW w:w="124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1246" w:type="dxa"/>
            <w:tcBorders>
              <w:top w:val="single" w:sz="4" w:space="0" w:color="B6B6B6"/>
              <w:bottom w:val="single" w:sz="8" w:space="0" w:color="F47521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Amy C. Peterson,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M.D. (2)</w:t>
            </w:r>
          </w:p>
        </w:tc>
        <w:tc>
          <w:tcPr>
            <w:tcW w:w="1066" w:type="dxa"/>
            <w:tcBorders>
              <w:top w:val="single" w:sz="4" w:space="0" w:color="B6B6B6"/>
              <w:bottom w:val="single" w:sz="8" w:space="0" w:color="F47521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706,135</w:t>
            </w:r>
          </w:p>
        </w:tc>
        <w:tc>
          <w:tcPr>
            <w:tcW w:w="706" w:type="dxa"/>
            <w:tcBorders>
              <w:top w:val="single" w:sz="4" w:space="0" w:color="B6B6B6"/>
              <w:bottom w:val="single" w:sz="8" w:space="0" w:color="F47521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50%</w:t>
            </w:r>
          </w:p>
        </w:tc>
        <w:tc>
          <w:tcPr>
            <w:tcW w:w="1276" w:type="dxa"/>
            <w:tcBorders>
              <w:top w:val="single" w:sz="4" w:space="0" w:color="B6B6B6"/>
              <w:bottom w:val="single" w:sz="8" w:space="0" w:color="F47521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70%</w:t>
            </w:r>
          </w:p>
        </w:tc>
        <w:tc>
          <w:tcPr>
            <w:tcW w:w="1276" w:type="dxa"/>
            <w:tcBorders>
              <w:top w:val="single" w:sz="4" w:space="0" w:color="B6B6B6"/>
              <w:bottom w:val="single" w:sz="8" w:space="0" w:color="F47521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105%</w:t>
            </w:r>
          </w:p>
        </w:tc>
        <w:tc>
          <w:tcPr>
            <w:tcW w:w="1276" w:type="dxa"/>
            <w:tcBorders>
              <w:top w:val="single" w:sz="4" w:space="0" w:color="B6B6B6"/>
              <w:bottom w:val="single" w:sz="8" w:space="0" w:color="F47521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30%</w:t>
            </w:r>
          </w:p>
        </w:tc>
        <w:tc>
          <w:tcPr>
            <w:tcW w:w="1276" w:type="dxa"/>
            <w:tcBorders>
              <w:top w:val="single" w:sz="4" w:space="0" w:color="B6B6B6"/>
              <w:bottom w:val="single" w:sz="8" w:space="0" w:color="F47521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N/A</w:t>
            </w:r>
          </w:p>
        </w:tc>
        <w:tc>
          <w:tcPr>
            <w:tcW w:w="1396" w:type="dxa"/>
            <w:tcBorders>
              <w:top w:val="single" w:sz="4" w:space="0" w:color="B6B6B6"/>
              <w:bottom w:val="single" w:sz="8" w:space="0" w:color="F47521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79%</w:t>
            </w:r>
          </w:p>
        </w:tc>
        <w:tc>
          <w:tcPr>
            <w:tcW w:w="1246" w:type="dxa"/>
            <w:tcBorders>
              <w:top w:val="single" w:sz="4" w:space="0" w:color="B6B6B6"/>
              <w:bottom w:val="single" w:sz="8" w:space="0" w:color="F47521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278,041</w:t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>(1)Mr. Hessekiel left the company in November 2025 and, as a result, his 2025 annual cash bonus was forfeited.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(2)Dr. Peterson left the company in August 2025. Pursuant to the CIC Plan, Dr. Peterson received a pro-rated 2025 annual cash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>bonus.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sans-serif" w:hAnsi="sans-serif"/>
          <w:b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2025</w:t>
      </w:r>
      <w:r>
        <w:rPr>
          <w:caps w:val="false"/>
          <w:smallCaps w:val="false"/>
          <w:strike w:val="false"/>
          <w:dstrike w:val="false"/>
          <w:color w:val="494949"/>
          <w:sz w:val="24"/>
          <w:u w:val="none"/>
          <w:effect w:val="none"/>
        </w:rPr>
        <w:t xml:space="preserve"> </w:t>
      </w:r>
      <w:r>
        <w:rPr>
          <w:rFonts w:ascii="sans-serif" w:hAnsi="sans-serif"/>
          <w:b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  <w:t>Long-Term Incentive Awards</w:t>
      </w:r>
      <w:bookmarkStart w:id="88" w:name="ifb35dd5385504e1792dc3abf6012d004_1991"/>
      <w:bookmarkEnd w:id="88"/>
      <w:r>
        <w:rPr>
          <w:caps w:val="false"/>
          <w:smallCaps w:val="false"/>
          <w:strike w:val="false"/>
          <w:dstrike w:val="false"/>
          <w:color w:val="494949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Consistent with our goal to align executive compensation with performance that advances our critical business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objectives, a significant portion of the NEOs’ total compensation typically has consisted of, and is expected to continue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to consist of, equity-based awards. In evaluating the mix of equity awards for 2025, the Compensation Committee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considered market trends, as well as feedback from stockholders and proxy advisory firms, and determined that a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combination of PSUs and RSUs would be the most appropriate incentive structure for our NEOs to reward performance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over time and achieve our retention objectives, consistent with historical practices. In addition to our regular annual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equity awards, in March 2025 the Compensation Committee recommended, and the Board approved, the Special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Equity Award Program, which provides for a One-Time PSU Award applicable to all employees, including our NEOs,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intended to strengthen long term alignment with stockholders and support retention during a multiyear period of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strategic execution.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sans-serif" w:hAnsi="sans-serif"/>
          <w:b/>
          <w:i/>
          <w:strike w:val="false"/>
          <w:dstrike w:val="false"/>
          <w:color w:val="3F3F3F"/>
          <w:sz w:val="20"/>
          <w:u w:val="none"/>
          <w:effect w:val="none"/>
        </w:rPr>
        <w:t>Allocation of</w:t>
      </w:r>
      <w:r>
        <w:rPr>
          <w:caps w:val="false"/>
          <w:smallCaps w:val="false"/>
          <w:strike w:val="false"/>
          <w:dstrike w:val="false"/>
          <w:color w:val="3F3F3F"/>
          <w:sz w:val="24"/>
          <w:u w:val="none"/>
          <w:effect w:val="none"/>
        </w:rPr>
        <w:t xml:space="preserve"> </w:t>
      </w:r>
      <w:r>
        <w:rPr>
          <w:rFonts w:ascii="sans-serif" w:hAnsi="sans-serif"/>
          <w:b/>
          <w:i/>
          <w:strike w:val="false"/>
          <w:dstrike w:val="false"/>
          <w:color w:val="3F3F3F"/>
          <w:sz w:val="20"/>
          <w:u w:val="none"/>
          <w:effect w:val="none"/>
        </w:rPr>
        <w:t>2025</w:t>
      </w:r>
      <w:r>
        <w:rPr>
          <w:caps w:val="false"/>
          <w:smallCaps w:val="false"/>
          <w:strike w:val="false"/>
          <w:dstrike w:val="false"/>
          <w:color w:val="3F3F3F"/>
          <w:sz w:val="24"/>
          <w:u w:val="none"/>
          <w:effect w:val="none"/>
        </w:rPr>
        <w:t xml:space="preserve"> </w:t>
      </w:r>
      <w:r>
        <w:rPr>
          <w:rFonts w:ascii="sans-serif" w:hAnsi="sans-serif"/>
          <w:b/>
          <w:i/>
          <w:strike w:val="false"/>
          <w:dstrike w:val="false"/>
          <w:color w:val="3F3F3F"/>
          <w:sz w:val="20"/>
          <w:u w:val="none"/>
          <w:effect w:val="none"/>
        </w:rPr>
        <w:t xml:space="preserve">Long-Term Incentive Awards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Our Compensation Committee approved the 2025</w:t>
      </w:r>
      <w:r>
        <w:rPr>
          <w:caps w:val="false"/>
          <w:smallCaps w:val="false"/>
          <w:strike w:val="false"/>
          <w:dstrike w:val="false"/>
          <w:color w:val="3F3F3F"/>
          <w:sz w:val="24"/>
          <w:u w:val="none"/>
          <w:effect w:val="none"/>
        </w:rPr>
        <w:t xml:space="preserve">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long-term incentive awards for each NEO (other than Dr. Hefti,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whose 2025 long-term incentive awards were approved by the Equity Award Committee in February 2024, before she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became an executive officer) comprising approximately 50% PSUs and 50% RSUs. In approving these awards, the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Compensation Committee sought to establish an effective balance between retention and performance, risk and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leverage, as well as alignment with our peer group.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sans-serif" w:hAnsi="sans-serif"/>
          <w:b/>
          <w:i/>
          <w:strike w:val="false"/>
          <w:dstrike w:val="false"/>
          <w:color w:val="3F3F3F"/>
          <w:sz w:val="20"/>
          <w:u w:val="none"/>
          <w:effect w:val="none"/>
        </w:rPr>
        <w:t>2025</w:t>
      </w:r>
      <w:r>
        <w:rPr>
          <w:strike w:val="false"/>
          <w:dstrike w:val="false"/>
          <w:color w:val="3F3F3F"/>
          <w:sz w:val="24"/>
          <w:u w:val="none"/>
          <w:effect w:val="none"/>
        </w:rPr>
        <w:t xml:space="preserve"> </w:t>
      </w:r>
      <w:r>
        <w:rPr>
          <w:rFonts w:ascii="sans-serif" w:hAnsi="sans-serif"/>
          <w:b/>
          <w:i/>
          <w:strike w:val="false"/>
          <w:dstrike w:val="false"/>
          <w:color w:val="3F3F3F"/>
          <w:sz w:val="20"/>
          <w:u w:val="none"/>
          <w:effect w:val="none"/>
        </w:rPr>
        <w:t xml:space="preserve">RSU Awards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The RSU awards granted to our NEOs represent approximately 50% of the total long-term incentive award value. In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determining to grant each NEO’s 2025</w:t>
      </w:r>
      <w:r>
        <w:rPr>
          <w:caps w:val="false"/>
          <w:smallCaps w:val="false"/>
          <w:strike w:val="false"/>
          <w:dstrike w:val="false"/>
          <w:color w:val="3F3F3F"/>
          <w:sz w:val="24"/>
          <w:u w:val="none"/>
          <w:effect w:val="none"/>
        </w:rPr>
        <w:t xml:space="preserve">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time-based equity award in the form of RSUs, the Compensation Committee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considered market trends, retention needs, and internal pay equity. The Compensation Committee ultimately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determined that granting RSUs to each of our NEOs would generate a substantial retention incentive, further align our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LTIP with market trends, and align the interests of our NEOs with those of our stockholders by encouraging them to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focus on the company’s long-term performance and success.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These RSU awards granted to our NEOs vest in four equal annual installments beginning on May 15, 2026. Vesting of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these RSU awards will cease upon termination of continuous service for any reason. A discussion of the treatment of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RSUs under our CIC Plan can be found under “</w:t>
      </w:r>
      <w:hyperlink w:anchor="i6d44722bfc2543dbbba9716d9e560c58_202">
        <w:r>
          <w:rPr>
            <w:rStyle w:val="InternetLink"/>
            <w:rFonts w:ascii="sans-serif" w:hAnsi="sans-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Potential Payments Upon Termination or Change in Control</w:t>
        </w:r>
      </w:hyperlink>
      <w:r>
        <w:rPr>
          <w:caps w:val="false"/>
          <w:smallCaps w:val="false"/>
          <w:strike w:val="false"/>
          <w:dstrike w:val="false"/>
          <w:color w:val="3F3F3F"/>
          <w:u w:val="none"/>
          <w:effect w:val="none"/>
        </w:rPr>
        <w:t xml:space="preserve">”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below. </w:t>
      </w:r>
    </w:p>
    <w:tbl>
      <w:tblPr>
        <w:tblW w:w="174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61"/>
        <w:gridCol w:w="1381"/>
      </w:tblGrid>
      <w:tr>
        <w:trPr/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  <w:t>80</w:t>
            </w:r>
          </w:p>
        </w:tc>
        <w:tc>
          <w:tcPr>
            <w:tcW w:w="138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Exelixis, Inc.</w:t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/>
      </w:pPr>
      <w:hyperlink w:anchor="i6d44722bfc2543dbbba9716d9e560c58_16">
        <w:r>
          <w:rPr>
            <w:rStyle w:val="InternetLink"/>
            <w:rFonts w:ascii="sans-serif" w:hAnsi="sans-serif"/>
            <w:b w:val="false"/>
            <w:i w:val="false"/>
            <w:caps w:val="false"/>
            <w:smallCaps w:val="false"/>
            <w:color w:val="0000FF"/>
            <w:sz w:val="18"/>
            <w:u w:val="single"/>
          </w:rPr>
          <w:t>Table of Contents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sans-serif" w:hAnsi="sans-serif"/>
          <w:b/>
          <w:i/>
          <w:strike w:val="false"/>
          <w:dstrike w:val="false"/>
          <w:color w:val="3F3F3F"/>
          <w:sz w:val="20"/>
          <w:u w:val="none"/>
          <w:effect w:val="none"/>
        </w:rPr>
        <w:t>2025</w:t>
      </w:r>
      <w:r>
        <w:rPr>
          <w:strike w:val="false"/>
          <w:dstrike w:val="false"/>
          <w:color w:val="3F3F3F"/>
          <w:sz w:val="24"/>
          <w:u w:val="none"/>
          <w:effect w:val="none"/>
        </w:rPr>
        <w:t xml:space="preserve"> </w:t>
      </w:r>
      <w:r>
        <w:rPr>
          <w:rFonts w:ascii="sans-serif" w:hAnsi="sans-serif"/>
          <w:b/>
          <w:i/>
          <w:strike w:val="false"/>
          <w:dstrike w:val="false"/>
          <w:color w:val="3F3F3F"/>
          <w:sz w:val="20"/>
          <w:u w:val="none"/>
          <w:effect w:val="none"/>
        </w:rPr>
        <w:t xml:space="preserve">PSU Awards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The PSU awards granted to our NEOs represent approximately 50% of the total long-term incentive award value.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Consistent with our pay-for-performance philosophy and our focus on driving long-term stockholder value creation, the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Compensation Committee determined that the 2025</w:t>
      </w:r>
      <w:r>
        <w:rPr>
          <w:caps w:val="false"/>
          <w:smallCaps w:val="false"/>
          <w:strike w:val="false"/>
          <w:dstrike w:val="false"/>
          <w:color w:val="3F3F3F"/>
          <w:sz w:val="24"/>
          <w:u w:val="none"/>
          <w:effect w:val="none"/>
        </w:rPr>
        <w:t xml:space="preserve">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PSU awards granted to our NEOs will vest based on our total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stockholder return relative to other companies in the Nasdaq Biotechnology Index (Relative TSR), as measured over a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three-year period ending December 31, 2027 (such performance metric referred to herein as the 2025</w:t>
      </w:r>
      <w:r>
        <w:rPr>
          <w:caps w:val="false"/>
          <w:smallCaps w:val="false"/>
          <w:strike w:val="false"/>
          <w:dstrike w:val="false"/>
          <w:color w:val="3F3F3F"/>
          <w:sz w:val="24"/>
          <w:u w:val="none"/>
          <w:effect w:val="none"/>
        </w:rPr>
        <w:t xml:space="preserve">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Relative TSR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Goal). The Compensation Committee chose Relative TSR as the performance metric for the 2025</w:t>
      </w:r>
      <w:r>
        <w:rPr>
          <w:caps w:val="false"/>
          <w:smallCaps w:val="false"/>
          <w:strike w:val="false"/>
          <w:dstrike w:val="false"/>
          <w:color w:val="3F3F3F"/>
          <w:sz w:val="24"/>
          <w:u w:val="none"/>
          <w:effect w:val="none"/>
        </w:rPr>
        <w:t xml:space="preserve">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PSU awards because it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is an objective and meaningful metric to evaluate our performance against the performance of our industry peers, and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it effectively aligns executive compensation with our long-term growth strategy.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Achievement of the threshold, target, and maximum performance level targets of the 2025</w:t>
      </w:r>
      <w:r>
        <w:rPr>
          <w:caps w:val="false"/>
          <w:smallCaps w:val="false"/>
          <w:strike w:val="false"/>
          <w:dstrike w:val="false"/>
          <w:color w:val="3F3F3F"/>
          <w:sz w:val="24"/>
          <w:u w:val="none"/>
          <w:effect w:val="none"/>
        </w:rPr>
        <w:t xml:space="preserve">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Relative TSR Goal will result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in 50%, 100%, and 175%, respectively, of the target number of shares of our common stock subject to the PSU awards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becoming eligible to vest. </w:t>
      </w:r>
    </w:p>
    <w:tbl>
      <w:tblPr>
        <w:tblW w:w="9843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026"/>
        <w:gridCol w:w="3616"/>
        <w:gridCol w:w="4201"/>
      </w:tblGrid>
      <w:tr>
        <w:trPr/>
        <w:tc>
          <w:tcPr>
            <w:tcW w:w="20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43" w:type="dxa"/>
            <w:gridSpan w:val="3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sz w:val="24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2025</w:t>
            </w:r>
            <w:r>
              <w:rPr>
                <w:caps w:val="false"/>
                <w:smallCaps w:val="false"/>
                <w:strike w:val="false"/>
                <w:dstrike w:val="false"/>
                <w:color w:val="FFFFFF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Relative TSR Goal</w:t>
            </w:r>
          </w:p>
        </w:tc>
      </w:tr>
      <w:tr>
        <w:trPr/>
        <w:tc>
          <w:tcPr>
            <w:tcW w:w="2026" w:type="dxa"/>
            <w:tcBorders>
              <w:bottom w:val="single" w:sz="4" w:space="0" w:color="B6B6B6"/>
              <w:right w:val="single" w:sz="4" w:space="0" w:color="9A9A9A"/>
            </w:tcBorders>
            <w:shd w:fill="E5E5E5" w:val="clear"/>
            <w:tcMar>
              <w:top w:w="0" w:type="dxa"/>
              <w:lef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Performance Level</w:t>
            </w:r>
          </w:p>
        </w:tc>
        <w:tc>
          <w:tcPr>
            <w:tcW w:w="3616" w:type="dxa"/>
            <w:tcBorders>
              <w:left w:val="single" w:sz="4" w:space="0" w:color="9A9A9A"/>
              <w:bottom w:val="single" w:sz="4" w:space="0" w:color="B6B6B6"/>
              <w:right w:val="single" w:sz="4" w:space="0" w:color="9A9A9A"/>
            </w:tcBorders>
            <w:shd w:fill="E5E5E5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Relative TSR Percentile v. Nasdaq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Biotechnology Index Companies</w:t>
            </w:r>
          </w:p>
        </w:tc>
        <w:tc>
          <w:tcPr>
            <w:tcW w:w="4201" w:type="dxa"/>
            <w:tcBorders>
              <w:left w:val="single" w:sz="4" w:space="0" w:color="9A9A9A"/>
              <w:bottom w:val="single" w:sz="4" w:space="0" w:color="B6B6B6"/>
            </w:tcBorders>
            <w:shd w:fill="E5E5E5" w:val="clear"/>
            <w:tcMar>
              <w:top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PSUs Vesting as a Percentage of Target</w:t>
            </w:r>
          </w:p>
        </w:tc>
      </w:tr>
      <w:tr>
        <w:trPr/>
        <w:tc>
          <w:tcPr>
            <w:tcW w:w="2026" w:type="dxa"/>
            <w:tcBorders>
              <w:top w:val="single" w:sz="4" w:space="0" w:color="B6B6B6"/>
              <w:bottom w:val="single" w:sz="4" w:space="0" w:color="B6B6B6"/>
              <w:right w:val="single" w:sz="4" w:space="0" w:color="9A9A9A"/>
            </w:tcBorders>
            <w:tcMar>
              <w:lef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Below Threshold</w:t>
            </w:r>
          </w:p>
        </w:tc>
        <w:tc>
          <w:tcPr>
            <w:tcW w:w="3616" w:type="dxa"/>
            <w:tcBorders>
              <w:top w:val="single" w:sz="4" w:space="0" w:color="B6B6B6"/>
              <w:left w:val="single" w:sz="4" w:space="0" w:color="9A9A9A"/>
              <w:bottom w:val="single" w:sz="4" w:space="0" w:color="B6B6B6"/>
              <w:right w:val="single" w:sz="4" w:space="0" w:color="9A9A9A"/>
            </w:tcBorders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49th percentile or below</w:t>
            </w:r>
          </w:p>
        </w:tc>
        <w:tc>
          <w:tcPr>
            <w:tcW w:w="4201" w:type="dxa"/>
            <w:tcBorders>
              <w:top w:val="single" w:sz="4" w:space="0" w:color="B6B6B6"/>
              <w:left w:val="single" w:sz="4" w:space="0" w:color="9A9A9A"/>
              <w:bottom w:val="single" w:sz="4" w:space="0" w:color="B6B6B6"/>
            </w:tcBorders>
            <w:tcMar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0%</w:t>
            </w:r>
          </w:p>
        </w:tc>
      </w:tr>
      <w:tr>
        <w:trPr/>
        <w:tc>
          <w:tcPr>
            <w:tcW w:w="2026" w:type="dxa"/>
            <w:tcBorders>
              <w:top w:val="single" w:sz="4" w:space="0" w:color="B6B6B6"/>
              <w:bottom w:val="single" w:sz="4" w:space="0" w:color="B6B6B6"/>
              <w:right w:val="single" w:sz="4" w:space="0" w:color="9A9A9A"/>
            </w:tcBorders>
            <w:tcMar>
              <w:lef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Threshold</w:t>
            </w:r>
          </w:p>
        </w:tc>
        <w:tc>
          <w:tcPr>
            <w:tcW w:w="3616" w:type="dxa"/>
            <w:tcBorders>
              <w:top w:val="single" w:sz="4" w:space="0" w:color="B6B6B6"/>
              <w:left w:val="single" w:sz="4" w:space="0" w:color="9A9A9A"/>
              <w:bottom w:val="single" w:sz="4" w:space="0" w:color="B6B6B6"/>
              <w:right w:val="single" w:sz="4" w:space="0" w:color="9A9A9A"/>
            </w:tcBorders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50th percentile – 64th percentile</w:t>
            </w:r>
          </w:p>
        </w:tc>
        <w:tc>
          <w:tcPr>
            <w:tcW w:w="4201" w:type="dxa"/>
            <w:tcBorders>
              <w:top w:val="single" w:sz="4" w:space="0" w:color="B6B6B6"/>
              <w:left w:val="single" w:sz="4" w:space="0" w:color="9A9A9A"/>
              <w:bottom w:val="single" w:sz="4" w:space="0" w:color="B6B6B6"/>
            </w:tcBorders>
            <w:tcMar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50%</w:t>
            </w:r>
          </w:p>
        </w:tc>
      </w:tr>
      <w:tr>
        <w:trPr/>
        <w:tc>
          <w:tcPr>
            <w:tcW w:w="2026" w:type="dxa"/>
            <w:tcBorders>
              <w:top w:val="single" w:sz="4" w:space="0" w:color="B6B6B6"/>
              <w:bottom w:val="single" w:sz="4" w:space="0" w:color="B6B6B6"/>
              <w:right w:val="single" w:sz="4" w:space="0" w:color="9A9A9A"/>
            </w:tcBorders>
            <w:tcMar>
              <w:lef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Target</w:t>
            </w:r>
          </w:p>
        </w:tc>
        <w:tc>
          <w:tcPr>
            <w:tcW w:w="3616" w:type="dxa"/>
            <w:tcBorders>
              <w:top w:val="single" w:sz="4" w:space="0" w:color="B6B6B6"/>
              <w:left w:val="single" w:sz="4" w:space="0" w:color="9A9A9A"/>
              <w:bottom w:val="single" w:sz="4" w:space="0" w:color="B6B6B6"/>
              <w:right w:val="single" w:sz="4" w:space="0" w:color="9A9A9A"/>
            </w:tcBorders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65th percentile – 79th percentile</w:t>
            </w:r>
          </w:p>
        </w:tc>
        <w:tc>
          <w:tcPr>
            <w:tcW w:w="4201" w:type="dxa"/>
            <w:tcBorders>
              <w:top w:val="single" w:sz="4" w:space="0" w:color="B6B6B6"/>
              <w:left w:val="single" w:sz="4" w:space="0" w:color="9A9A9A"/>
              <w:bottom w:val="single" w:sz="4" w:space="0" w:color="B6B6B6"/>
            </w:tcBorders>
            <w:tcMar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100%</w:t>
            </w:r>
          </w:p>
        </w:tc>
      </w:tr>
      <w:tr>
        <w:trPr/>
        <w:tc>
          <w:tcPr>
            <w:tcW w:w="2026" w:type="dxa"/>
            <w:tcBorders>
              <w:top w:val="single" w:sz="4" w:space="0" w:color="B6B6B6"/>
              <w:bottom w:val="single" w:sz="8" w:space="0" w:color="F47521"/>
              <w:right w:val="single" w:sz="4" w:space="0" w:color="9A9A9A"/>
            </w:tcBorders>
            <w:tcMar>
              <w:lef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Maximum</w:t>
            </w:r>
          </w:p>
        </w:tc>
        <w:tc>
          <w:tcPr>
            <w:tcW w:w="3616" w:type="dxa"/>
            <w:tcBorders>
              <w:top w:val="single" w:sz="4" w:space="0" w:color="B6B6B6"/>
              <w:left w:val="single" w:sz="4" w:space="0" w:color="9A9A9A"/>
              <w:bottom w:val="single" w:sz="8" w:space="0" w:color="F47521"/>
              <w:right w:val="single" w:sz="4" w:space="0" w:color="9A9A9A"/>
            </w:tcBorders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80th percentile or above</w:t>
            </w:r>
          </w:p>
        </w:tc>
        <w:tc>
          <w:tcPr>
            <w:tcW w:w="4201" w:type="dxa"/>
            <w:tcBorders>
              <w:top w:val="single" w:sz="4" w:space="0" w:color="B6B6B6"/>
              <w:left w:val="single" w:sz="4" w:space="0" w:color="9A9A9A"/>
              <w:bottom w:val="single" w:sz="8" w:space="0" w:color="F47521"/>
            </w:tcBorders>
            <w:tcMar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175%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The NEOs are therefore eligible to vest up to a maximum of 175% of the target number of shares of our common stock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subject to the PSU award. However, if the maximum performance level target for the 2025</w:t>
      </w:r>
      <w:r>
        <w:rPr>
          <w:caps w:val="false"/>
          <w:smallCaps w:val="false"/>
          <w:strike w:val="false"/>
          <w:dstrike w:val="false"/>
          <w:color w:val="3F3F3F"/>
          <w:sz w:val="24"/>
          <w:u w:val="none"/>
          <w:effect w:val="none"/>
        </w:rPr>
        <w:t xml:space="preserve">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Relative TSR Goal is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achieved but the actual total stockholder return (TSR) is negative at the end of the performance period, then vesting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for each of the NEOs will be limited to 100% of the target number of shares. Failure to achieve the threshold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performance level target during the three-year performance period will result in forfeiture of the entire 2025</w:t>
      </w:r>
      <w:r>
        <w:rPr>
          <w:caps w:val="false"/>
          <w:smallCaps w:val="false"/>
          <w:strike w:val="false"/>
          <w:dstrike w:val="false"/>
          <w:color w:val="3F3F3F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PSU award.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After the performance period has ended, the Compensation Committee will certify the level of achievement of the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2025</w:t>
      </w:r>
      <w:r>
        <w:rPr>
          <w:caps w:val="false"/>
          <w:smallCaps w:val="false"/>
          <w:strike w:val="false"/>
          <w:dstrike w:val="false"/>
          <w:color w:val="3F3F3F"/>
          <w:sz w:val="24"/>
          <w:u w:val="none"/>
          <w:effect w:val="none"/>
        </w:rPr>
        <w:t xml:space="preserve">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Relative TSR Goal and then determine the number of shares that are entitled to vest based on such achievement,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which will be equal to the product of (1) the target number of shares subject to a 2025</w:t>
      </w:r>
      <w:r>
        <w:rPr>
          <w:caps w:val="false"/>
          <w:smallCaps w:val="false"/>
          <w:strike w:val="false"/>
          <w:dstrike w:val="false"/>
          <w:color w:val="3F3F3F"/>
          <w:sz w:val="24"/>
          <w:u w:val="none"/>
          <w:effect w:val="none"/>
        </w:rPr>
        <w:t xml:space="preserve">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PSU award and (2) the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performance achievement percentage of the 2025</w:t>
      </w:r>
      <w:r>
        <w:rPr>
          <w:caps w:val="false"/>
          <w:smallCaps w:val="false"/>
          <w:strike w:val="false"/>
          <w:dstrike w:val="false"/>
          <w:color w:val="3F3F3F"/>
          <w:sz w:val="24"/>
          <w:u w:val="none"/>
          <w:effect w:val="none"/>
        </w:rPr>
        <w:t xml:space="preserve">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Relative TSR Goal (such number referred to herein as the 2025 PSU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Certified Shares). Each 2025</w:t>
      </w:r>
      <w:r>
        <w:rPr>
          <w:caps w:val="false"/>
          <w:smallCaps w:val="false"/>
          <w:strike w:val="false"/>
          <w:dstrike w:val="false"/>
          <w:color w:val="3F3F3F"/>
          <w:sz w:val="24"/>
          <w:u w:val="none"/>
          <w:effect w:val="none"/>
        </w:rPr>
        <w:t xml:space="preserve">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PSU award will vest as to 50% of the 2025</w:t>
      </w:r>
      <w:r>
        <w:rPr>
          <w:caps w:val="false"/>
          <w:smallCaps w:val="false"/>
          <w:strike w:val="false"/>
          <w:dstrike w:val="false"/>
          <w:color w:val="3F3F3F"/>
          <w:sz w:val="24"/>
          <w:u w:val="none"/>
          <w:effect w:val="none"/>
        </w:rPr>
        <w:t xml:space="preserve">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PSU Certified Shares upon the Compensation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Committee’s certification with the remaining 50% of the 2025</w:t>
      </w:r>
      <w:r>
        <w:rPr>
          <w:caps w:val="false"/>
          <w:smallCaps w:val="false"/>
          <w:strike w:val="false"/>
          <w:dstrike w:val="false"/>
          <w:color w:val="3F3F3F"/>
          <w:sz w:val="24"/>
          <w:u w:val="none"/>
          <w:effect w:val="none"/>
        </w:rPr>
        <w:t xml:space="preserve">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PSU Certified Shares vesting on the first quarterly vesting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date following the one-year anniversary of the Compensation Committee’s certification.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Vesting of these PSU awards will cease upon termination of service as an employee for any reason except for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termination without cause or constructive termination in connection with certain change-in-control events of the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company. Pursuant to the terms of the award agreements, following certain change in control events wherein the PSU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awards are assumed by the surviving entity, the PSU awards will convert to time-based vesting, and the target number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of shares subject to each PSU award will vest annually over a four-year period following the grant date (with any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portion that would have vested on or prior to the change-in-control event under this time-based vesting schedule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vesting on the date of the change-in-control event and any portion that is unvested following the date of the change-in-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control event vesting in accordance with the time-based vesting schedule). The purpose of this conversion feature is to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account for the fact that the goal may not be measurable in the context of the newly formed organization. A discussion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of the treatment of PSUs under our CIC Plan can be found under “</w:t>
      </w:r>
      <w:hyperlink w:anchor="i6d44722bfc2543dbbba9716d9e560c58_202">
        <w:r>
          <w:rPr>
            <w:rStyle w:val="InternetLink"/>
            <w:rFonts w:ascii="sans-serif" w:hAnsi="sans-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 xml:space="preserve">Potential Payments Upon Termination or Change in </w:t>
        </w:r>
      </w:hyperlink>
    </w:p>
    <w:p>
      <w:pPr>
        <w:pStyle w:val="TextBody"/>
        <w:bidi w:val="0"/>
        <w:spacing w:lineRule="atLeast" w:line="200" w:before="0" w:after="0"/>
        <w:jc w:val="left"/>
        <w:rPr/>
      </w:pPr>
      <w:hyperlink w:anchor="i6d44722bfc2543dbbba9716d9e560c58_202">
        <w:r>
          <w:rPr>
            <w:rStyle w:val="InternetLink"/>
            <w:rFonts w:ascii="sans-serif" w:hAnsi="sans-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Control</w:t>
        </w:r>
      </w:hyperlink>
      <w:r>
        <w:rPr>
          <w:caps w:val="false"/>
          <w:smallCaps w:val="false"/>
          <w:strike w:val="false"/>
          <w:dstrike w:val="false"/>
          <w:color w:val="3F3F3F"/>
          <w:u w:val="none"/>
          <w:effect w:val="none"/>
        </w:rPr>
        <w:t xml:space="preserve">”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below.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sans-serif" w:hAnsi="sans-serif"/>
          <w:b/>
          <w:i/>
          <w:strike w:val="false"/>
          <w:dstrike w:val="false"/>
          <w:color w:val="3F3F3F"/>
          <w:sz w:val="20"/>
          <w:u w:val="none"/>
          <w:effect w:val="none"/>
        </w:rPr>
        <w:t>Value of 2025</w:t>
      </w:r>
      <w:r>
        <w:rPr>
          <w:strike w:val="false"/>
          <w:dstrike w:val="false"/>
          <w:color w:val="3F3F3F"/>
          <w:sz w:val="24"/>
          <w:u w:val="none"/>
          <w:effect w:val="none"/>
        </w:rPr>
        <w:t xml:space="preserve"> </w:t>
      </w:r>
      <w:r>
        <w:rPr>
          <w:rFonts w:ascii="sans-serif" w:hAnsi="sans-serif"/>
          <w:b/>
          <w:i/>
          <w:strike w:val="false"/>
          <w:dstrike w:val="false"/>
          <w:color w:val="3F3F3F"/>
          <w:sz w:val="20"/>
          <w:u w:val="none"/>
          <w:effect w:val="none"/>
        </w:rPr>
        <w:t xml:space="preserve">Long-Term Incentive Awards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When determining the appropriate value of NEO equity incentive awards in February 2025 (other than Dr. Hefti whose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2025 equity incentive award value was determined by the Equity Award Committee in February 2025 pursuant to the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Committee-established Compensation Framework before she became an executive officer), the Compensation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Committee asked its independent compensation consultant, Aon, to provide guidance with respect to a program that </w:t>
      </w:r>
    </w:p>
    <w:tbl>
      <w:tblPr>
        <w:tblW w:w="256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176"/>
        <w:gridCol w:w="391"/>
      </w:tblGrid>
      <w:tr>
        <w:trPr/>
        <w:tc>
          <w:tcPr>
            <w:tcW w:w="21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7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40404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404040"/>
                <w:sz w:val="18"/>
                <w:u w:val="none"/>
                <w:effect w:val="none"/>
              </w:rPr>
              <w:t>2026 Proxy Statement</w:t>
            </w:r>
          </w:p>
        </w:tc>
        <w:tc>
          <w:tcPr>
            <w:tcW w:w="39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  <w:t>81</w:t>
            </w:r>
          </w:p>
        </w:tc>
      </w:tr>
    </w:tbl>
    <w:tbl>
      <w:tblPr>
        <w:tblW w:w="823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696"/>
        <w:gridCol w:w="6541"/>
      </w:tblGrid>
      <w:tr>
        <w:trPr/>
        <w:tc>
          <w:tcPr>
            <w:tcW w:w="16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5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9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6d44722bfc2543dbbba9716d9e560c58_16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color w:val="0000FF"/>
                  <w:sz w:val="18"/>
                  <w:u w:val="single"/>
                </w:rPr>
                <w:t>Table of Contents</w:t>
              </w:r>
            </w:hyperlink>
          </w:p>
        </w:tc>
        <w:tc>
          <w:tcPr>
            <w:tcW w:w="654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2025 Compensation Decisions</w:t>
            </w:r>
            <w:r>
              <w:rPr>
                <w:caps w:val="false"/>
                <w:smallCaps w:val="false"/>
                <w:strike w:val="false"/>
                <w:dstrike w:val="false"/>
                <w:color w:val="F47521"/>
                <w:u w:val="none"/>
                <w:effect w:val="none"/>
              </w:rPr>
              <w:t xml:space="preserve">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  <w:t>|</w:t>
            </w: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 xml:space="preserve">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Compensation Discussion and Analysis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would incentivize our NEOs to achieve key company priorities and increase stockholder value over the long-term, while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maintaining competitive market practices and being mindful of the company’s equity burn rate.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As part of the decision-making process, the Compensation Committee considered the challenges of managing a strong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performing organization in a highly competitive and increasingly highly regulated business environment, as well as the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importance of a cohesive management team to facilitate continued strong commercial execution for CABOMETYX in its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approved indications, advancement of zanzalintinib as Exelixis’ next potential oncology franchise, and progression of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our other clinical programs and early-stage product pipeline, while maintaining a strong financial position. The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Compensation Committee also believed it was important that the value of the equity awards continue to reflect the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individual performance of each NEO (other than Dr. Hefti) during the fiscal year to date and the criticality of each such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NEO’s skill set and expected future contributions to our business. Taking these factors into consideration and applying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Aon’s market analysis of long-term incentive compensation of our NEOs compared to our Peers, the Compensation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Committee, or Equity Award Committee (with respect to Dr. Hefti), determined the aggregate value of the equity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awards granted to each of our NEOs taking into account competitive market data, company and individual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performance, scope of responsibility, critical needs and skill sets, leadership potential and succession planning, and the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Compensation Committee, or Equity Award Committee (with respect to Dr. Hefti), approved the aggregate grant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amounts to the NEOs summarized in the table below. The actual number of RSUs and PSUs granted to each executive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officer was determined by dividing the value the Compensation Committee, or Equity Award Committee, (with respect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to Dr. Hefti), intended to deliver by the 20-day average trailing stock price (as of February 20, 2025). A 20-day average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stock price was used, rather than a single day share price, in order to provide a more stabilized share value less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susceptible to possible swings in the market.</w:t>
      </w:r>
    </w:p>
    <w:tbl>
      <w:tblPr>
        <w:tblW w:w="7849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791"/>
        <w:gridCol w:w="1951"/>
        <w:gridCol w:w="376"/>
        <w:gridCol w:w="2731"/>
      </w:tblGrid>
      <w:tr>
        <w:trPr/>
        <w:tc>
          <w:tcPr>
            <w:tcW w:w="27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791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Name</w:t>
            </w:r>
          </w:p>
        </w:tc>
        <w:tc>
          <w:tcPr>
            <w:tcW w:w="1951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Number of Shares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Subject to RSUs</w:t>
            </w:r>
          </w:p>
        </w:tc>
        <w:tc>
          <w:tcPr>
            <w:tcW w:w="376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31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Target Number of Shares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sz w:val="24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Subject to 2025</w:t>
            </w:r>
            <w:r>
              <w:rPr>
                <w:caps w:val="false"/>
                <w:smallCaps w:val="false"/>
                <w:strike w:val="false"/>
                <w:dstrike w:val="false"/>
                <w:color w:val="FFFFFF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PSUs</w:t>
            </w:r>
          </w:p>
        </w:tc>
      </w:tr>
      <w:tr>
        <w:trPr/>
        <w:tc>
          <w:tcPr>
            <w:tcW w:w="2791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Michael M. Morrissey, Ph.D.</w:t>
            </w:r>
          </w:p>
        </w:tc>
        <w:tc>
          <w:tcPr>
            <w:tcW w:w="1951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184,909</w:t>
            </w:r>
          </w:p>
        </w:tc>
        <w:tc>
          <w:tcPr>
            <w:tcW w:w="376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31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184,909</w:t>
            </w:r>
          </w:p>
        </w:tc>
      </w:tr>
      <w:tr>
        <w:trPr/>
        <w:tc>
          <w:tcPr>
            <w:tcW w:w="279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Christopher J. Senner</w:t>
            </w:r>
          </w:p>
        </w:tc>
        <w:tc>
          <w:tcPr>
            <w:tcW w:w="195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59,648</w:t>
            </w:r>
          </w:p>
        </w:tc>
        <w:tc>
          <w:tcPr>
            <w:tcW w:w="37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3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59,648</w:t>
            </w:r>
          </w:p>
        </w:tc>
      </w:tr>
      <w:tr>
        <w:trPr/>
        <w:tc>
          <w:tcPr>
            <w:tcW w:w="279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Dana T. Aftab, Ph.D.</w:t>
            </w:r>
          </w:p>
        </w:tc>
        <w:tc>
          <w:tcPr>
            <w:tcW w:w="195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99,882</w:t>
            </w:r>
          </w:p>
        </w:tc>
        <w:tc>
          <w:tcPr>
            <w:tcW w:w="37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(1)</w:t>
            </w:r>
          </w:p>
        </w:tc>
        <w:tc>
          <w:tcPr>
            <w:tcW w:w="273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49,209</w:t>
            </w:r>
          </w:p>
        </w:tc>
      </w:tr>
      <w:tr>
        <w:trPr/>
        <w:tc>
          <w:tcPr>
            <w:tcW w:w="279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Patrick J. Haley</w:t>
            </w:r>
          </w:p>
        </w:tc>
        <w:tc>
          <w:tcPr>
            <w:tcW w:w="195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47,718</w:t>
            </w:r>
          </w:p>
        </w:tc>
        <w:tc>
          <w:tcPr>
            <w:tcW w:w="37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3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47,718</w:t>
            </w:r>
          </w:p>
        </w:tc>
      </w:tr>
      <w:tr>
        <w:trPr/>
        <w:tc>
          <w:tcPr>
            <w:tcW w:w="279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Brenda J. Hefti, J.D., Ph.D.</w:t>
            </w:r>
          </w:p>
        </w:tc>
        <w:tc>
          <w:tcPr>
            <w:tcW w:w="195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44,944</w:t>
            </w:r>
          </w:p>
        </w:tc>
        <w:tc>
          <w:tcPr>
            <w:tcW w:w="37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(2)</w:t>
            </w:r>
          </w:p>
        </w:tc>
        <w:tc>
          <w:tcPr>
            <w:tcW w:w="273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14,774</w:t>
            </w:r>
          </w:p>
        </w:tc>
      </w:tr>
      <w:tr>
        <w:trPr/>
        <w:tc>
          <w:tcPr>
            <w:tcW w:w="279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Jeffrey J. Hessekiel, J.D. (3)</w:t>
            </w:r>
          </w:p>
        </w:tc>
        <w:tc>
          <w:tcPr>
            <w:tcW w:w="195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52,192</w:t>
            </w:r>
          </w:p>
        </w:tc>
        <w:tc>
          <w:tcPr>
            <w:tcW w:w="37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3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52,192</w:t>
            </w:r>
          </w:p>
        </w:tc>
      </w:tr>
      <w:tr>
        <w:trPr/>
        <w:tc>
          <w:tcPr>
            <w:tcW w:w="2791" w:type="dxa"/>
            <w:tcBorders>
              <w:top w:val="single" w:sz="4" w:space="0" w:color="B6B6B6"/>
              <w:bottom w:val="single" w:sz="8" w:space="0" w:color="F47521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Amy C. Peterson, M.D. (4)</w:t>
            </w:r>
          </w:p>
        </w:tc>
        <w:tc>
          <w:tcPr>
            <w:tcW w:w="1951" w:type="dxa"/>
            <w:tcBorders>
              <w:top w:val="single" w:sz="4" w:space="0" w:color="B6B6B6"/>
              <w:bottom w:val="single" w:sz="8" w:space="0" w:color="F47521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52,192</w:t>
            </w:r>
          </w:p>
        </w:tc>
        <w:tc>
          <w:tcPr>
            <w:tcW w:w="376" w:type="dxa"/>
            <w:tcBorders>
              <w:top w:val="single" w:sz="4" w:space="0" w:color="B6B6B6"/>
              <w:bottom w:val="single" w:sz="8" w:space="0" w:color="F47521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31" w:type="dxa"/>
            <w:tcBorders>
              <w:top w:val="single" w:sz="4" w:space="0" w:color="B6B6B6"/>
              <w:bottom w:val="single" w:sz="8" w:space="0" w:color="F47521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52,192</w:t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(1)For Dr. Aftab, the amount shown also reflects an RSU award of 50,673 shares granted in October 2025 in connection with his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>promotion to Executive Vice President, Research and Development.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(2)For Dr. Hefti, the amount shown also reflects an RSU award of 30,170 shares granted in December 2025 in connection with her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>promotion to Senior Vice President and General Counsel.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>(3)Mr. Hessekiel left the company in November 2025, at which time the 2025 RSU and PSU awards were forfeited in their entirety.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>(4)Dr. Peterson left the company in August 2025, at which time the 2025 RSU and PSU awards were forfeited in their entirety.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</w:pPr>
      <w:r>
        <w:rPr>
          <w:rFonts w:ascii="sans-serif" w:hAnsi="sans-serif"/>
          <w:b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  <w:t>2022 Long-Term Incentive Awards Achievements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In 2022, the Compensation Committee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53585B"/>
          <w:sz w:val="20"/>
          <w:u w:val="none"/>
          <w:effect w:val="none"/>
        </w:rPr>
        <w:t xml:space="preserve">granted PSUs to the NEOs (other than Dr. Peterson, who was not with the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53585B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53585B"/>
          <w:sz w:val="20"/>
          <w:u w:val="none"/>
          <w:effect w:val="none"/>
        </w:rPr>
        <w:t xml:space="preserve">company in 2022; and Dr. Hefti, who was not a NEO in 2022 and whose long-term incentive compensation was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53585B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53585B"/>
          <w:sz w:val="20"/>
          <w:u w:val="none"/>
          <w:effect w:val="none"/>
        </w:rPr>
        <w:t xml:space="preserve">determined by the Equity Award Committee pursuant to the Compensation Framework established by the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53585B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53585B"/>
          <w:sz w:val="20"/>
          <w:u w:val="none"/>
          <w:effect w:val="none"/>
        </w:rPr>
        <w:t xml:space="preserve">Compensation Committee) that vest upon or following achievement of targets related to the performance of our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53585B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53585B"/>
          <w:sz w:val="20"/>
          <w:u w:val="none"/>
          <w:effect w:val="none"/>
        </w:rPr>
        <w:t xml:space="preserve">Relative TSR over a three-year period beginning January 1, 2022 and concluding on January 3, 2025 (referred to herein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53585B"/>
          <w:sz w:val="20"/>
          <w:u w:val="none"/>
          <w:effect w:val="none"/>
        </w:rPr>
        <w:t xml:space="preserve">as the 2022 PSU Performance Period). On January 16, 2025, recognizing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the company’s Relative TSR at the end of the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performance period was 91.77% (93rd percentile among the Nasdaq Biotechnology Index), the Compensation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Committee certified maximum achievement at 175% of the target number of shares subject to the 2022 PSU awards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(2022 Earned PSU Shares). Upon this certification, 50% of 2022 Earned PSU Shares vested. The remaining 50% of the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2022 Earned PSU Shares vested on February 15, 2026.</w:t>
      </w:r>
    </w:p>
    <w:tbl>
      <w:tblPr>
        <w:tblW w:w="174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61"/>
        <w:gridCol w:w="1381"/>
      </w:tblGrid>
      <w:tr>
        <w:trPr/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  <w:t>82</w:t>
            </w:r>
          </w:p>
        </w:tc>
        <w:tc>
          <w:tcPr>
            <w:tcW w:w="138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Exelixis, Inc.</w:t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/>
      </w:pPr>
      <w:hyperlink w:anchor="i6d44722bfc2543dbbba9716d9e560c58_16">
        <w:r>
          <w:rPr>
            <w:rStyle w:val="InternetLink"/>
            <w:rFonts w:ascii="sans-serif" w:hAnsi="sans-serif"/>
            <w:b w:val="false"/>
            <w:i w:val="false"/>
            <w:caps w:val="false"/>
            <w:smallCaps w:val="false"/>
            <w:color w:val="0000FF"/>
            <w:sz w:val="18"/>
            <w:u w:val="single"/>
          </w:rPr>
          <w:t>Table of Contents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</w:pPr>
      <w:r>
        <w:rPr>
          <w:rFonts w:ascii="sans-serif" w:hAnsi="sans-serif"/>
          <w:b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  <w:t>2023 Long-Term Incentive Awards Achievements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In 2023, the Compensation Committee granted PSUs to the NEOs (other than Dr. Hefti, who was not a NEO in 2023 and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whose long-term incentive compensation was determined by the Equity Award Committee pursuant to the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Compensation Framework established by the Compensation Committee) that vest upon or following achievement of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targets related to the performance of our Relative TSR over a three-year period beginning December 31, 2022 and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concluding on January 2, 2026 (referred to herein as the 2023 PSU Performance Period). On January 15, 2026,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recognizing the company’s Relative TSR at the end of the performance period was 171.9% (84th percentile among the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Nasdaq Biotechnology Index), the Compensation Committee certified maximum achievement at 175% of the target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number of shares subject to the 2023 PSU awards (2023 Earned PSU Shares). Upon this certification, 50% of 2023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Earned PSU Shares vested. The remaining 50% of the 2023 Earned PSU Shares are expected to vest on February 15,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2027.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</w:pPr>
      <w:r>
        <w:rPr>
          <w:rFonts w:ascii="sans-serif" w:hAnsi="sans-serif"/>
          <w:b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  <w:t xml:space="preserve">2025 One-Time PSU Award (Special Equity Award Program)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In March 2025, following a recommendation of the Compensation Committee, the Board approved under the 2017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Plan a Special Equity Award Program that applied broadly across the company, including to our NEOs. The Special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Equity Award Program was designed to (i) reinforce long-term alignment with stockholders through a rigorous,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absolute stock price performance hurdle and (ii) provide meaningful retention value over a multiyear period of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strategic execution. In approving the Special Equity Award Program, the Compensation Committee and Board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considered the company’s multi</w:t>
        <w:noBreakHyphen/>
        <w:t xml:space="preserve">year strategic plan and the importance of sustained leadership continuity and broad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employee alignment as we execute against our R&amp;D and commercial priorities. Importantly, the Compensation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Committee designed the program so that value is delivered only if stockholders experience meaningful value creation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and only if employees, including our NEOs, remain with the company over the long term. Consistent with its one-time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nature, the Special Equity Award Program is not part of our regular annual equity cycle, and One-Time PSU Awards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were granted to eligible employees in the approved amounts during the period from March 31 through September 30,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2025.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  <w:t>The One</w:t>
        <w:noBreakHyphen/>
        <w:t>Time PSU Awards under the Special Equity Award Program are subject to a rigorous, performance</w:t>
        <w:noBreakHyphen/>
        <w:t xml:space="preserve">based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  <w:t>design intended to align realized value directly with long</w:t>
        <w:noBreakHyphen/>
        <w:t xml:space="preserve">term stockholder value creation and sustained service,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  <w:t xml:space="preserve">consistent with our pay-for-performance philosophy. The performance vesting requirement for the One-Time PSU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  <w:t xml:space="preserve">Awards will be satisfied to the extent that the volume-weighted average closing price of the company’s common stock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  <w:t xml:space="preserve">for any consecutive 90-calendar-day period equals or exceeds $60 per share on any day during the five-year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  <w:t xml:space="preserve">performance period (the Stock-Price Performance Condition). This hurdle was set meaningfully above the company’s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  <w:t xml:space="preserve">share price at the time the awards were approved (approximately 60% premium) so that value is delivered only with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  <w:t xml:space="preserve">sustained stockholder value creation. To fully vest in a One-Time PSU Award, an employee must also remain employed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  <w:t xml:space="preserve">through the fifth anniversary of the grant, subject to certain exceptions on a qualifying termination of employment (the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  <w:t xml:space="preserve">Time-Based Service Requirement). If the stock price goal is not achieved within the performance period, the entirety of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  <w:t xml:space="preserve">the One-Time PSU Award will be forfeited.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  <w:t>Vesting of these One-Time PSU Awards will generally cease upon termination of continuous service for any reason</w:t>
      </w:r>
      <w:r>
        <w:rPr>
          <w:caps w:val="false"/>
          <w:smallCaps w:val="false"/>
          <w:strike w:val="false"/>
          <w:dstrike w:val="false"/>
          <w:color w:val="3F3F3F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except for termination due to death or disability, or termination without cause or for good reason in connection with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certain change-in-control events of the company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  <w:t xml:space="preserve">. Pursuant to the terms of the award agreements, in connection with a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  <w:t xml:space="preserve">change in control, the Stock-Price Performance Condition, to the extent not satisfied, will be evaluated based on the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  <w:t xml:space="preserve">change-in-control stock price. If the change-in-control stock price equals or exceeds $60, the Stock-Price Performance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  <w:t xml:space="preserve">Condition will be deemed satisfied, but the One-Time PSU Awards will generally remain subject to the Time-Based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  <w:t xml:space="preserve">Service Requirement, unless (i) the surviving corporation does not assume or substitute the award, or (ii) the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  <w:t>participant experiences a qualifying termi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nation in connection with the change in control, in which case the award will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vest in accordance with the terms of the award agreements. If the change-in-control stock price is below $60, the One-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Time PSU Awards will be forfeited. A discussion of the treatment of the One-Time PSU Awards in connection with a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termination or a change in control can be found under “</w:t>
      </w:r>
      <w:hyperlink w:anchor="i6d44722bfc2543dbbba9716d9e560c58_202">
        <w:r>
          <w:rPr>
            <w:rStyle w:val="InternetLink"/>
            <w:rFonts w:ascii="sans-serif" w:hAnsi="sans-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Potential Payments Upon Termination or Change in Control</w:t>
        </w:r>
      </w:hyperlink>
      <w:r>
        <w:rPr>
          <w:caps w:val="false"/>
          <w:smallCaps w:val="false"/>
          <w:strike w:val="false"/>
          <w:dstrike w:val="false"/>
          <w:color w:val="3F3F3F"/>
          <w:u w:val="none"/>
          <w:effect w:val="none"/>
        </w:rPr>
        <w:t xml:space="preserve">”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below.</w:t>
      </w:r>
    </w:p>
    <w:tbl>
      <w:tblPr>
        <w:tblW w:w="256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176"/>
        <w:gridCol w:w="391"/>
      </w:tblGrid>
      <w:tr>
        <w:trPr/>
        <w:tc>
          <w:tcPr>
            <w:tcW w:w="21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7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40404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404040"/>
                <w:sz w:val="18"/>
                <w:u w:val="none"/>
                <w:effect w:val="none"/>
              </w:rPr>
              <w:t>2026 Proxy Statement</w:t>
            </w:r>
          </w:p>
        </w:tc>
        <w:tc>
          <w:tcPr>
            <w:tcW w:w="39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  <w:t>83</w:t>
            </w:r>
          </w:p>
        </w:tc>
      </w:tr>
    </w:tbl>
    <w:tbl>
      <w:tblPr>
        <w:tblW w:w="823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696"/>
        <w:gridCol w:w="6541"/>
      </w:tblGrid>
      <w:tr>
        <w:trPr/>
        <w:tc>
          <w:tcPr>
            <w:tcW w:w="16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5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9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6d44722bfc2543dbbba9716d9e560c58_16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color w:val="0000FF"/>
                  <w:sz w:val="18"/>
                  <w:u w:val="single"/>
                </w:rPr>
                <w:t>Table of Contents</w:t>
              </w:r>
            </w:hyperlink>
          </w:p>
        </w:tc>
        <w:tc>
          <w:tcPr>
            <w:tcW w:w="654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2025 Compensation Decisions</w:t>
            </w:r>
            <w:r>
              <w:rPr>
                <w:caps w:val="false"/>
                <w:smallCaps w:val="false"/>
                <w:strike w:val="false"/>
                <w:dstrike w:val="false"/>
                <w:color w:val="F47521"/>
                <w:u w:val="none"/>
                <w:effect w:val="none"/>
              </w:rPr>
              <w:t xml:space="preserve">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  <w:t>|</w:t>
            </w: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 xml:space="preserve">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Compensation Discussion and Analysis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</w:pPr>
      <w:r>
        <w:rPr>
          <w:rFonts w:ascii="sans-serif" w:hAnsi="sans-serif"/>
          <w:b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  <w:t>Value of One-Time PSU Award (Special Equity Award Program)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  <w:t xml:space="preserve">In determining the Special Equity Award Program’s overall design and award sizing, the Compensation Committee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  <w:t xml:space="preserve">considered market-based research from its compensation consultant and the overall goal of aligning all employee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  <w:t xml:space="preserve">interests with shareholder interests. The Compensation Committee calibrated the value of the One-Time PSU Awards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  <w:t xml:space="preserve">to approximately two times the value of an annual long-term incentive award for similarly situated employees at peer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  <w:t xml:space="preserve">companies placed at the 50th percentile. The program was broad based, applying to all employees between March 31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  <w:t xml:space="preserve">through September 30, 2025, thereby reinforcing alignment and retention across the organization. Shares subject to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  <w:t xml:space="preserve">the awards were converted using the 20-day trailing average stock price immediately preceding the applicable grant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  <w:t>date, which the Compensation Committee believed provided a more stable and representative valuation methodology.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</w:pPr>
      <w:r>
        <w:rPr>
          <w:rFonts w:ascii="sans-serif" w:hAnsi="sans-serif"/>
          <w:b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  <w:t>NEO Grants Under the One</w:t>
        <w:noBreakHyphen/>
        <w:t>Time PSU Award (Special Equity Award Program)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  <w:t xml:space="preserve">The number of shares underlying the One-Time PSU Awards granted to our NEOs under the Special Equity Award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  <w:t>Program was as follows:</w:t>
      </w:r>
    </w:p>
    <w:tbl>
      <w:tblPr>
        <w:tblW w:w="568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791"/>
        <w:gridCol w:w="2896"/>
      </w:tblGrid>
      <w:tr>
        <w:trPr/>
        <w:tc>
          <w:tcPr>
            <w:tcW w:w="27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791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Name</w:t>
            </w:r>
          </w:p>
        </w:tc>
        <w:tc>
          <w:tcPr>
            <w:tcW w:w="2896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 xml:space="preserve">Number of Shares Subject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to One-Time PSU Awards</w:t>
            </w:r>
          </w:p>
        </w:tc>
      </w:tr>
      <w:tr>
        <w:trPr/>
        <w:tc>
          <w:tcPr>
            <w:tcW w:w="2791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Michael M. Morrissey, Ph.D.</w:t>
            </w:r>
          </w:p>
        </w:tc>
        <w:tc>
          <w:tcPr>
            <w:tcW w:w="2896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589,719</w:t>
            </w:r>
          </w:p>
        </w:tc>
      </w:tr>
      <w:tr>
        <w:trPr/>
        <w:tc>
          <w:tcPr>
            <w:tcW w:w="279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Christopher J. Senner</w:t>
            </w:r>
          </w:p>
        </w:tc>
        <w:tc>
          <w:tcPr>
            <w:tcW w:w="289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170,009</w:t>
            </w:r>
          </w:p>
        </w:tc>
      </w:tr>
      <w:tr>
        <w:trPr/>
        <w:tc>
          <w:tcPr>
            <w:tcW w:w="279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Dana T. Aftab, Ph.D.</w:t>
            </w:r>
          </w:p>
        </w:tc>
        <w:tc>
          <w:tcPr>
            <w:tcW w:w="289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132,819</w:t>
            </w:r>
          </w:p>
        </w:tc>
      </w:tr>
      <w:tr>
        <w:trPr/>
        <w:tc>
          <w:tcPr>
            <w:tcW w:w="279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Patrick J. Haley</w:t>
            </w:r>
          </w:p>
        </w:tc>
        <w:tc>
          <w:tcPr>
            <w:tcW w:w="289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159,383</w:t>
            </w:r>
          </w:p>
        </w:tc>
      </w:tr>
      <w:tr>
        <w:trPr/>
        <w:tc>
          <w:tcPr>
            <w:tcW w:w="279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Brenda J. Hefti, J.D., Ph.D. </w:t>
            </w:r>
          </w:p>
        </w:tc>
        <w:tc>
          <w:tcPr>
            <w:tcW w:w="289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34,533</w:t>
            </w:r>
          </w:p>
        </w:tc>
      </w:tr>
      <w:tr>
        <w:trPr/>
        <w:tc>
          <w:tcPr>
            <w:tcW w:w="279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Jeffrey J. Hessekiel, J.D. (1)</w:t>
            </w:r>
          </w:p>
        </w:tc>
        <w:tc>
          <w:tcPr>
            <w:tcW w:w="289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154,070</w:t>
            </w:r>
          </w:p>
        </w:tc>
      </w:tr>
      <w:tr>
        <w:trPr/>
        <w:tc>
          <w:tcPr>
            <w:tcW w:w="2791" w:type="dxa"/>
            <w:tcBorders>
              <w:top w:val="single" w:sz="4" w:space="0" w:color="B6B6B6"/>
              <w:bottom w:val="single" w:sz="8" w:space="0" w:color="F47521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Amy C. Peterson, M.D. (1)</w:t>
            </w:r>
          </w:p>
        </w:tc>
        <w:tc>
          <w:tcPr>
            <w:tcW w:w="2896" w:type="dxa"/>
            <w:tcBorders>
              <w:top w:val="single" w:sz="4" w:space="0" w:color="B6B6B6"/>
              <w:bottom w:val="single" w:sz="8" w:space="0" w:color="F47521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159,383</w:t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(1)The One-Time PSU Awards granted to Mr. Hessekiel and Dr. Peterson were forfeited in their entirety in connection with their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>departure from the company.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</w:pPr>
      <w:r>
        <w:rPr>
          <w:rFonts w:ascii="sans-serif" w:hAnsi="sans-serif"/>
          <w:b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  <w:t>Dr. Amy C. Peterson’s Severance Compensation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  <w:t xml:space="preserve">In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August</w:t>
      </w:r>
      <w:r>
        <w:rPr>
          <w:caps w:val="false"/>
          <w:smallCaps w:val="false"/>
          <w:strike w:val="false"/>
          <w:dstrike w:val="false"/>
          <w:color w:val="494949"/>
          <w:u w:val="none"/>
          <w:effect w:val="none"/>
        </w:rPr>
        <w:t xml:space="preserve">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  <w:t xml:space="preserve">2025, Dr. Peterson concluded her service as Executive Vice President, Product Development &amp; Medical Affairs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  <w:t xml:space="preserve">and Chief Medical Officer of the company. In connection with Dr. Peterson’s departure from the company which ended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  <w:t xml:space="preserve">in a Covered Termination (as defined under the CIC Plan), the company and Dr. Peterson entered into a separation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  <w:t xml:space="preserve">agreement in November 2025 (referred to herein as the Peterson Separation Agreement). Pursuant to the Peterson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  <w:t xml:space="preserve">Separation Agreement, Dr. Peterson and her designated recipient received severance payments and benefits to which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  <w:t xml:space="preserve">she is entitled under the company’s CIC Plan, which included 12 months’ base salary, in the gross amount of $706,135.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  <w:t xml:space="preserve">In addition, under the CIC Plan, Dr. Peterson received payment equal to a pro rata portion of Dr. Peterson’s 2025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  <w:t xml:space="preserve">annual actual bonus, calculated based on the number of completed calendar months worked during 2025, plus an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  <w:t xml:space="preserve">additional 60 calendar days deemed worked for purposes of the calculation. In addition, Dr. Peterson received a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  <w:t xml:space="preserve">payment in consideration of (1) unvested stock options and restricted stock units forfeited in accordance with the 2017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  <w:t xml:space="preserve">Plan, in the gross amount of $1,000,000, and, (2) costs that would have been borne by the company for Dr. Peterson’s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  <w:t xml:space="preserve">COBRA continuation coverage under the company’s group health, dental or vision plans for 14 months following the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  <w:t xml:space="preserve">termination date, less the premiums that would have been paid by Dr. Peterson at the amount charged to similarly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  <w:t xml:space="preserve">situated active employees for comparable coverage, and reduced by applicable state and federal withholding taxes, the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  <w:t xml:space="preserve">gross amount of $49,567. These payments are subject to the terms and conditions set forth in the Peterson Separation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  <w:t xml:space="preserve">Agreement, including execution and non-revocation of the release of claims attached thereto. In addition, Dr. Peterson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  <w:t xml:space="preserve">received a tax gross-up for such subsidy of the cost of health care, dental and vision insurance coverage in the amount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  <w:t xml:space="preserve">of $44,221. Dr. Peterson did not receive any other payments or benefits in connection with the termination of her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  <w:t>employment.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tbl>
      <w:tblPr>
        <w:tblW w:w="174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61"/>
        <w:gridCol w:w="1381"/>
      </w:tblGrid>
      <w:tr>
        <w:trPr/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  <w:t>84</w:t>
            </w:r>
          </w:p>
        </w:tc>
        <w:tc>
          <w:tcPr>
            <w:tcW w:w="138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Exelixis, Inc.</w:t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/>
      </w:pPr>
      <w:hyperlink w:anchor="i6d44722bfc2543dbbba9716d9e560c58_16">
        <w:r>
          <w:rPr>
            <w:rStyle w:val="InternetLink"/>
            <w:rFonts w:ascii="sans-serif" w:hAnsi="sans-serif"/>
            <w:b w:val="false"/>
            <w:i w:val="false"/>
            <w:caps w:val="false"/>
            <w:smallCaps w:val="false"/>
            <w:color w:val="0000FF"/>
            <w:sz w:val="18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2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F47521"/>
          <w:sz w:val="2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F47521"/>
          <w:sz w:val="28"/>
          <w:u w:val="none"/>
          <w:effect w:val="none"/>
        </w:rPr>
        <w:t>Other Compensation Information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</w:pPr>
      <w:r>
        <w:rPr>
          <w:rFonts w:ascii="sans-serif" w:hAnsi="sans-serif"/>
          <w:b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  <w:t>Timing of Equity Awards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Annual grants of equity awards to our executive officers, including our NEOs, are generally determined and approved at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pre-scheduled Compensation Committee meetings. The grant dates may coincide with these meeting dates or may be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such other future date as agreed upon by the Compensation Committee. The Compensation Committee may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sometimes approve the equity award grants to executive officers and other employees in advance of its next scheduled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meeting, either at a special meeting or by unanimous written consent, in connection with certain new hires,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promotions and other circumstances where the Compensation Committee deems it appropriate to make such grants.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Equity grants made to promoted employees and new hires below the level of Executive Vice President are approved on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 monthly basis by our Equity Award Committee, comprised solely of Dr. Morrissey, acting in his capacity as a director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pursuant to authority delegated to him by the Compensation Committee, and the Compensation Committee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established a standard grant date for these promotion and new hire equity awards as the later of (a) the third business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day of the next fiscal month following the employee’s hire date or effective date of promotion or (b) the actual date of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approval by the Equity Award Committee. Promotion and new hire grants are made from a share pool and within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guidelines for each job level, each as previously authorized by the Compensation Committee. All stock options are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granted with an exercise price that is not less than the closing price of our common stock on The Nasdaq Global Select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Market on the grant date. We have no</w:t>
      </w:r>
      <w:r>
        <w:rPr>
          <w:caps w:val="false"/>
          <w:smallCaps w:val="false"/>
          <w:strike w:val="false"/>
          <w:dstrike w:val="false"/>
          <w:color w:val="3F3F3F"/>
          <w:sz w:val="24"/>
          <w:u w:val="none"/>
          <w:effect w:val="none"/>
        </w:rPr>
        <w:t xml:space="preserve">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plan or practice to time equity grants in coordination with the release of non-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public information, and we do not</w:t>
      </w:r>
      <w:r>
        <w:rPr>
          <w:caps w:val="false"/>
          <w:smallCaps w:val="false"/>
          <w:strike w:val="false"/>
          <w:dstrike w:val="false"/>
          <w:color w:val="3F3F3F"/>
          <w:sz w:val="24"/>
          <w:u w:val="none"/>
          <w:effect w:val="none"/>
        </w:rPr>
        <w:t xml:space="preserve">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time the release of non-public information to affect the value of executive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compensation.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sans-serif" w:hAnsi="sans-serif"/>
          <w:b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  <w:t>Stock Ownership Guidelines for NEOs</w:t>
      </w:r>
      <w:bookmarkStart w:id="89" w:name="i4f7fde371c9142008feebffaa23537b2_4912"/>
      <w:bookmarkEnd w:id="89"/>
      <w:r>
        <w:rPr>
          <w:caps w:val="false"/>
          <w:smallCaps w:val="false"/>
          <w:strike w:val="false"/>
          <w:dstrike w:val="false"/>
          <w:color w:val="494949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The Board maintains the following stock ownership guidelines for our NEOs to further align their financial interests with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those of our stockholders, as well as to promote sound corporate governance: </w:t>
      </w:r>
    </w:p>
    <w:tbl>
      <w:tblPr>
        <w:tblW w:w="711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356"/>
        <w:gridCol w:w="4756"/>
      </w:tblGrid>
      <w:tr>
        <w:trPr/>
        <w:tc>
          <w:tcPr>
            <w:tcW w:w="23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7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6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Position</w:t>
            </w:r>
          </w:p>
        </w:tc>
        <w:tc>
          <w:tcPr>
            <w:tcW w:w="4756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Ownership Level</w:t>
            </w:r>
          </w:p>
        </w:tc>
      </w:tr>
      <w:tr>
        <w:trPr/>
        <w:tc>
          <w:tcPr>
            <w:tcW w:w="2356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Chief Executive Officer</w:t>
            </w:r>
          </w:p>
        </w:tc>
        <w:tc>
          <w:tcPr>
            <w:tcW w:w="4756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Value equivalent to 6 times annual base salary</w:t>
            </w:r>
          </w:p>
        </w:tc>
      </w:tr>
      <w:tr>
        <w:trPr/>
        <w:tc>
          <w:tcPr>
            <w:tcW w:w="2356" w:type="dxa"/>
            <w:tcBorders>
              <w:top w:val="single" w:sz="4" w:space="0" w:color="B6B6B6"/>
              <w:bottom w:val="single" w:sz="8" w:space="0" w:color="F47521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Other NEOs</w:t>
            </w:r>
          </w:p>
        </w:tc>
        <w:tc>
          <w:tcPr>
            <w:tcW w:w="4756" w:type="dxa"/>
            <w:tcBorders>
              <w:top w:val="single" w:sz="4" w:space="0" w:color="B6B6B6"/>
              <w:bottom w:val="single" w:sz="8" w:space="0" w:color="F47521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Value equivalent to 3 times annual base salary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The ownership level for the Chief Executive Officer is equivalent to a value that is 6 times the annual base salary and for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other NEOs, equivalent to a value that is 3 times the annual base salary. All NEOs are expected to achieve their stock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ownership level within five years of becoming subject to these guidelines and credit is provided for shares held outright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(including shares owned through trusts, our 401(k) Plan, or by a spouse), as well as shares to be issued upon vesting of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RSUs and PSUs (to the extent such performance criteria has been achieved), in each case net of applicable taxes. No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credit is provided for unearned PSUs or for any stock options. The values for all shares determined to be held by NEOs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are based on the 200-day average stock price as of the measurement date. The stock ownership guidelines include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procedures for granting exemptions in the case of severe financial hardship. As of February 27, 2026 all of our NEOs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had met their respective stock ownership targets.</w:t>
      </w:r>
    </w:p>
    <w:tbl>
      <w:tblPr>
        <w:tblW w:w="256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176"/>
        <w:gridCol w:w="391"/>
      </w:tblGrid>
      <w:tr>
        <w:trPr/>
        <w:tc>
          <w:tcPr>
            <w:tcW w:w="21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7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40404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404040"/>
                <w:sz w:val="18"/>
                <w:u w:val="none"/>
                <w:effect w:val="none"/>
              </w:rPr>
              <w:t>2026 Proxy Statement</w:t>
            </w:r>
          </w:p>
        </w:tc>
        <w:tc>
          <w:tcPr>
            <w:tcW w:w="39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  <w:t>85</w:t>
            </w:r>
          </w:p>
        </w:tc>
      </w:tr>
    </w:tbl>
    <w:tbl>
      <w:tblPr>
        <w:tblW w:w="847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696"/>
        <w:gridCol w:w="6781"/>
      </w:tblGrid>
      <w:tr>
        <w:trPr/>
        <w:tc>
          <w:tcPr>
            <w:tcW w:w="16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9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6d44722bfc2543dbbba9716d9e560c58_16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color w:val="0000FF"/>
                  <w:sz w:val="18"/>
                  <w:u w:val="single"/>
                </w:rPr>
                <w:t>Table of Contents</w:t>
              </w:r>
            </w:hyperlink>
          </w:p>
        </w:tc>
        <w:tc>
          <w:tcPr>
            <w:tcW w:w="678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 xml:space="preserve">Other Compensation Information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  <w:t>|</w:t>
            </w: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 xml:space="preserve">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Compensation Discussion and Analysis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</w:pPr>
      <w:r>
        <w:rPr>
          <w:rFonts w:ascii="sans-serif" w:hAnsi="sans-serif"/>
          <w:b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  <w:t xml:space="preserve">Clawback Policy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We are dedicated to maintaining a culture of high integrity and accountability, and to discourage conduct harmful to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our business and the interests of our various stakeholders. Our Clawback Policy applies to all forms of variable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compensation (which excludes base salary) granted after the adoption of the Clawback Policy. An event triggering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recoupment of such variable compensation under the Clawback Policy occurs when a covered employee (which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includes all NEOs): </w:t>
      </w:r>
    </w:p>
    <w:tbl>
      <w:tblPr>
        <w:tblW w:w="7788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946"/>
        <w:gridCol w:w="541"/>
        <w:gridCol w:w="3301"/>
      </w:tblGrid>
      <w:tr>
        <w:trPr/>
        <w:tc>
          <w:tcPr>
            <w:tcW w:w="39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946" w:type="dxa"/>
            <w:tcBorders>
              <w:bottom w:val="single" w:sz="8" w:space="0" w:color="F47521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Misconduct</w:t>
            </w:r>
          </w:p>
        </w:tc>
        <w:tc>
          <w:tcPr>
            <w:tcW w:w="5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01" w:type="dxa"/>
            <w:tcBorders>
              <w:bottom w:val="single" w:sz="8" w:space="0" w:color="F47521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Material Harm</w:t>
            </w:r>
          </w:p>
        </w:tc>
      </w:tr>
      <w:tr>
        <w:trPr/>
        <w:tc>
          <w:tcPr>
            <w:tcW w:w="3946" w:type="dxa"/>
            <w:vMerge w:val="restart"/>
            <w:tcBorders>
              <w:top w:val="single" w:sz="8" w:space="0" w:color="F47521"/>
              <w:left w:val="single" w:sz="8" w:space="0" w:color="F47521"/>
              <w:bottom w:val="single" w:sz="8" w:space="0" w:color="F47521"/>
              <w:right w:val="single" w:sz="8" w:space="0" w:color="F47521"/>
            </w:tcBorders>
            <w:shd w:fill="F1F1F3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Commits a knowing violation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of a company policy or SEC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rules or regulations; or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Engages in the willful commission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of an act of fraud, dishonesty or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gross recklessness in the performance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or disregard of their duties </w:t>
            </w:r>
          </w:p>
        </w:tc>
        <w:tc>
          <w:tcPr>
            <w:tcW w:w="541" w:type="dxa"/>
            <w:tcBorders>
              <w:left w:val="single" w:sz="8" w:space="0" w:color="F47521"/>
              <w:right w:val="single" w:sz="8" w:space="0" w:color="F47521"/>
            </w:tcBorders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01" w:type="dxa"/>
            <w:vMerge w:val="restart"/>
            <w:tcBorders>
              <w:top w:val="single" w:sz="8" w:space="0" w:color="F47521"/>
              <w:left w:val="single" w:sz="8" w:space="0" w:color="F47521"/>
              <w:bottom w:val="single" w:sz="8" w:space="0" w:color="F47521"/>
              <w:right w:val="single" w:sz="8" w:space="0" w:color="F47521"/>
            </w:tcBorders>
            <w:shd w:fill="F1F1F3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Misconduct contributes or could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reasonably be expected to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contribute to the material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harm of our business. </w:t>
            </w:r>
          </w:p>
        </w:tc>
      </w:tr>
      <w:tr>
        <w:trPr/>
        <w:tc>
          <w:tcPr>
            <w:tcW w:w="3946" w:type="dxa"/>
            <w:vMerge w:val="continue"/>
            <w:tcBorders>
              <w:top w:val="single" w:sz="8" w:space="0" w:color="F47521"/>
              <w:left w:val="single" w:sz="8" w:space="0" w:color="F47521"/>
              <w:bottom w:val="single" w:sz="8" w:space="0" w:color="F47521"/>
              <w:right w:val="single" w:sz="8" w:space="0" w:color="F47521"/>
            </w:tcBorders>
            <w:shd w:fill="F1F1F3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41" w:type="dxa"/>
            <w:tcBorders>
              <w:left w:val="single" w:sz="8" w:space="0" w:color="F47521"/>
              <w:right w:val="single" w:sz="8" w:space="0" w:color="F47521"/>
            </w:tcBorders>
            <w:shd w:fill="F47521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  <w:t>AND</w:t>
            </w:r>
          </w:p>
        </w:tc>
        <w:tc>
          <w:tcPr>
            <w:tcW w:w="3301" w:type="dxa"/>
            <w:vMerge w:val="continue"/>
            <w:tcBorders>
              <w:top w:val="single" w:sz="8" w:space="0" w:color="F47521"/>
              <w:left w:val="single" w:sz="8" w:space="0" w:color="F47521"/>
              <w:bottom w:val="single" w:sz="8" w:space="0" w:color="F47521"/>
              <w:right w:val="single" w:sz="8" w:space="0" w:color="F47521"/>
            </w:tcBorders>
            <w:shd w:fill="F1F1F3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946" w:type="dxa"/>
            <w:vMerge w:val="continue"/>
            <w:tcBorders>
              <w:top w:val="single" w:sz="8" w:space="0" w:color="F47521"/>
              <w:left w:val="single" w:sz="8" w:space="0" w:color="F47521"/>
              <w:bottom w:val="single" w:sz="8" w:space="0" w:color="F47521"/>
              <w:right w:val="single" w:sz="8" w:space="0" w:color="F47521"/>
            </w:tcBorders>
            <w:shd w:fill="F1F1F3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41" w:type="dxa"/>
            <w:tcBorders>
              <w:left w:val="single" w:sz="8" w:space="0" w:color="F47521"/>
              <w:right w:val="single" w:sz="8" w:space="0" w:color="F47521"/>
            </w:tcBorders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01" w:type="dxa"/>
            <w:vMerge w:val="continue"/>
            <w:tcBorders>
              <w:top w:val="single" w:sz="8" w:space="0" w:color="F47521"/>
              <w:left w:val="single" w:sz="8" w:space="0" w:color="F47521"/>
              <w:bottom w:val="single" w:sz="8" w:space="0" w:color="F47521"/>
              <w:right w:val="single" w:sz="8" w:space="0" w:color="F47521"/>
            </w:tcBorders>
            <w:shd w:fill="F1F1F3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For clarity, “material harm” includes, but is not limited to, the requirement to prepare an accounting restatement for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any fiscal quarter or year commencing after adoption of the Clawback Policy due to our material noncompliance with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any financial reporting requirement. If triggered, then to the fullest extent permitted by law, we may recoup all variable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compensation granted or paid to the covered employee during each fiscal year in which the covered employee’s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misconduct occurred.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In addition, to satisfy the requirements of Section 954 of the Dodd-Frank Wall Street Reform and Consumer Protection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Act, as amended, and the related rules or regulations promulgated by the SEC and the Nasdaq, in November 2023 we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adopted a supplemental recoupment policy, which is separate from and in addition to the Clawback Policy discussed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above (such supplemental recoupment policy is referred to herein as the Supplemental Policy). The Supplemental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Policy provides for recovery of incentive-based compensation where the compensation is based on erroneously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reported financial information, received by current or former executive officers, including our NEOs, during the three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completed fiscal years immediately preceding the date on which the company is required to prepare an accounting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restatement due to material noncompliance with financial reporting requirements. Subject to very limited exceptions,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erroneously awarded compensation must be recouped by the company under the Supplemental Policy regardless of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whether there is any misconduct or failure of oversight by any executive officer.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</w:pPr>
      <w:r>
        <w:rPr>
          <w:rFonts w:ascii="sans-serif" w:hAnsi="sans-serif"/>
          <w:b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  <w:t xml:space="preserve">Accounting and Tax Considerations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Under ASC 718, we are required to estimate and record an expense for each award of equity compensation (including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stock options, RSUs and PSUs) over the vesting period of the award. As long as stock options, RSUs and PSUs remain the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sole components of our long-term compensation program, we expect to record stock-based compensation expense on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an ongoing basis according to ASC 718. Compensation expense relating to awards subject to company specific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performance conditions is recognized if it is probable that the performance goals will be achieved. The probability of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achievement of such goals is assessed on a quarterly basis. Compensation expense relating to awards subject to market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conditions is recognized regardless of the outcome of the market conditions. The Compensation Committee has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considered, and may in the future consider, the grant of restricted stock to our executive officers in lieu of stock option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grants, RSU and/or PSU awards.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Under Section 162(m) of the Internal Revenue Code (Section 162(m)), compensation paid to each of the company’s </w:t>
      </w:r>
    </w:p>
    <w:p>
      <w:pPr>
        <w:pStyle w:val="TextBody"/>
        <w:bidi w:val="0"/>
        <w:spacing w:lineRule="atLeast" w:line="200" w:before="0" w:after="0"/>
        <w:jc w:val="left"/>
        <w:rPr>
          <w:caps w:val="false"/>
          <w:smallCaps w:val="false"/>
          <w:strike w:val="false"/>
          <w:dstrike w:val="false"/>
          <w:color w:val="3F3F3F"/>
          <w:u w:val="none"/>
          <w:effect w:val="none"/>
        </w:rPr>
      </w:pPr>
      <w:r>
        <w:rPr>
          <w:caps w:val="false"/>
          <w:smallCaps w:val="false"/>
          <w:strike w:val="false"/>
          <w:dstrike w:val="false"/>
          <w:color w:val="3F3F3F"/>
          <w:u w:val="none"/>
          <w:effect w:val="none"/>
        </w:rPr>
        <w:t>“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covered employees” that exceeds $1 million per taxable year is generally non-deductible. Although the Compensation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Committee will continue to consider tax implications as one factor in determining executive compensation, the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Compensation Committee also looks at other factors in making its decisions and retains the flexibility to provide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compensation for the NEOs in a manner consistent with the goals of the company’s executive compensation program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and the best interests of the company and its stockholders, which may include providing for compensation that is not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deductible by the company due to the deduction limit under Section 162(m). </w:t>
      </w:r>
    </w:p>
    <w:tbl>
      <w:tblPr>
        <w:tblW w:w="174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61"/>
        <w:gridCol w:w="1381"/>
      </w:tblGrid>
      <w:tr>
        <w:trPr/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  <w:t>86</w:t>
            </w:r>
          </w:p>
        </w:tc>
        <w:tc>
          <w:tcPr>
            <w:tcW w:w="138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Exelixis, Inc.</w:t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/>
      </w:pPr>
      <w:hyperlink w:anchor="i6d44722bfc2543dbbba9716d9e560c58_16">
        <w:r>
          <w:rPr>
            <w:rStyle w:val="InternetLink"/>
            <w:rFonts w:ascii="sans-serif" w:hAnsi="sans-serif"/>
            <w:b w:val="false"/>
            <w:i w:val="false"/>
            <w:caps w:val="false"/>
            <w:smallCaps w:val="false"/>
            <w:color w:val="0000FF"/>
            <w:sz w:val="18"/>
            <w:u w:val="single"/>
          </w:rPr>
          <w:t>Table of Contents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F47521"/>
          <w:sz w:val="2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F47521"/>
          <w:sz w:val="28"/>
          <w:u w:val="none"/>
          <w:effect w:val="none"/>
        </w:rPr>
        <w:t xml:space="preserve">Compensation Policies and Practices as They Relate to Risk Management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In 2025, the Compensation Committee reviewed our compensation policies and practices and concluded that the mix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and design of these policies and practices are not reasonably likely to encourage our employees to take excessive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risks. In connection with its evaluation, the Compensation Committee considered, among other things, the structure,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philosophy and design characteristics of our primary incentive compensation plans and programs in light of our risk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management and governance procedures, as well as other factors that may calibrate or balance potential risk-taking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incentives. Based on this assessment, the Compensation Committee concluded that risks arising from our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compensation policies and practices for all employees, including executive officers, are not reasonably likely to have a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material adverse effect on us.</w:t>
      </w:r>
    </w:p>
    <w:tbl>
      <w:tblPr>
        <w:tblW w:w="256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176"/>
        <w:gridCol w:w="391"/>
      </w:tblGrid>
      <w:tr>
        <w:trPr/>
        <w:tc>
          <w:tcPr>
            <w:tcW w:w="21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7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40404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404040"/>
                <w:sz w:val="18"/>
                <w:u w:val="none"/>
                <w:effect w:val="none"/>
              </w:rPr>
              <w:t>2026 Proxy Statement</w:t>
            </w:r>
          </w:p>
        </w:tc>
        <w:tc>
          <w:tcPr>
            <w:tcW w:w="39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  <w:t>87</w:t>
            </w:r>
          </w:p>
        </w:tc>
      </w:tr>
    </w:tbl>
    <w:tbl>
      <w:tblPr>
        <w:tblW w:w="484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696"/>
        <w:gridCol w:w="3151"/>
      </w:tblGrid>
      <w:tr>
        <w:trPr/>
        <w:tc>
          <w:tcPr>
            <w:tcW w:w="16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9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6d44722bfc2543dbbba9716d9e560c58_16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color w:val="0000FF"/>
                  <w:sz w:val="18"/>
                  <w:u w:val="single"/>
                </w:rPr>
                <w:t>Table of Contents</w:t>
              </w:r>
            </w:hyperlink>
          </w:p>
        </w:tc>
        <w:tc>
          <w:tcPr>
            <w:tcW w:w="315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Compensation Committee Report</w:t>
            </w:r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36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F47521"/>
          <w:sz w:val="36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F47521"/>
          <w:sz w:val="36"/>
          <w:u w:val="none"/>
          <w:effect w:val="none"/>
        </w:rPr>
        <w:t>COMPENSATION COMMITTEE REPORT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  <w:t xml:space="preserve">The material in this report is not “soliciting material,” is not deemed “filed” with the Securities and Exchange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  <w:t xml:space="preserve">Commission and is not deemed to be incorporated by reference in any filing of Exelixis under the Securities Act of 1933,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  <w:t xml:space="preserve">as amended, or the Securities Exchange Act of 1934, as amended, whether made before or after the date hereof and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  <w:t xml:space="preserve">irrespective of any general incorporation language in any such filing.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The Compensation Committee of the Board of Directors of Exelixis, Inc., consisting solely of independent directors, has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reviewed and discussed with management the Compensation Discussion and Analysis contained in this Proxy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Statement and, based on this review and discussion, the Compensation Committee recommended to the Board of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Directors that the Compensation Discussion and Analysis be included in this Proxy Statement and incorporated into our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Annual Report on Form 10-K for the year ended January 2, 2026.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Compensation Committee: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  <w:t xml:space="preserve">Julie A. Smith, Chair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  <w:t>S. Gail Eckhardt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  <w:t>Robert L. Oliver, Jr.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  <w:t>Stelios Papadopoulos</w:t>
      </w:r>
    </w:p>
    <w:tbl>
      <w:tblPr>
        <w:tblW w:w="174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61"/>
        <w:gridCol w:w="1381"/>
      </w:tblGrid>
      <w:tr>
        <w:trPr/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  <w:t>88</w:t>
            </w:r>
          </w:p>
        </w:tc>
        <w:tc>
          <w:tcPr>
            <w:tcW w:w="138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Exelixis, Inc.</w:t>
            </w:r>
          </w:p>
        </w:tc>
      </w:tr>
    </w:tbl>
    <w:tbl>
      <w:tblPr>
        <w:tblW w:w="1850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696"/>
        <w:gridCol w:w="154"/>
      </w:tblGrid>
      <w:tr>
        <w:trPr/>
        <w:tc>
          <w:tcPr>
            <w:tcW w:w="16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9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6d44722bfc2543dbbba9716d9e560c58_16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color w:val="0000FF"/>
                  <w:sz w:val="18"/>
                  <w:u w:val="single"/>
                </w:rPr>
                <w:t>Table of Contents</w:t>
              </w:r>
            </w:hyperlink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F47521"/>
          <w:sz w:val="2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F47521"/>
          <w:sz w:val="28"/>
          <w:u w:val="none"/>
          <w:effect w:val="none"/>
        </w:rPr>
        <w:t>Summary of Compensation</w:t>
      </w:r>
    </w:p>
    <w:tbl>
      <w:tblPr>
        <w:tblW w:w="169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69"/>
      </w:tblGrid>
      <w:tr>
        <w:trPr/>
        <w:tc>
          <w:tcPr>
            <w:tcW w:w="16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9" w:type="dxa"/>
            <w:tcBorders>
              <w:top w:val="single" w:sz="8" w:space="0" w:color="F47521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The following table shows for the fiscal years ended January 2, 2026, January 3, 2025, and</w:t>
      </w:r>
      <w:r>
        <w:rPr>
          <w:caps w:val="false"/>
          <w:smallCaps w:val="false"/>
          <w:strike w:val="false"/>
          <w:dstrike w:val="false"/>
          <w:color w:val="3F3F3F"/>
          <w:sz w:val="24"/>
          <w:u w:val="none"/>
          <w:effect w:val="none"/>
        </w:rPr>
        <w:t xml:space="preserve">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December 29, 2023</w:t>
      </w:r>
      <w:r>
        <w:rPr>
          <w:caps w:val="false"/>
          <w:smallCaps w:val="false"/>
          <w:strike w:val="false"/>
          <w:dstrike w:val="false"/>
          <w:color w:val="3F3F3F"/>
          <w:sz w:val="24"/>
          <w:u w:val="none"/>
          <w:effect w:val="none"/>
        </w:rPr>
        <w:t xml:space="preserve">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(referred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to as fiscal 2025, fiscal 2024</w:t>
      </w:r>
      <w:r>
        <w:rPr>
          <w:caps w:val="false"/>
          <w:smallCaps w:val="false"/>
          <w:strike w:val="false"/>
          <w:dstrike w:val="false"/>
          <w:color w:val="3F3F3F"/>
          <w:sz w:val="24"/>
          <w:u w:val="none"/>
          <w:effect w:val="none"/>
        </w:rPr>
        <w:t xml:space="preserve">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and fiscal 2023, respectively), compensation awarded to, paid to or earned by our NEOs.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Summary Compensation Table</w:t>
      </w:r>
      <w:bookmarkStart w:id="90" w:name="i91d5d304081a4702bb16ac1222654880_7394"/>
      <w:bookmarkEnd w:id="90"/>
    </w:p>
    <w:tbl>
      <w:tblPr>
        <w:tblW w:w="1040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321"/>
        <w:gridCol w:w="586"/>
        <w:gridCol w:w="1066"/>
        <w:gridCol w:w="886"/>
        <w:gridCol w:w="1186"/>
        <w:gridCol w:w="376"/>
        <w:gridCol w:w="1066"/>
        <w:gridCol w:w="1156"/>
        <w:gridCol w:w="1156"/>
        <w:gridCol w:w="376"/>
        <w:gridCol w:w="1231"/>
      </w:tblGrid>
      <w:tr>
        <w:trPr/>
        <w:tc>
          <w:tcPr>
            <w:tcW w:w="13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321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  <w:t>Name and Principal Position</w:t>
            </w:r>
          </w:p>
        </w:tc>
        <w:tc>
          <w:tcPr>
            <w:tcW w:w="586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  <w:t xml:space="preserve">Year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  <w:t>(1)</w:t>
            </w:r>
          </w:p>
        </w:tc>
        <w:tc>
          <w:tcPr>
            <w:tcW w:w="1066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  <w:t>Salary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  <w:t>($)(2)</w:t>
            </w:r>
          </w:p>
        </w:tc>
        <w:tc>
          <w:tcPr>
            <w:tcW w:w="886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  <w:t>Bonus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  <w:t>($)(3)</w:t>
            </w:r>
          </w:p>
        </w:tc>
        <w:tc>
          <w:tcPr>
            <w:tcW w:w="1186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  <w:t>Stock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  <w:t>Awards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  <w:t>($)(4)</w:t>
            </w:r>
          </w:p>
        </w:tc>
        <w:tc>
          <w:tcPr>
            <w:tcW w:w="376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6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  <w:t>Option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  <w:t>Awards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  <w:t>($)(5)</w:t>
            </w:r>
          </w:p>
        </w:tc>
        <w:tc>
          <w:tcPr>
            <w:tcW w:w="1156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  <w:t>Non-Equity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  <w:t>Incentive Plan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  <w:t>Compensation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  <w:t>($)(6)</w:t>
            </w:r>
          </w:p>
        </w:tc>
        <w:tc>
          <w:tcPr>
            <w:tcW w:w="1156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  <w:t>All Other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  <w:t>Compensation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  <w:t>($)(7)</w:t>
            </w:r>
          </w:p>
        </w:tc>
        <w:tc>
          <w:tcPr>
            <w:tcW w:w="376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31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  <w:t>Total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  <w:t>($)</w:t>
            </w:r>
          </w:p>
        </w:tc>
      </w:tr>
      <w:tr>
        <w:trPr/>
        <w:tc>
          <w:tcPr>
            <w:tcW w:w="1321" w:type="dxa"/>
            <w:tcBorders/>
            <w:vAlign w:val="center"/>
          </w:tcPr>
          <w:p>
            <w:pPr>
              <w:pStyle w:val="TableContents"/>
              <w:bidi w:val="0"/>
              <w:spacing w:lineRule="atLeast" w:line="186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9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9"/>
                <w:u w:val="none"/>
                <w:effect w:val="none"/>
              </w:rPr>
              <w:t>Michael M. Morrissey, Ph.D.</w:t>
            </w:r>
          </w:p>
        </w:tc>
        <w:tc>
          <w:tcPr>
            <w:tcW w:w="5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2025</w:t>
            </w:r>
          </w:p>
        </w:tc>
        <w:tc>
          <w:tcPr>
            <w:tcW w:w="106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1,306,040</w:t>
            </w:r>
          </w:p>
        </w:tc>
        <w:tc>
          <w:tcPr>
            <w:tcW w:w="8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11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30,539,552</w:t>
            </w:r>
          </w:p>
        </w:tc>
        <w:tc>
          <w:tcPr>
            <w:tcW w:w="3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115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1,382,591</w:t>
            </w:r>
          </w:p>
        </w:tc>
        <w:tc>
          <w:tcPr>
            <w:tcW w:w="115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11,000</w:t>
            </w:r>
          </w:p>
        </w:tc>
        <w:tc>
          <w:tcPr>
            <w:tcW w:w="3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33,239,183</w:t>
            </w:r>
          </w:p>
        </w:tc>
      </w:tr>
      <w:tr>
        <w:trPr/>
        <w:tc>
          <w:tcPr>
            <w:tcW w:w="1321" w:type="dxa"/>
            <w:tcBorders/>
            <w:vAlign w:val="center"/>
          </w:tcPr>
          <w:p>
            <w:pPr>
              <w:pStyle w:val="TableContents"/>
              <w:bidi w:val="0"/>
              <w:spacing w:lineRule="atLeast" w:line="186" w:before="0" w:after="0"/>
              <w:jc w:val="left"/>
              <w:rPr>
                <w:rFonts w:ascii="sans-serif" w:hAnsi="sans-serif"/>
                <w:b w:val="false"/>
                <w:i/>
                <w:strike w:val="false"/>
                <w:dstrike w:val="false"/>
                <w:color w:val="3F3F3F"/>
                <w:sz w:val="19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/>
                <w:strike w:val="false"/>
                <w:dstrike w:val="false"/>
                <w:color w:val="3F3F3F"/>
                <w:sz w:val="19"/>
                <w:u w:val="none"/>
                <w:effect w:val="none"/>
              </w:rPr>
              <w:t>President and Chief</w:t>
            </w:r>
          </w:p>
        </w:tc>
        <w:tc>
          <w:tcPr>
            <w:tcW w:w="5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2024</w:t>
            </w:r>
          </w:p>
        </w:tc>
        <w:tc>
          <w:tcPr>
            <w:tcW w:w="106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1,252,636</w:t>
            </w:r>
          </w:p>
        </w:tc>
        <w:tc>
          <w:tcPr>
            <w:tcW w:w="8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11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10,012,388</w:t>
            </w:r>
          </w:p>
        </w:tc>
        <w:tc>
          <w:tcPr>
            <w:tcW w:w="3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115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1,456,024</w:t>
            </w:r>
          </w:p>
        </w:tc>
        <w:tc>
          <w:tcPr>
            <w:tcW w:w="115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11,000</w:t>
            </w:r>
          </w:p>
        </w:tc>
        <w:tc>
          <w:tcPr>
            <w:tcW w:w="3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12,732,048</w:t>
            </w:r>
          </w:p>
        </w:tc>
      </w:tr>
      <w:tr>
        <w:trPr/>
        <w:tc>
          <w:tcPr>
            <w:tcW w:w="1321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6" w:before="0" w:after="0"/>
              <w:jc w:val="left"/>
              <w:rPr>
                <w:rFonts w:ascii="sans-serif" w:hAnsi="sans-serif"/>
                <w:b w:val="false"/>
                <w:i/>
                <w:strike w:val="false"/>
                <w:dstrike w:val="false"/>
                <w:color w:val="3F3F3F"/>
                <w:sz w:val="19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/>
                <w:strike w:val="false"/>
                <w:dstrike w:val="false"/>
                <w:color w:val="3F3F3F"/>
                <w:sz w:val="19"/>
                <w:u w:val="none"/>
                <w:effect w:val="none"/>
              </w:rPr>
              <w:t>Executive Officer</w:t>
            </w:r>
          </w:p>
        </w:tc>
        <w:tc>
          <w:tcPr>
            <w:tcW w:w="586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2023</w:t>
            </w:r>
          </w:p>
        </w:tc>
        <w:tc>
          <w:tcPr>
            <w:tcW w:w="1066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1,192,001</w:t>
            </w:r>
          </w:p>
        </w:tc>
        <w:tc>
          <w:tcPr>
            <w:tcW w:w="886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1186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14,259,313</w:t>
            </w:r>
          </w:p>
        </w:tc>
        <w:tc>
          <w:tcPr>
            <w:tcW w:w="376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6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1156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960,993</w:t>
            </w:r>
          </w:p>
        </w:tc>
        <w:tc>
          <w:tcPr>
            <w:tcW w:w="1156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11,000</w:t>
            </w:r>
          </w:p>
        </w:tc>
        <w:tc>
          <w:tcPr>
            <w:tcW w:w="376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31" w:type="dxa"/>
            <w:tcBorders>
              <w:bottom w:val="single" w:sz="4" w:space="0" w:color="B6B6B6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16,423,307</w:t>
            </w:r>
          </w:p>
        </w:tc>
      </w:tr>
      <w:tr>
        <w:trPr/>
        <w:tc>
          <w:tcPr>
            <w:tcW w:w="1321" w:type="dxa"/>
            <w:tcBorders>
              <w:top w:val="single" w:sz="4" w:space="0" w:color="B6B6B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6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9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9"/>
                <w:u w:val="none"/>
                <w:effect w:val="none"/>
              </w:rPr>
              <w:t>Christopher J. Senner</w:t>
            </w:r>
          </w:p>
        </w:tc>
        <w:tc>
          <w:tcPr>
            <w:tcW w:w="586" w:type="dxa"/>
            <w:tcBorders>
              <w:top w:val="single" w:sz="4" w:space="0" w:color="B6B6B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2025</w:t>
            </w:r>
          </w:p>
        </w:tc>
        <w:tc>
          <w:tcPr>
            <w:tcW w:w="1066" w:type="dxa"/>
            <w:tcBorders>
              <w:top w:val="single" w:sz="4" w:space="0" w:color="B6B6B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822,823</w:t>
            </w:r>
          </w:p>
        </w:tc>
        <w:tc>
          <w:tcPr>
            <w:tcW w:w="886" w:type="dxa"/>
            <w:tcBorders>
              <w:top w:val="single" w:sz="4" w:space="0" w:color="B6B6B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1186" w:type="dxa"/>
            <w:tcBorders>
              <w:top w:val="single" w:sz="4" w:space="0" w:color="B6B6B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9,343,867</w:t>
            </w:r>
          </w:p>
        </w:tc>
        <w:tc>
          <w:tcPr>
            <w:tcW w:w="376" w:type="dxa"/>
            <w:tcBorders>
              <w:top w:val="single" w:sz="4" w:space="0" w:color="B6B6B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6" w:type="dxa"/>
            <w:tcBorders>
              <w:top w:val="single" w:sz="4" w:space="0" w:color="B6B6B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1156" w:type="dxa"/>
            <w:tcBorders>
              <w:top w:val="single" w:sz="4" w:space="0" w:color="B6B6B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470,782</w:t>
            </w:r>
          </w:p>
        </w:tc>
        <w:tc>
          <w:tcPr>
            <w:tcW w:w="1156" w:type="dxa"/>
            <w:tcBorders>
              <w:top w:val="single" w:sz="4" w:space="0" w:color="B6B6B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11,000</w:t>
            </w:r>
          </w:p>
        </w:tc>
        <w:tc>
          <w:tcPr>
            <w:tcW w:w="376" w:type="dxa"/>
            <w:tcBorders>
              <w:top w:val="single" w:sz="4" w:space="0" w:color="B6B6B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31" w:type="dxa"/>
            <w:tcBorders>
              <w:top w:val="single" w:sz="4" w:space="0" w:color="B6B6B6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10,648,472</w:t>
            </w:r>
          </w:p>
        </w:tc>
      </w:tr>
      <w:tr>
        <w:trPr/>
        <w:tc>
          <w:tcPr>
            <w:tcW w:w="1321" w:type="dxa"/>
            <w:tcBorders/>
            <w:vAlign w:val="center"/>
          </w:tcPr>
          <w:p>
            <w:pPr>
              <w:pStyle w:val="TableContents"/>
              <w:bidi w:val="0"/>
              <w:spacing w:lineRule="atLeast" w:line="186" w:before="0" w:after="0"/>
              <w:jc w:val="left"/>
              <w:rPr>
                <w:rFonts w:ascii="sans-serif" w:hAnsi="sans-serif"/>
                <w:b w:val="false"/>
                <w:i/>
                <w:strike w:val="false"/>
                <w:dstrike w:val="false"/>
                <w:color w:val="3F3F3F"/>
                <w:sz w:val="19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/>
                <w:strike w:val="false"/>
                <w:dstrike w:val="false"/>
                <w:color w:val="3F3F3F"/>
                <w:sz w:val="19"/>
                <w:u w:val="none"/>
                <w:effect w:val="none"/>
              </w:rPr>
              <w:t>Executive Vice President</w:t>
            </w:r>
          </w:p>
        </w:tc>
        <w:tc>
          <w:tcPr>
            <w:tcW w:w="5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2024</w:t>
            </w:r>
          </w:p>
        </w:tc>
        <w:tc>
          <w:tcPr>
            <w:tcW w:w="106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788,288</w:t>
            </w:r>
          </w:p>
        </w:tc>
        <w:tc>
          <w:tcPr>
            <w:tcW w:w="8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11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3,402,273</w:t>
            </w:r>
          </w:p>
        </w:tc>
        <w:tc>
          <w:tcPr>
            <w:tcW w:w="3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115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478,599</w:t>
            </w:r>
          </w:p>
        </w:tc>
        <w:tc>
          <w:tcPr>
            <w:tcW w:w="115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11,000</w:t>
            </w:r>
          </w:p>
        </w:tc>
        <w:tc>
          <w:tcPr>
            <w:tcW w:w="3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4,680,160</w:t>
            </w:r>
          </w:p>
        </w:tc>
      </w:tr>
      <w:tr>
        <w:trPr/>
        <w:tc>
          <w:tcPr>
            <w:tcW w:w="1321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6" w:before="0" w:after="0"/>
              <w:jc w:val="left"/>
              <w:rPr>
                <w:rFonts w:ascii="sans-serif" w:hAnsi="sans-serif"/>
                <w:b w:val="false"/>
                <w:i/>
                <w:strike w:val="false"/>
                <w:dstrike w:val="false"/>
                <w:color w:val="3F3F3F"/>
                <w:sz w:val="19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/>
                <w:strike w:val="false"/>
                <w:dstrike w:val="false"/>
                <w:color w:val="3F3F3F"/>
                <w:sz w:val="19"/>
                <w:u w:val="none"/>
                <w:effect w:val="none"/>
              </w:rPr>
              <w:t>and Chief Financial Officer</w:t>
            </w:r>
          </w:p>
        </w:tc>
        <w:tc>
          <w:tcPr>
            <w:tcW w:w="586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2023</w:t>
            </w:r>
          </w:p>
        </w:tc>
        <w:tc>
          <w:tcPr>
            <w:tcW w:w="1066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746,726</w:t>
            </w:r>
          </w:p>
        </w:tc>
        <w:tc>
          <w:tcPr>
            <w:tcW w:w="886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1186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3,888,899</w:t>
            </w:r>
          </w:p>
        </w:tc>
        <w:tc>
          <w:tcPr>
            <w:tcW w:w="376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6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1156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301,006</w:t>
            </w:r>
          </w:p>
        </w:tc>
        <w:tc>
          <w:tcPr>
            <w:tcW w:w="1156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11,000</w:t>
            </w:r>
          </w:p>
        </w:tc>
        <w:tc>
          <w:tcPr>
            <w:tcW w:w="376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31" w:type="dxa"/>
            <w:tcBorders>
              <w:bottom w:val="single" w:sz="4" w:space="0" w:color="B6B6B6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4,947,631</w:t>
            </w:r>
          </w:p>
        </w:tc>
      </w:tr>
      <w:tr>
        <w:trPr/>
        <w:tc>
          <w:tcPr>
            <w:tcW w:w="1321" w:type="dxa"/>
            <w:tcBorders>
              <w:top w:val="single" w:sz="4" w:space="0" w:color="B6B6B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6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9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9"/>
                <w:u w:val="none"/>
                <w:effect w:val="none"/>
              </w:rPr>
              <w:t>Dana T. Aftab, Ph.D.</w:t>
            </w:r>
          </w:p>
        </w:tc>
        <w:tc>
          <w:tcPr>
            <w:tcW w:w="586" w:type="dxa"/>
            <w:tcBorders>
              <w:top w:val="single" w:sz="4" w:space="0" w:color="B6B6B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2025</w:t>
            </w:r>
          </w:p>
        </w:tc>
        <w:tc>
          <w:tcPr>
            <w:tcW w:w="1066" w:type="dxa"/>
            <w:tcBorders>
              <w:top w:val="single" w:sz="4" w:space="0" w:color="B6B6B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659,058</w:t>
            </w:r>
          </w:p>
        </w:tc>
        <w:tc>
          <w:tcPr>
            <w:tcW w:w="886" w:type="dxa"/>
            <w:tcBorders>
              <w:top w:val="single" w:sz="4" w:space="0" w:color="B6B6B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1186" w:type="dxa"/>
            <w:tcBorders>
              <w:top w:val="single" w:sz="4" w:space="0" w:color="B6B6B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9,479,940</w:t>
            </w:r>
          </w:p>
        </w:tc>
        <w:tc>
          <w:tcPr>
            <w:tcW w:w="376" w:type="dxa"/>
            <w:tcBorders>
              <w:top w:val="single" w:sz="4" w:space="0" w:color="B6B6B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(8)</w:t>
            </w:r>
          </w:p>
        </w:tc>
        <w:tc>
          <w:tcPr>
            <w:tcW w:w="1066" w:type="dxa"/>
            <w:tcBorders>
              <w:top w:val="single" w:sz="4" w:space="0" w:color="B6B6B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1156" w:type="dxa"/>
            <w:tcBorders>
              <w:top w:val="single" w:sz="4" w:space="0" w:color="B6B6B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397,250</w:t>
            </w:r>
          </w:p>
        </w:tc>
        <w:tc>
          <w:tcPr>
            <w:tcW w:w="1156" w:type="dxa"/>
            <w:tcBorders>
              <w:top w:val="single" w:sz="4" w:space="0" w:color="B6B6B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11,000</w:t>
            </w:r>
          </w:p>
        </w:tc>
        <w:tc>
          <w:tcPr>
            <w:tcW w:w="376" w:type="dxa"/>
            <w:tcBorders>
              <w:top w:val="single" w:sz="4" w:space="0" w:color="B6B6B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31" w:type="dxa"/>
            <w:tcBorders>
              <w:top w:val="single" w:sz="4" w:space="0" w:color="B6B6B6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10,547,248</w:t>
            </w:r>
          </w:p>
        </w:tc>
      </w:tr>
      <w:tr>
        <w:trPr/>
        <w:tc>
          <w:tcPr>
            <w:tcW w:w="1321" w:type="dxa"/>
            <w:tcBorders/>
            <w:vAlign w:val="center"/>
          </w:tcPr>
          <w:p>
            <w:pPr>
              <w:pStyle w:val="TableContents"/>
              <w:bidi w:val="0"/>
              <w:spacing w:lineRule="atLeast" w:line="186" w:before="0" w:after="0"/>
              <w:jc w:val="left"/>
              <w:rPr>
                <w:rFonts w:ascii="sans-serif" w:hAnsi="sans-serif"/>
                <w:b w:val="false"/>
                <w:i/>
                <w:strike w:val="false"/>
                <w:dstrike w:val="false"/>
                <w:color w:val="3F3F3F"/>
                <w:sz w:val="19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/>
                <w:strike w:val="false"/>
                <w:dstrike w:val="false"/>
                <w:color w:val="3F3F3F"/>
                <w:sz w:val="19"/>
                <w:u w:val="none"/>
                <w:effect w:val="none"/>
              </w:rPr>
              <w:t>Executive Vice President,</w:t>
            </w:r>
          </w:p>
        </w:tc>
        <w:tc>
          <w:tcPr>
            <w:tcW w:w="5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2024</w:t>
            </w:r>
          </w:p>
        </w:tc>
        <w:tc>
          <w:tcPr>
            <w:tcW w:w="106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619,316</w:t>
            </w:r>
          </w:p>
        </w:tc>
        <w:tc>
          <w:tcPr>
            <w:tcW w:w="8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11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2,624,591</w:t>
            </w:r>
          </w:p>
        </w:tc>
        <w:tc>
          <w:tcPr>
            <w:tcW w:w="3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115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361,671</w:t>
            </w:r>
          </w:p>
        </w:tc>
        <w:tc>
          <w:tcPr>
            <w:tcW w:w="115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11,000</w:t>
            </w:r>
          </w:p>
        </w:tc>
        <w:tc>
          <w:tcPr>
            <w:tcW w:w="3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3,616,578</w:t>
            </w:r>
          </w:p>
        </w:tc>
      </w:tr>
      <w:tr>
        <w:trPr/>
        <w:tc>
          <w:tcPr>
            <w:tcW w:w="1321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6" w:before="0" w:after="0"/>
              <w:jc w:val="left"/>
              <w:rPr>
                <w:rFonts w:ascii="sans-serif" w:hAnsi="sans-serif"/>
                <w:b w:val="false"/>
                <w:i/>
                <w:strike w:val="false"/>
                <w:dstrike w:val="false"/>
                <w:color w:val="3F3F3F"/>
                <w:sz w:val="19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/>
                <w:strike w:val="false"/>
                <w:dstrike w:val="false"/>
                <w:color w:val="3F3F3F"/>
                <w:sz w:val="19"/>
                <w:u w:val="none"/>
                <w:effect w:val="none"/>
              </w:rPr>
              <w:t xml:space="preserve">Research and </w:t>
            </w:r>
          </w:p>
          <w:p>
            <w:pPr>
              <w:pStyle w:val="TableContents"/>
              <w:bidi w:val="0"/>
              <w:spacing w:lineRule="atLeast" w:line="186" w:before="0" w:after="0"/>
              <w:jc w:val="left"/>
              <w:rPr>
                <w:rFonts w:ascii="sans-serif" w:hAnsi="sans-serif"/>
                <w:b w:val="false"/>
                <w:i/>
                <w:strike w:val="false"/>
                <w:dstrike w:val="false"/>
                <w:color w:val="3F3F3F"/>
                <w:sz w:val="19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/>
                <w:strike w:val="false"/>
                <w:dstrike w:val="false"/>
                <w:color w:val="3F3F3F"/>
                <w:sz w:val="19"/>
                <w:u w:val="none"/>
                <w:effect w:val="none"/>
              </w:rPr>
              <w:t>Development</w:t>
            </w:r>
          </w:p>
        </w:tc>
        <w:tc>
          <w:tcPr>
            <w:tcW w:w="586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2023</w:t>
            </w:r>
          </w:p>
        </w:tc>
        <w:tc>
          <w:tcPr>
            <w:tcW w:w="1066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577,920</w:t>
            </w:r>
          </w:p>
        </w:tc>
        <w:tc>
          <w:tcPr>
            <w:tcW w:w="886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1186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4,770,110</w:t>
            </w:r>
          </w:p>
        </w:tc>
        <w:tc>
          <w:tcPr>
            <w:tcW w:w="376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6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1156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294,112</w:t>
            </w:r>
          </w:p>
        </w:tc>
        <w:tc>
          <w:tcPr>
            <w:tcW w:w="1156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11,000</w:t>
            </w:r>
          </w:p>
        </w:tc>
        <w:tc>
          <w:tcPr>
            <w:tcW w:w="376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31" w:type="dxa"/>
            <w:tcBorders>
              <w:bottom w:val="single" w:sz="4" w:space="0" w:color="B6B6B6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5,653,142</w:t>
            </w:r>
          </w:p>
        </w:tc>
      </w:tr>
      <w:tr>
        <w:trPr/>
        <w:tc>
          <w:tcPr>
            <w:tcW w:w="132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6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9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9"/>
                <w:u w:val="none"/>
                <w:effect w:val="none"/>
              </w:rPr>
              <w:t>Patrick J. Haley</w:t>
            </w:r>
          </w:p>
          <w:p>
            <w:pPr>
              <w:pStyle w:val="TableContents"/>
              <w:bidi w:val="0"/>
              <w:spacing w:lineRule="atLeast" w:line="186" w:before="0" w:after="0"/>
              <w:jc w:val="left"/>
              <w:rPr>
                <w:rFonts w:ascii="sans-serif" w:hAnsi="sans-serif"/>
                <w:b w:val="false"/>
                <w:i/>
                <w:strike w:val="false"/>
                <w:dstrike w:val="false"/>
                <w:color w:val="3F3F3F"/>
                <w:sz w:val="19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/>
                <w:strike w:val="false"/>
                <w:dstrike w:val="false"/>
                <w:color w:val="3F3F3F"/>
                <w:sz w:val="19"/>
                <w:u w:val="none"/>
                <w:effect w:val="none"/>
              </w:rPr>
              <w:t xml:space="preserve">Executive Vice President, </w:t>
            </w:r>
          </w:p>
          <w:p>
            <w:pPr>
              <w:pStyle w:val="TableContents"/>
              <w:bidi w:val="0"/>
              <w:spacing w:lineRule="atLeast" w:line="186" w:before="0" w:after="0"/>
              <w:jc w:val="left"/>
              <w:rPr>
                <w:rFonts w:ascii="sans-serif" w:hAnsi="sans-serif"/>
                <w:b w:val="false"/>
                <w:i/>
                <w:strike w:val="false"/>
                <w:dstrike w:val="false"/>
                <w:color w:val="3F3F3F"/>
                <w:sz w:val="19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/>
                <w:strike w:val="false"/>
                <w:dstrike w:val="false"/>
                <w:color w:val="3F3F3F"/>
                <w:sz w:val="19"/>
                <w:u w:val="none"/>
                <w:effect w:val="none"/>
              </w:rPr>
              <w:t>Commercial</w:t>
            </w:r>
          </w:p>
        </w:tc>
        <w:tc>
          <w:tcPr>
            <w:tcW w:w="58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2025</w:t>
            </w:r>
          </w:p>
        </w:tc>
        <w:tc>
          <w:tcPr>
            <w:tcW w:w="106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621,321</w:t>
            </w:r>
          </w:p>
        </w:tc>
        <w:tc>
          <w:tcPr>
            <w:tcW w:w="88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118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8,061,792</w:t>
            </w:r>
          </w:p>
        </w:tc>
        <w:tc>
          <w:tcPr>
            <w:tcW w:w="37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327,303</w:t>
            </w:r>
          </w:p>
        </w:tc>
        <w:tc>
          <w:tcPr>
            <w:tcW w:w="115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11,000</w:t>
            </w:r>
          </w:p>
        </w:tc>
        <w:tc>
          <w:tcPr>
            <w:tcW w:w="37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31" w:type="dxa"/>
            <w:tcBorders>
              <w:top w:val="single" w:sz="4" w:space="0" w:color="B6B6B6"/>
              <w:bottom w:val="single" w:sz="4" w:space="0" w:color="B6B6B6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9,021,416</w:t>
            </w:r>
          </w:p>
        </w:tc>
      </w:tr>
      <w:tr>
        <w:trPr/>
        <w:tc>
          <w:tcPr>
            <w:tcW w:w="132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6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9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9"/>
                <w:u w:val="none"/>
                <w:effect w:val="none"/>
              </w:rPr>
              <w:t>Brenda J. Hefti, J.D., Ph.D.</w:t>
            </w:r>
          </w:p>
          <w:p>
            <w:pPr>
              <w:pStyle w:val="TableContents"/>
              <w:bidi w:val="0"/>
              <w:spacing w:lineRule="atLeast" w:line="186" w:before="0" w:after="0"/>
              <w:jc w:val="left"/>
              <w:rPr>
                <w:rFonts w:ascii="sans-serif" w:hAnsi="sans-serif"/>
                <w:b w:val="false"/>
                <w:i/>
                <w:strike w:val="false"/>
                <w:dstrike w:val="false"/>
                <w:color w:val="3F3F3F"/>
                <w:sz w:val="19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/>
                <w:strike w:val="false"/>
                <w:dstrike w:val="false"/>
                <w:color w:val="3F3F3F"/>
                <w:sz w:val="19"/>
                <w:u w:val="none"/>
                <w:effect w:val="none"/>
              </w:rPr>
              <w:t xml:space="preserve">Senior Vice President and </w:t>
            </w:r>
          </w:p>
          <w:p>
            <w:pPr>
              <w:pStyle w:val="TableContents"/>
              <w:bidi w:val="0"/>
              <w:spacing w:lineRule="atLeast" w:line="186" w:before="0" w:after="0"/>
              <w:jc w:val="left"/>
              <w:rPr>
                <w:rFonts w:ascii="sans-serif" w:hAnsi="sans-serif"/>
                <w:b w:val="false"/>
                <w:i/>
                <w:strike w:val="false"/>
                <w:dstrike w:val="false"/>
                <w:color w:val="3F3F3F"/>
                <w:sz w:val="19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/>
                <w:strike w:val="false"/>
                <w:dstrike w:val="false"/>
                <w:color w:val="3F3F3F"/>
                <w:sz w:val="19"/>
                <w:u w:val="none"/>
                <w:effect w:val="none"/>
              </w:rPr>
              <w:t>General Counsel</w:t>
            </w:r>
          </w:p>
        </w:tc>
        <w:tc>
          <w:tcPr>
            <w:tcW w:w="58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2025</w:t>
            </w:r>
          </w:p>
        </w:tc>
        <w:tc>
          <w:tcPr>
            <w:tcW w:w="106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454,545</w:t>
            </w:r>
          </w:p>
        </w:tc>
        <w:tc>
          <w:tcPr>
            <w:tcW w:w="88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118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3,451,975</w:t>
            </w:r>
          </w:p>
        </w:tc>
        <w:tc>
          <w:tcPr>
            <w:tcW w:w="37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(9)</w:t>
            </w:r>
          </w:p>
        </w:tc>
        <w:tc>
          <w:tcPr>
            <w:tcW w:w="106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115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286,751</w:t>
            </w:r>
          </w:p>
        </w:tc>
        <w:tc>
          <w:tcPr>
            <w:tcW w:w="115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11,000</w:t>
            </w:r>
          </w:p>
        </w:tc>
        <w:tc>
          <w:tcPr>
            <w:tcW w:w="37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31" w:type="dxa"/>
            <w:tcBorders>
              <w:top w:val="single" w:sz="4" w:space="0" w:color="B6B6B6"/>
              <w:bottom w:val="single" w:sz="4" w:space="0" w:color="B6B6B6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4,204,271</w:t>
            </w:r>
          </w:p>
        </w:tc>
      </w:tr>
      <w:tr>
        <w:trPr/>
        <w:tc>
          <w:tcPr>
            <w:tcW w:w="1321" w:type="dxa"/>
            <w:tcBorders>
              <w:top w:val="single" w:sz="4" w:space="0" w:color="B6B6B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6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9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9"/>
                <w:u w:val="none"/>
                <w:effect w:val="none"/>
              </w:rPr>
              <w:t>Jeffrey J. Hessekiel, J.D. (11)</w:t>
            </w:r>
          </w:p>
        </w:tc>
        <w:tc>
          <w:tcPr>
            <w:tcW w:w="586" w:type="dxa"/>
            <w:tcBorders>
              <w:top w:val="single" w:sz="4" w:space="0" w:color="B6B6B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2025</w:t>
            </w:r>
          </w:p>
        </w:tc>
        <w:tc>
          <w:tcPr>
            <w:tcW w:w="1066" w:type="dxa"/>
            <w:tcBorders>
              <w:top w:val="single" w:sz="4" w:space="0" w:color="B6B6B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672,374</w:t>
            </w:r>
          </w:p>
        </w:tc>
        <w:tc>
          <w:tcPr>
            <w:tcW w:w="886" w:type="dxa"/>
            <w:tcBorders>
              <w:top w:val="single" w:sz="4" w:space="0" w:color="B6B6B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1186" w:type="dxa"/>
            <w:tcBorders>
              <w:top w:val="single" w:sz="4" w:space="0" w:color="B6B6B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8,309,218</w:t>
            </w:r>
          </w:p>
        </w:tc>
        <w:tc>
          <w:tcPr>
            <w:tcW w:w="376" w:type="dxa"/>
            <w:tcBorders>
              <w:top w:val="single" w:sz="4" w:space="0" w:color="B6B6B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(10)</w:t>
            </w:r>
          </w:p>
        </w:tc>
        <w:tc>
          <w:tcPr>
            <w:tcW w:w="1066" w:type="dxa"/>
            <w:tcBorders>
              <w:top w:val="single" w:sz="4" w:space="0" w:color="B6B6B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1156" w:type="dxa"/>
            <w:tcBorders>
              <w:top w:val="single" w:sz="4" w:space="0" w:color="B6B6B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1156" w:type="dxa"/>
            <w:tcBorders>
              <w:top w:val="single" w:sz="4" w:space="0" w:color="B6B6B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11,000</w:t>
            </w:r>
          </w:p>
        </w:tc>
        <w:tc>
          <w:tcPr>
            <w:tcW w:w="376" w:type="dxa"/>
            <w:tcBorders>
              <w:top w:val="single" w:sz="4" w:space="0" w:color="B6B6B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31" w:type="dxa"/>
            <w:tcBorders>
              <w:top w:val="single" w:sz="4" w:space="0" w:color="B6B6B6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8,992,592</w:t>
            </w:r>
          </w:p>
        </w:tc>
      </w:tr>
      <w:tr>
        <w:trPr/>
        <w:tc>
          <w:tcPr>
            <w:tcW w:w="1321" w:type="dxa"/>
            <w:vMerge w:val="restart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6" w:before="0" w:after="0"/>
              <w:jc w:val="left"/>
              <w:rPr>
                <w:rFonts w:ascii="sans-serif" w:hAnsi="sans-serif"/>
                <w:b w:val="false"/>
                <w:i/>
                <w:strike w:val="false"/>
                <w:dstrike w:val="false"/>
                <w:color w:val="3F3F3F"/>
                <w:sz w:val="19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/>
                <w:strike w:val="false"/>
                <w:dstrike w:val="false"/>
                <w:color w:val="3F3F3F"/>
                <w:sz w:val="19"/>
                <w:u w:val="none"/>
                <w:effect w:val="none"/>
              </w:rPr>
              <w:t xml:space="preserve">Former Executive Vice </w:t>
            </w:r>
          </w:p>
          <w:p>
            <w:pPr>
              <w:pStyle w:val="TableContents"/>
              <w:bidi w:val="0"/>
              <w:spacing w:lineRule="atLeast" w:line="186" w:before="0" w:after="0"/>
              <w:jc w:val="left"/>
              <w:rPr>
                <w:rFonts w:ascii="sans-serif" w:hAnsi="sans-serif"/>
                <w:b w:val="false"/>
                <w:i/>
                <w:strike w:val="false"/>
                <w:dstrike w:val="false"/>
                <w:color w:val="3F3F3F"/>
                <w:sz w:val="19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/>
                <w:strike w:val="false"/>
                <w:dstrike w:val="false"/>
                <w:color w:val="3F3F3F"/>
                <w:sz w:val="19"/>
                <w:u w:val="none"/>
                <w:effect w:val="none"/>
              </w:rPr>
              <w:t xml:space="preserve">President, General </w:t>
            </w:r>
          </w:p>
          <w:p>
            <w:pPr>
              <w:pStyle w:val="TableContents"/>
              <w:bidi w:val="0"/>
              <w:spacing w:lineRule="atLeast" w:line="186" w:before="0" w:after="0"/>
              <w:jc w:val="left"/>
              <w:rPr>
                <w:rFonts w:ascii="sans-serif" w:hAnsi="sans-serif"/>
                <w:b w:val="false"/>
                <w:i/>
                <w:strike w:val="false"/>
                <w:dstrike w:val="false"/>
                <w:color w:val="3F3F3F"/>
                <w:sz w:val="19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/>
                <w:strike w:val="false"/>
                <w:dstrike w:val="false"/>
                <w:color w:val="3F3F3F"/>
                <w:sz w:val="19"/>
                <w:u w:val="none"/>
                <w:effect w:val="none"/>
              </w:rPr>
              <w:t>Counsel</w:t>
            </w:r>
          </w:p>
        </w:tc>
        <w:tc>
          <w:tcPr>
            <w:tcW w:w="5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2024</w:t>
            </w:r>
          </w:p>
        </w:tc>
        <w:tc>
          <w:tcPr>
            <w:tcW w:w="106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685,882</w:t>
            </w:r>
          </w:p>
        </w:tc>
        <w:tc>
          <w:tcPr>
            <w:tcW w:w="8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11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2,624,591</w:t>
            </w:r>
          </w:p>
        </w:tc>
        <w:tc>
          <w:tcPr>
            <w:tcW w:w="37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(10)</w:t>
            </w:r>
          </w:p>
        </w:tc>
        <w:tc>
          <w:tcPr>
            <w:tcW w:w="106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115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415,243</w:t>
            </w:r>
          </w:p>
        </w:tc>
        <w:tc>
          <w:tcPr>
            <w:tcW w:w="115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11,000</w:t>
            </w:r>
          </w:p>
        </w:tc>
        <w:tc>
          <w:tcPr>
            <w:tcW w:w="3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3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3,736,716</w:t>
            </w:r>
          </w:p>
        </w:tc>
      </w:tr>
      <w:tr>
        <w:trPr/>
        <w:tc>
          <w:tcPr>
            <w:tcW w:w="1321" w:type="dxa"/>
            <w:vMerge w:val="continue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86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2023</w:t>
            </w:r>
          </w:p>
        </w:tc>
        <w:tc>
          <w:tcPr>
            <w:tcW w:w="1066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657,175</w:t>
            </w:r>
          </w:p>
        </w:tc>
        <w:tc>
          <w:tcPr>
            <w:tcW w:w="886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1186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3,629,606</w:t>
            </w:r>
          </w:p>
        </w:tc>
        <w:tc>
          <w:tcPr>
            <w:tcW w:w="376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(10)</w:t>
            </w:r>
          </w:p>
        </w:tc>
        <w:tc>
          <w:tcPr>
            <w:tcW w:w="1066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1156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264,908</w:t>
            </w:r>
          </w:p>
        </w:tc>
        <w:tc>
          <w:tcPr>
            <w:tcW w:w="1156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11,000</w:t>
            </w:r>
          </w:p>
        </w:tc>
        <w:tc>
          <w:tcPr>
            <w:tcW w:w="376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31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4,562,689</w:t>
            </w:r>
          </w:p>
        </w:tc>
      </w:tr>
      <w:tr>
        <w:trPr/>
        <w:tc>
          <w:tcPr>
            <w:tcW w:w="1321" w:type="dxa"/>
            <w:tcBorders>
              <w:top w:val="single" w:sz="4" w:space="0" w:color="B6B6B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6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9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9"/>
                <w:u w:val="none"/>
                <w:effect w:val="none"/>
              </w:rPr>
              <w:t>Amy C. Peterson, M.D.</w:t>
            </w:r>
          </w:p>
        </w:tc>
        <w:tc>
          <w:tcPr>
            <w:tcW w:w="586" w:type="dxa"/>
            <w:tcBorders>
              <w:top w:val="single" w:sz="4" w:space="0" w:color="B6B6B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2025</w:t>
            </w:r>
          </w:p>
        </w:tc>
        <w:tc>
          <w:tcPr>
            <w:tcW w:w="1066" w:type="dxa"/>
            <w:tcBorders>
              <w:top w:val="single" w:sz="4" w:space="0" w:color="B6B6B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614,496</w:t>
            </w:r>
          </w:p>
        </w:tc>
        <w:tc>
          <w:tcPr>
            <w:tcW w:w="886" w:type="dxa"/>
            <w:tcBorders>
              <w:top w:val="single" w:sz="4" w:space="0" w:color="B6B6B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  <w:shd w:fill="FFFFFF" w:val="clear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  <w:shd w:fill="FFFFFF" w:val="clear"/>
              </w:rPr>
              <w:t>—</w:t>
            </w:r>
          </w:p>
        </w:tc>
        <w:tc>
          <w:tcPr>
            <w:tcW w:w="1186" w:type="dxa"/>
            <w:tcBorders>
              <w:top w:val="single" w:sz="4" w:space="0" w:color="B6B6B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8,442,574</w:t>
            </w:r>
          </w:p>
        </w:tc>
        <w:tc>
          <w:tcPr>
            <w:tcW w:w="376" w:type="dxa"/>
            <w:tcBorders>
              <w:top w:val="single" w:sz="4" w:space="0" w:color="B6B6B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(12)</w:t>
            </w:r>
          </w:p>
        </w:tc>
        <w:tc>
          <w:tcPr>
            <w:tcW w:w="1066" w:type="dxa"/>
            <w:tcBorders>
              <w:top w:val="single" w:sz="4" w:space="0" w:color="B6B6B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1156" w:type="dxa"/>
            <w:tcBorders>
              <w:top w:val="single" w:sz="4" w:space="0" w:color="B6B6B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1156" w:type="dxa"/>
            <w:tcBorders>
              <w:top w:val="single" w:sz="4" w:space="0" w:color="B6B6B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2,088,964</w:t>
            </w:r>
          </w:p>
        </w:tc>
        <w:tc>
          <w:tcPr>
            <w:tcW w:w="376" w:type="dxa"/>
            <w:tcBorders>
              <w:top w:val="single" w:sz="4" w:space="0" w:color="B6B6B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(13)</w:t>
            </w:r>
          </w:p>
        </w:tc>
        <w:tc>
          <w:tcPr>
            <w:tcW w:w="1231" w:type="dxa"/>
            <w:tcBorders>
              <w:top w:val="single" w:sz="4" w:space="0" w:color="B6B6B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11,146,034</w:t>
            </w:r>
          </w:p>
        </w:tc>
      </w:tr>
      <w:tr>
        <w:trPr/>
        <w:tc>
          <w:tcPr>
            <w:tcW w:w="1321" w:type="dxa"/>
            <w:vMerge w:val="restart"/>
            <w:tcBorders>
              <w:bottom w:val="single" w:sz="8" w:space="0" w:color="F47521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6" w:before="0" w:after="0"/>
              <w:jc w:val="left"/>
              <w:rPr>
                <w:rFonts w:ascii="sans-serif" w:hAnsi="sans-serif"/>
                <w:b w:val="false"/>
                <w:i/>
                <w:strike w:val="false"/>
                <w:dstrike w:val="false"/>
                <w:color w:val="3F3F3F"/>
                <w:sz w:val="19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/>
                <w:strike w:val="false"/>
                <w:dstrike w:val="false"/>
                <w:color w:val="3F3F3F"/>
                <w:sz w:val="19"/>
                <w:u w:val="none"/>
                <w:effect w:val="none"/>
              </w:rPr>
              <w:t xml:space="preserve">Former Executive Vice </w:t>
            </w:r>
          </w:p>
          <w:p>
            <w:pPr>
              <w:pStyle w:val="TableContents"/>
              <w:bidi w:val="0"/>
              <w:spacing w:lineRule="atLeast" w:line="186" w:before="0" w:after="0"/>
              <w:jc w:val="left"/>
              <w:rPr>
                <w:rFonts w:ascii="sans-serif" w:hAnsi="sans-serif"/>
                <w:b w:val="false"/>
                <w:i/>
                <w:strike w:val="false"/>
                <w:dstrike w:val="false"/>
                <w:color w:val="3F3F3F"/>
                <w:sz w:val="19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/>
                <w:strike w:val="false"/>
                <w:dstrike w:val="false"/>
                <w:color w:val="3F3F3F"/>
                <w:sz w:val="19"/>
                <w:u w:val="none"/>
                <w:effect w:val="none"/>
              </w:rPr>
              <w:t xml:space="preserve">President, Medical Affairs, </w:t>
            </w:r>
          </w:p>
          <w:p>
            <w:pPr>
              <w:pStyle w:val="TableContents"/>
              <w:bidi w:val="0"/>
              <w:spacing w:lineRule="atLeast" w:line="186" w:before="0" w:after="0"/>
              <w:jc w:val="left"/>
              <w:rPr>
                <w:rFonts w:ascii="sans-serif" w:hAnsi="sans-serif"/>
                <w:b w:val="false"/>
                <w:i/>
                <w:strike w:val="false"/>
                <w:dstrike w:val="false"/>
                <w:color w:val="3F3F3F"/>
                <w:sz w:val="19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/>
                <w:strike w:val="false"/>
                <w:dstrike w:val="false"/>
                <w:color w:val="3F3F3F"/>
                <w:sz w:val="19"/>
                <w:u w:val="none"/>
                <w:effect w:val="none"/>
              </w:rPr>
              <w:t>and Chief Medical Officer</w:t>
            </w:r>
          </w:p>
        </w:tc>
        <w:tc>
          <w:tcPr>
            <w:tcW w:w="5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2024</w:t>
            </w:r>
          </w:p>
        </w:tc>
        <w:tc>
          <w:tcPr>
            <w:tcW w:w="106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654,337</w:t>
            </w:r>
          </w:p>
        </w:tc>
        <w:tc>
          <w:tcPr>
            <w:tcW w:w="8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11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3,402,273</w:t>
            </w:r>
          </w:p>
        </w:tc>
        <w:tc>
          <w:tcPr>
            <w:tcW w:w="37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(12)</w:t>
            </w:r>
          </w:p>
        </w:tc>
        <w:tc>
          <w:tcPr>
            <w:tcW w:w="106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115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378,405</w:t>
            </w:r>
          </w:p>
        </w:tc>
        <w:tc>
          <w:tcPr>
            <w:tcW w:w="115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11,000</w:t>
            </w:r>
          </w:p>
        </w:tc>
        <w:tc>
          <w:tcPr>
            <w:tcW w:w="3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3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4,446,015</w:t>
            </w:r>
          </w:p>
        </w:tc>
      </w:tr>
      <w:tr>
        <w:trPr/>
        <w:tc>
          <w:tcPr>
            <w:tcW w:w="1321" w:type="dxa"/>
            <w:vMerge w:val="continue"/>
            <w:tcBorders>
              <w:bottom w:val="single" w:sz="8" w:space="0" w:color="F47521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86" w:type="dxa"/>
            <w:tcBorders>
              <w:bottom w:val="single" w:sz="8" w:space="0" w:color="F47521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2023</w:t>
            </w:r>
          </w:p>
        </w:tc>
        <w:tc>
          <w:tcPr>
            <w:tcW w:w="1066" w:type="dxa"/>
            <w:tcBorders>
              <w:bottom w:val="single" w:sz="8" w:space="0" w:color="F47521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201,846</w:t>
            </w:r>
          </w:p>
        </w:tc>
        <w:tc>
          <w:tcPr>
            <w:tcW w:w="886" w:type="dxa"/>
            <w:tcBorders>
              <w:bottom w:val="single" w:sz="8" w:space="0" w:color="F47521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265,530</w:t>
            </w:r>
          </w:p>
        </w:tc>
        <w:tc>
          <w:tcPr>
            <w:tcW w:w="1186" w:type="dxa"/>
            <w:tcBorders>
              <w:bottom w:val="single" w:sz="8" w:space="0" w:color="F47521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5,220,000</w:t>
            </w:r>
          </w:p>
        </w:tc>
        <w:tc>
          <w:tcPr>
            <w:tcW w:w="376" w:type="dxa"/>
            <w:tcBorders>
              <w:bottom w:val="single" w:sz="8" w:space="0" w:color="F47521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(12)</w:t>
            </w:r>
          </w:p>
        </w:tc>
        <w:tc>
          <w:tcPr>
            <w:tcW w:w="1066" w:type="dxa"/>
            <w:tcBorders>
              <w:bottom w:val="single" w:sz="8" w:space="0" w:color="F47521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1,590,000</w:t>
            </w:r>
          </w:p>
        </w:tc>
        <w:tc>
          <w:tcPr>
            <w:tcW w:w="1156" w:type="dxa"/>
            <w:tcBorders>
              <w:bottom w:val="single" w:sz="8" w:space="0" w:color="F47521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90,470</w:t>
            </w:r>
          </w:p>
        </w:tc>
        <w:tc>
          <w:tcPr>
            <w:tcW w:w="1156" w:type="dxa"/>
            <w:tcBorders>
              <w:bottom w:val="single" w:sz="8" w:space="0" w:color="F47521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11,000</w:t>
            </w:r>
          </w:p>
        </w:tc>
        <w:tc>
          <w:tcPr>
            <w:tcW w:w="376" w:type="dxa"/>
            <w:tcBorders>
              <w:bottom w:val="single" w:sz="8" w:space="0" w:color="F47521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31" w:type="dxa"/>
            <w:tcBorders>
              <w:bottom w:val="single" w:sz="8" w:space="0" w:color="F47521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7,378,846</w:t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(1)The compensation reflected in the Summary Compensation Table reflects a 52-week period for fiscal 2025, a 53-week period for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>fiscal 2024, and a 52-week period for fiscal 2023.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(2)Amounts shown in this column represent the amount actually earned by each NEO for the indicated fiscal year. For information </w:t>
      </w:r>
    </w:p>
    <w:p>
      <w:pPr>
        <w:pStyle w:val="TextBody"/>
        <w:bidi w:val="0"/>
        <w:spacing w:lineRule="atLeast" w:line="180" w:before="0" w:after="0"/>
        <w:jc w:val="left"/>
        <w:rPr/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>regarding 2025</w:t>
      </w:r>
      <w:r>
        <w:rPr>
          <w:caps w:val="false"/>
          <w:smallCaps w:val="false"/>
          <w:strike w:val="false"/>
          <w:dstrike w:val="false"/>
          <w:color w:val="3F3F3F"/>
          <w:sz w:val="24"/>
          <w:u w:val="none"/>
          <w:effect w:val="none"/>
        </w:rPr>
        <w:t xml:space="preserve">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>base salaries, please see “</w:t>
      </w:r>
      <w:hyperlink w:anchor="i6d44722bfc2543dbbba9716d9e560c58_151">
        <w:r>
          <w:rPr>
            <w:rStyle w:val="InternetLink"/>
            <w:rFonts w:ascii="sans-serif" w:hAnsi="sans-serif"/>
            <w:b w:val="false"/>
            <w:i w:val="false"/>
            <w:caps w:val="false"/>
            <w:smallCaps w:val="false"/>
            <w:color w:val="0000FF"/>
            <w:sz w:val="18"/>
            <w:u w:val="single"/>
          </w:rPr>
          <w:t xml:space="preserve">Compensation Discussion and Analysis—2025 Compensation Decisions—2025 Base </w:t>
        </w:r>
      </w:hyperlink>
    </w:p>
    <w:p>
      <w:pPr>
        <w:pStyle w:val="TextBody"/>
        <w:bidi w:val="0"/>
        <w:spacing w:lineRule="atLeast" w:line="180" w:before="0" w:after="0"/>
        <w:jc w:val="left"/>
        <w:rPr/>
      </w:pPr>
      <w:hyperlink w:anchor="i6d44722bfc2543dbbba9716d9e560c58_151">
        <w:r>
          <w:rPr>
            <w:rStyle w:val="InternetLink"/>
            <w:rFonts w:ascii="sans-serif" w:hAnsi="sans-serif"/>
            <w:b w:val="false"/>
            <w:i w:val="false"/>
            <w:caps w:val="false"/>
            <w:smallCaps w:val="false"/>
            <w:color w:val="0000FF"/>
            <w:sz w:val="18"/>
            <w:u w:val="single"/>
          </w:rPr>
          <w:t>Salaries</w:t>
        </w:r>
      </w:hyperlink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.”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(3)Amounts shown in this column reflect the discretionary portion of the cash bonus of $165,530 awarded to Dr. Peterson under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>our Annual Cash Bonus Plan for fiscal 2023, as well as the sign-on bonus of $100,000 that Dr. Peterson received in fiscal 2023.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(4)Amounts shown in this column reflect the aggregate grant date fair value in the indicated fiscal year for the RSU and PSU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awards as computed in accordance with ASC 718 and do not reflect compensation actually received or the amount that may be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realized in the future by the NEOs. With respect to PSU awards granted to the NEOs in February 2025 and the One-Time PSU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Awards granted in March 2025, the grant date fair values, as computed in accordance with ASC 718 and presented in the table </w:t>
      </w:r>
    </w:p>
    <w:p>
      <w:pPr>
        <w:pStyle w:val="TextBody"/>
        <w:bidi w:val="0"/>
        <w:spacing w:lineRule="atLeast" w:line="180" w:before="0" w:after="0"/>
        <w:jc w:val="left"/>
        <w:rPr>
          <w:sz w:val="24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>above, are based upon a Monte Carlo simulation model, which was $47.58</w:t>
      </w:r>
      <w:r>
        <w:rPr>
          <w:caps w:val="false"/>
          <w:smallCaps w:val="false"/>
          <w:strike w:val="false"/>
          <w:dstrike w:val="false"/>
          <w:color w:val="3F3F3F"/>
          <w:sz w:val="24"/>
          <w:u w:val="none"/>
          <w:effect w:val="none"/>
        </w:rPr>
        <w:t xml:space="preserve">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>and $25.10</w:t>
      </w:r>
      <w:r>
        <w:rPr>
          <w:caps w:val="false"/>
          <w:smallCaps w:val="false"/>
          <w:strike w:val="false"/>
          <w:dstrike w:val="false"/>
          <w:color w:val="3F3F3F"/>
          <w:sz w:val="24"/>
          <w:u w:val="none"/>
          <w:effect w:val="none"/>
        </w:rPr>
        <w:t xml:space="preserve">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per share, respectively, for each NEO.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Accordingly, the positive amounts set forth in the table for fiscal 2025 reflect the sum of (i) the aggregate grant date fair value </w:t>
      </w:r>
    </w:p>
    <w:p>
      <w:pPr>
        <w:pStyle w:val="TextBody"/>
        <w:bidi w:val="0"/>
        <w:spacing w:lineRule="atLeast" w:line="180" w:before="0" w:after="0"/>
        <w:jc w:val="left"/>
        <w:rPr>
          <w:sz w:val="24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>for RSUs granted, using the closing stock price of $37.53</w:t>
      </w:r>
      <w:r>
        <w:rPr>
          <w:caps w:val="false"/>
          <w:smallCaps w:val="false"/>
          <w:strike w:val="false"/>
          <w:dstrike w:val="false"/>
          <w:color w:val="3F3F3F"/>
          <w:sz w:val="24"/>
          <w:u w:val="none"/>
          <w:effect w:val="none"/>
        </w:rPr>
        <w:t xml:space="preserve">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per share of our common stock on the February 26, 2025 grant date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(and for the RSU award of 50,673 shares granted to Dr. Aftab in connection with his promotion, $38.64 per share of our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common stock on the October 8, 2025 grant date; and for the RSU award of 30,170 shares granted to Dr. Hefti in connection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with her promotion, $44.01 per share of our common stock on the December 3, 2025 grant date), (ii) the aggregate grant date </w:t>
      </w:r>
    </w:p>
    <w:p>
      <w:pPr>
        <w:pStyle w:val="TextBody"/>
        <w:bidi w:val="0"/>
        <w:spacing w:lineRule="atLeast" w:line="180" w:before="0" w:after="0"/>
        <w:jc w:val="left"/>
        <w:rPr>
          <w:sz w:val="24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>fair value for the target number of PSUs granted in February 2025, using the Monte Carlo simulation model price of $47.58</w:t>
      </w:r>
      <w:r>
        <w:rPr>
          <w:caps w:val="false"/>
          <w:smallCaps w:val="false"/>
          <w:strike w:val="false"/>
          <w:dstrike w:val="false"/>
          <w:color w:val="3F3F3F"/>
          <w:sz w:val="24"/>
          <w:u w:val="none"/>
          <w:effect w:val="none"/>
        </w:rPr>
        <w:t xml:space="preserve">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per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share, and (iii) the aggregate grant date fair value for the number of One-Time PSU Awards granted in March 2025, using the </w:t>
      </w:r>
    </w:p>
    <w:tbl>
      <w:tblPr>
        <w:tblW w:w="256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176"/>
        <w:gridCol w:w="391"/>
      </w:tblGrid>
      <w:tr>
        <w:trPr/>
        <w:tc>
          <w:tcPr>
            <w:tcW w:w="21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7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40404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404040"/>
                <w:sz w:val="18"/>
                <w:u w:val="none"/>
                <w:effect w:val="none"/>
              </w:rPr>
              <w:t>2026 Proxy Statement</w:t>
            </w:r>
          </w:p>
        </w:tc>
        <w:tc>
          <w:tcPr>
            <w:tcW w:w="39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  <w:t>89</w:t>
            </w:r>
          </w:p>
        </w:tc>
      </w:tr>
    </w:tbl>
    <w:tbl>
      <w:tblPr>
        <w:tblW w:w="775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696"/>
        <w:gridCol w:w="6061"/>
      </w:tblGrid>
      <w:tr>
        <w:trPr/>
        <w:tc>
          <w:tcPr>
            <w:tcW w:w="16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9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6d44722bfc2543dbbba9716d9e560c58_16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color w:val="0000FF"/>
                  <w:sz w:val="18"/>
                  <w:u w:val="single"/>
                </w:rPr>
                <w:t>Table of Contents</w:t>
              </w:r>
            </w:hyperlink>
          </w:p>
        </w:tc>
        <w:tc>
          <w:tcPr>
            <w:tcW w:w="606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 xml:space="preserve">Compensation of Executive Officers 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C4C02"/>
                <w:sz w:val="18"/>
                <w:u w:val="none"/>
                <w:effect w:val="none"/>
              </w:rPr>
              <w:t>|</w:t>
            </w: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 xml:space="preserve">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Summary of Compensation</w:t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sz w:val="24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>Monte Carlo simulation model price of $25.10</w:t>
      </w:r>
      <w:r>
        <w:rPr>
          <w:caps w:val="false"/>
          <w:smallCaps w:val="false"/>
          <w:strike w:val="false"/>
          <w:dstrike w:val="false"/>
          <w:color w:val="3F3F3F"/>
          <w:sz w:val="24"/>
          <w:u w:val="none"/>
          <w:effect w:val="none"/>
        </w:rPr>
        <w:t xml:space="preserve">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per share, and in each case excluding estimates of forfeiture. A description of the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Monte Carlo simulation model and the assumptions used to calculate the value of the RSUs and PSUs granted in 2025 is set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forth in Note 9 of the Notes to Consolidated Financial Statements included in our Annual Report on Form 10-K for the fiscal year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ended January 2, 2026, filed with the SEC on February 10, 2026. A breakdown of the grant date fair values of (i) the RSUs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granted to each NEO during fiscal 2025, (ii) the PSUs granted to each NEO in February 2025, assuming each of “Target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Achievement” (i.e., “Target Payout”) and “Maximum Achievement” (i.e., “Maximum Payout”) of the 2025 Relative TSR Goal,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and (iii) the One-Time PSU Awards granted to each NEO in March 2025 assuming achievement of the Stock-Price Performance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Condition and Time-Based Service Requirement, and excluding estimates of forfeiture in the case of all such RSUs and PSUs, is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>as follows:</w:t>
      </w:r>
    </w:p>
    <w:tbl>
      <w:tblPr>
        <w:tblW w:w="9950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791"/>
        <w:gridCol w:w="1576"/>
        <w:gridCol w:w="1891"/>
        <w:gridCol w:w="1891"/>
        <w:gridCol w:w="1801"/>
      </w:tblGrid>
      <w:tr>
        <w:trPr/>
        <w:tc>
          <w:tcPr>
            <w:tcW w:w="27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791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Name</w:t>
            </w:r>
          </w:p>
        </w:tc>
        <w:tc>
          <w:tcPr>
            <w:tcW w:w="1576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Grant Value of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RSUs Granted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in 2025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($)</w:t>
            </w:r>
          </w:p>
        </w:tc>
        <w:tc>
          <w:tcPr>
            <w:tcW w:w="1891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Grant Value of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PSUs Granted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 xml:space="preserve">in February 2025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(Target Payout)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($)</w:t>
            </w:r>
          </w:p>
        </w:tc>
        <w:tc>
          <w:tcPr>
            <w:tcW w:w="1891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Grant Value of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PSUs Granted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 xml:space="preserve">in February 2025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 xml:space="preserve">(Maximum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Payout)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($)</w:t>
            </w:r>
          </w:p>
        </w:tc>
        <w:tc>
          <w:tcPr>
            <w:tcW w:w="1801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 xml:space="preserve">Grant Value of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 xml:space="preserve">One-Time PSU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Awards Granted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in March 2025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($)</w:t>
            </w:r>
          </w:p>
        </w:tc>
      </w:tr>
      <w:tr>
        <w:trPr/>
        <w:tc>
          <w:tcPr>
            <w:tcW w:w="2791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Michael M. Morrissey, Ph.D.</w:t>
            </w:r>
          </w:p>
        </w:tc>
        <w:tc>
          <w:tcPr>
            <w:tcW w:w="1576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6,939,635</w:t>
            </w:r>
          </w:p>
        </w:tc>
        <w:tc>
          <w:tcPr>
            <w:tcW w:w="1891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8,797,970</w:t>
            </w:r>
          </w:p>
        </w:tc>
        <w:tc>
          <w:tcPr>
            <w:tcW w:w="1891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15,396,412</w:t>
            </w:r>
          </w:p>
        </w:tc>
        <w:tc>
          <w:tcPr>
            <w:tcW w:w="1801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14,801,947</w:t>
            </w:r>
          </w:p>
        </w:tc>
      </w:tr>
      <w:tr>
        <w:trPr/>
        <w:tc>
          <w:tcPr>
            <w:tcW w:w="279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Christopher J. Senner</w:t>
            </w:r>
          </w:p>
        </w:tc>
        <w:tc>
          <w:tcPr>
            <w:tcW w:w="157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2,238,589</w:t>
            </w:r>
          </w:p>
        </w:tc>
        <w:tc>
          <w:tcPr>
            <w:tcW w:w="189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2,838,052</w:t>
            </w:r>
          </w:p>
        </w:tc>
        <w:tc>
          <w:tcPr>
            <w:tcW w:w="189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4,966,591</w:t>
            </w:r>
          </w:p>
        </w:tc>
        <w:tc>
          <w:tcPr>
            <w:tcW w:w="180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4,267,226</w:t>
            </w:r>
          </w:p>
        </w:tc>
      </w:tr>
      <w:tr>
        <w:trPr/>
        <w:tc>
          <w:tcPr>
            <w:tcW w:w="279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Dana T. Aftab, Ph.D.</w:t>
            </w:r>
          </w:p>
        </w:tc>
        <w:tc>
          <w:tcPr>
            <w:tcW w:w="157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3,804,818</w:t>
            </w:r>
          </w:p>
        </w:tc>
        <w:tc>
          <w:tcPr>
            <w:tcW w:w="189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2,341,364</w:t>
            </w:r>
          </w:p>
        </w:tc>
        <w:tc>
          <w:tcPr>
            <w:tcW w:w="189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4,097,352</w:t>
            </w:r>
          </w:p>
        </w:tc>
        <w:tc>
          <w:tcPr>
            <w:tcW w:w="180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3,333,757</w:t>
            </w:r>
          </w:p>
        </w:tc>
      </w:tr>
      <w:tr>
        <w:trPr/>
        <w:tc>
          <w:tcPr>
            <w:tcW w:w="279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Patrick J. Haley</w:t>
            </w:r>
          </w:p>
        </w:tc>
        <w:tc>
          <w:tcPr>
            <w:tcW w:w="157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1,790,857</w:t>
            </w:r>
          </w:p>
        </w:tc>
        <w:tc>
          <w:tcPr>
            <w:tcW w:w="189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2,270,422</w:t>
            </w:r>
          </w:p>
        </w:tc>
        <w:tc>
          <w:tcPr>
            <w:tcW w:w="189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3,973,215</w:t>
            </w:r>
          </w:p>
        </w:tc>
        <w:tc>
          <w:tcPr>
            <w:tcW w:w="180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4,000,513</w:t>
            </w:r>
          </w:p>
        </w:tc>
      </w:tr>
      <w:tr>
        <w:trPr/>
        <w:tc>
          <w:tcPr>
            <w:tcW w:w="279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Brenda J. Hefti, J.D., Ph.D.</w:t>
            </w:r>
          </w:p>
        </w:tc>
        <w:tc>
          <w:tcPr>
            <w:tcW w:w="157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1,882,250</w:t>
            </w:r>
          </w:p>
        </w:tc>
        <w:tc>
          <w:tcPr>
            <w:tcW w:w="189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702,947</w:t>
            </w:r>
          </w:p>
        </w:tc>
        <w:tc>
          <w:tcPr>
            <w:tcW w:w="189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1,230,133</w:t>
            </w:r>
          </w:p>
        </w:tc>
        <w:tc>
          <w:tcPr>
            <w:tcW w:w="180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866,778</w:t>
            </w:r>
          </w:p>
        </w:tc>
      </w:tr>
      <w:tr>
        <w:trPr/>
        <w:tc>
          <w:tcPr>
            <w:tcW w:w="279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Jeffrey J. Hessekiel, J.D.</w:t>
            </w:r>
          </w:p>
        </w:tc>
        <w:tc>
          <w:tcPr>
            <w:tcW w:w="157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1,958,766</w:t>
            </w:r>
          </w:p>
        </w:tc>
        <w:tc>
          <w:tcPr>
            <w:tcW w:w="189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2,483,295</w:t>
            </w:r>
          </w:p>
        </w:tc>
        <w:tc>
          <w:tcPr>
            <w:tcW w:w="189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4,345,767</w:t>
            </w:r>
          </w:p>
        </w:tc>
        <w:tc>
          <w:tcPr>
            <w:tcW w:w="180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3,867,157</w:t>
            </w:r>
          </w:p>
        </w:tc>
      </w:tr>
      <w:tr>
        <w:trPr/>
        <w:tc>
          <w:tcPr>
            <w:tcW w:w="2791" w:type="dxa"/>
            <w:tcBorders>
              <w:top w:val="single" w:sz="4" w:space="0" w:color="B6B6B6"/>
              <w:bottom w:val="single" w:sz="8" w:space="0" w:color="F47521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Amy C. Peterson, M.D.</w:t>
            </w:r>
          </w:p>
        </w:tc>
        <w:tc>
          <w:tcPr>
            <w:tcW w:w="1576" w:type="dxa"/>
            <w:tcBorders>
              <w:top w:val="single" w:sz="4" w:space="0" w:color="B6B6B6"/>
              <w:bottom w:val="single" w:sz="8" w:space="0" w:color="F47521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1,958,766</w:t>
            </w:r>
          </w:p>
        </w:tc>
        <w:tc>
          <w:tcPr>
            <w:tcW w:w="1891" w:type="dxa"/>
            <w:tcBorders>
              <w:top w:val="single" w:sz="4" w:space="0" w:color="B6B6B6"/>
              <w:bottom w:val="single" w:sz="8" w:space="0" w:color="F47521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2,483,295</w:t>
            </w:r>
          </w:p>
        </w:tc>
        <w:tc>
          <w:tcPr>
            <w:tcW w:w="1891" w:type="dxa"/>
            <w:tcBorders>
              <w:top w:val="single" w:sz="4" w:space="0" w:color="B6B6B6"/>
              <w:bottom w:val="single" w:sz="8" w:space="0" w:color="F47521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4,345,767</w:t>
            </w:r>
          </w:p>
        </w:tc>
        <w:tc>
          <w:tcPr>
            <w:tcW w:w="1801" w:type="dxa"/>
            <w:tcBorders>
              <w:top w:val="single" w:sz="4" w:space="0" w:color="B6B6B6"/>
              <w:bottom w:val="single" w:sz="8" w:space="0" w:color="F47521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4,000,513</w:t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/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>For a description of the 2025 PSU awards and the One-Time PSU Awards granted during fiscal 2025, please see “</w:t>
      </w:r>
      <w:hyperlink w:anchor="i6d44722bfc2543dbbba9716d9e560c58_157">
        <w:r>
          <w:rPr>
            <w:rStyle w:val="InternetLink"/>
            <w:rFonts w:ascii="sans-serif" w:hAnsi="sans-serif"/>
            <w:b w:val="false"/>
            <w:i w:val="false"/>
            <w:caps w:val="false"/>
            <w:smallCaps w:val="false"/>
            <w:color w:val="0000FF"/>
            <w:sz w:val="18"/>
            <w:u w:val="single"/>
          </w:rPr>
          <w:t xml:space="preserve">Compensation </w:t>
        </w:r>
      </w:hyperlink>
    </w:p>
    <w:p>
      <w:pPr>
        <w:pStyle w:val="TextBody"/>
        <w:bidi w:val="0"/>
        <w:spacing w:lineRule="atLeast" w:line="180" w:before="0" w:after="0"/>
        <w:jc w:val="left"/>
        <w:rPr/>
      </w:pPr>
      <w:hyperlink w:anchor="i6d44722bfc2543dbbba9716d9e560c58_157">
        <w:r>
          <w:rPr>
            <w:rStyle w:val="InternetLink"/>
            <w:rFonts w:ascii="sans-serif" w:hAnsi="sans-serif"/>
            <w:b w:val="false"/>
            <w:i w:val="false"/>
            <w:caps w:val="false"/>
            <w:smallCaps w:val="false"/>
            <w:color w:val="0000FF"/>
            <w:sz w:val="18"/>
            <w:u w:val="single"/>
          </w:rPr>
          <w:t>Discussion and Analysis—2025 Compensation Decisions—2025 Long-Term Incentive Awards</w:t>
        </w:r>
      </w:hyperlink>
      <w:r>
        <w:rPr>
          <w:caps w:val="false"/>
          <w:smallCaps w:val="false"/>
          <w:strike w:val="false"/>
          <w:dstrike w:val="false"/>
          <w:color w:val="3F3F3F"/>
          <w:sz w:val="24"/>
          <w:u w:val="none"/>
          <w:effect w:val="none"/>
        </w:rPr>
        <w:t xml:space="preserve">”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>and “</w:t>
      </w:r>
      <w:hyperlink w:anchor="i6d44722bfc2543dbbba9716d9e560c58_1185">
        <w:r>
          <w:rPr>
            <w:rStyle w:val="InternetLink"/>
            <w:rFonts w:ascii="sans-serif" w:hAnsi="sans-serif"/>
            <w:b w:val="false"/>
            <w:i w:val="false"/>
            <w:caps w:val="false"/>
            <w:smallCaps w:val="false"/>
            <w:color w:val="0000FF"/>
            <w:sz w:val="18"/>
            <w:u w:val="single"/>
          </w:rPr>
          <w:t xml:space="preserve">Compensation Discussion and </w:t>
        </w:r>
      </w:hyperlink>
    </w:p>
    <w:p>
      <w:pPr>
        <w:pStyle w:val="TextBody"/>
        <w:bidi w:val="0"/>
        <w:spacing w:lineRule="atLeast" w:line="180" w:before="0" w:after="0"/>
        <w:jc w:val="left"/>
        <w:rPr/>
      </w:pPr>
      <w:hyperlink w:anchor="i6d44722bfc2543dbbba9716d9e560c58_1185">
        <w:r>
          <w:rPr>
            <w:rStyle w:val="InternetLink"/>
            <w:rFonts w:ascii="sans-serif" w:hAnsi="sans-serif"/>
            <w:b w:val="false"/>
            <w:i w:val="false"/>
            <w:caps w:val="false"/>
            <w:smallCaps w:val="false"/>
            <w:color w:val="0000FF"/>
            <w:sz w:val="18"/>
            <w:u w:val="single"/>
          </w:rPr>
          <w:t>Analysis—2025 Compensation Decisions—2025 One-Time PSU Award (Special Equity Award Program</w:t>
        </w:r>
      </w:hyperlink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>)” above.</w:t>
      </w:r>
    </w:p>
    <w:p>
      <w:pPr>
        <w:pStyle w:val="TextBody"/>
        <w:bidi w:val="0"/>
        <w:spacing w:lineRule="atLeast" w:line="180" w:before="0" w:after="0"/>
        <w:jc w:val="left"/>
        <w:rPr>
          <w:sz w:val="24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>With respect to PSU awards granted to the applicable NEOs during fiscal 2024</w:t>
      </w:r>
      <w:r>
        <w:rPr>
          <w:caps w:val="false"/>
          <w:smallCaps w:val="false"/>
          <w:strike w:val="false"/>
          <w:dstrike w:val="false"/>
          <w:color w:val="3F3F3F"/>
          <w:sz w:val="24"/>
          <w:u w:val="none"/>
          <w:effect w:val="none"/>
        </w:rPr>
        <w:t xml:space="preserve">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(other than Mr. Haley and Dr. Hefti who were not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NEOs in fiscal 2024), the grant date fair values, as computed in accordance with ASC 718 and presented in the table above, are based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upon a Monte Carlo simulation model, which was $19.90 per share for each NEO. Accordingly, the positive amounts set forth in the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table for fiscal 2024 reflect the sum of (i) the aggregate grant date fair value for RSUs granted, using the closing stock price of $21.53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per share of our common stock on the February 23, 2024 grant date, and (ii) the aggregate grant date fair value for the target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number of PSUs granted, using the Monte Carlo simulation model price of $19.90 per share, and in each case excluding estimates of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forfeiture. A description of the Monte Carlo simulation model and the assumptions used to calculate the value of the RSUs and PSUs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granted in 2024 is set forth in Note 9 of the Notes to Consolidated Financial Statements included in our Annual Report on Form 10-K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for the fiscal year ended January 3, 2025, filed with the SEC on February 11, 2025. A breakdown of the grant date fair values of (i) the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RSUs granted to each NEO (other than Mr. Haley and Dr. Hefti) during fiscal 2024 and (ii) the PSUs granted to each NEO during fiscal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>2024, assuming each of Target Payout and Maximum Payout of the 2024 Relative TSR Goal (defined as our Relative TSR over a three-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>year period ending January 1, 2027), and excluding estimates of forfeiture in the case of all such RSUs and PSUs, is as follows:</w:t>
      </w:r>
    </w:p>
    <w:tbl>
      <w:tblPr>
        <w:tblW w:w="7969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791"/>
        <w:gridCol w:w="1636"/>
        <w:gridCol w:w="1711"/>
        <w:gridCol w:w="1831"/>
      </w:tblGrid>
      <w:tr>
        <w:trPr/>
        <w:tc>
          <w:tcPr>
            <w:tcW w:w="27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791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Name</w:t>
            </w:r>
          </w:p>
        </w:tc>
        <w:tc>
          <w:tcPr>
            <w:tcW w:w="1636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 xml:space="preserve">Grant Value of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RSUs Granted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in 2024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($)</w:t>
            </w:r>
          </w:p>
        </w:tc>
        <w:tc>
          <w:tcPr>
            <w:tcW w:w="1711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Grant Value of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PSUs Granted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sz w:val="24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in 2024</w:t>
            </w:r>
            <w:r>
              <w:rPr>
                <w:caps w:val="false"/>
                <w:smallCaps w:val="false"/>
                <w:strike w:val="false"/>
                <w:dstrike w:val="false"/>
                <w:color w:val="FFFFFF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 xml:space="preserve">(Target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Payout)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($)</w:t>
            </w:r>
          </w:p>
        </w:tc>
        <w:tc>
          <w:tcPr>
            <w:tcW w:w="1831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Grant Value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of PSUs Granted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sz w:val="24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in 2024</w:t>
            </w:r>
            <w:r>
              <w:rPr>
                <w:caps w:val="false"/>
                <w:smallCaps w:val="false"/>
                <w:strike w:val="false"/>
                <w:dstrike w:val="false"/>
                <w:color w:val="FFFFFF"/>
                <w:sz w:val="24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 xml:space="preserve">(Maximum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Payout)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($)</w:t>
            </w:r>
          </w:p>
        </w:tc>
      </w:tr>
      <w:tr>
        <w:trPr/>
        <w:tc>
          <w:tcPr>
            <w:tcW w:w="2791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Michael M. Morrissey, Ph.D.</w:t>
            </w:r>
          </w:p>
        </w:tc>
        <w:tc>
          <w:tcPr>
            <w:tcW w:w="1636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5,203,155</w:t>
            </w:r>
          </w:p>
        </w:tc>
        <w:tc>
          <w:tcPr>
            <w:tcW w:w="1711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4,809,233</w:t>
            </w:r>
          </w:p>
        </w:tc>
        <w:tc>
          <w:tcPr>
            <w:tcW w:w="1831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8,416,148</w:t>
            </w:r>
          </w:p>
        </w:tc>
      </w:tr>
      <w:tr>
        <w:trPr/>
        <w:tc>
          <w:tcPr>
            <w:tcW w:w="279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Christopher J. Senner</w:t>
            </w:r>
          </w:p>
        </w:tc>
        <w:tc>
          <w:tcPr>
            <w:tcW w:w="163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1,768,065</w:t>
            </w:r>
          </w:p>
        </w:tc>
        <w:tc>
          <w:tcPr>
            <w:tcW w:w="171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1,634,208</w:t>
            </w:r>
          </w:p>
        </w:tc>
        <w:tc>
          <w:tcPr>
            <w:tcW w:w="183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2,859,849</w:t>
            </w:r>
          </w:p>
        </w:tc>
      </w:tr>
      <w:tr>
        <w:trPr/>
        <w:tc>
          <w:tcPr>
            <w:tcW w:w="279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Dana T. Aftab, Ph.D.</w:t>
            </w:r>
          </w:p>
        </w:tc>
        <w:tc>
          <w:tcPr>
            <w:tcW w:w="163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1,363,926</w:t>
            </w:r>
          </w:p>
        </w:tc>
        <w:tc>
          <w:tcPr>
            <w:tcW w:w="171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1,260,665</w:t>
            </w:r>
          </w:p>
        </w:tc>
        <w:tc>
          <w:tcPr>
            <w:tcW w:w="183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2,206,154</w:t>
            </w:r>
          </w:p>
        </w:tc>
      </w:tr>
      <w:tr>
        <w:trPr/>
        <w:tc>
          <w:tcPr>
            <w:tcW w:w="279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Jeffrey J. Hessekiel, J.D.</w:t>
            </w:r>
          </w:p>
        </w:tc>
        <w:tc>
          <w:tcPr>
            <w:tcW w:w="163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1,363,926</w:t>
            </w:r>
          </w:p>
        </w:tc>
        <w:tc>
          <w:tcPr>
            <w:tcW w:w="171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1,260,665</w:t>
            </w:r>
          </w:p>
        </w:tc>
        <w:tc>
          <w:tcPr>
            <w:tcW w:w="183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2,206,154</w:t>
            </w:r>
          </w:p>
        </w:tc>
      </w:tr>
      <w:tr>
        <w:trPr/>
        <w:tc>
          <w:tcPr>
            <w:tcW w:w="2791" w:type="dxa"/>
            <w:tcBorders>
              <w:top w:val="single" w:sz="4" w:space="0" w:color="B6B6B6"/>
              <w:bottom w:val="single" w:sz="8" w:space="0" w:color="F47521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Amy C. Peterson, M.D.</w:t>
            </w:r>
          </w:p>
        </w:tc>
        <w:tc>
          <w:tcPr>
            <w:tcW w:w="1636" w:type="dxa"/>
            <w:tcBorders>
              <w:top w:val="single" w:sz="4" w:space="0" w:color="B6B6B6"/>
              <w:bottom w:val="single" w:sz="8" w:space="0" w:color="F47521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1,768,065</w:t>
            </w:r>
          </w:p>
        </w:tc>
        <w:tc>
          <w:tcPr>
            <w:tcW w:w="1711" w:type="dxa"/>
            <w:tcBorders>
              <w:top w:val="single" w:sz="4" w:space="0" w:color="B6B6B6"/>
              <w:bottom w:val="single" w:sz="8" w:space="0" w:color="F47521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1,634,208</w:t>
            </w:r>
          </w:p>
        </w:tc>
        <w:tc>
          <w:tcPr>
            <w:tcW w:w="1831" w:type="dxa"/>
            <w:tcBorders>
              <w:top w:val="single" w:sz="4" w:space="0" w:color="B6B6B6"/>
              <w:bottom w:val="single" w:sz="8" w:space="0" w:color="F47521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2,859,849</w:t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sz w:val="24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>With respect to PSU awards granted to the applicable NEOs during fiscal 2023</w:t>
      </w:r>
      <w:r>
        <w:rPr>
          <w:caps w:val="false"/>
          <w:smallCaps w:val="false"/>
          <w:strike w:val="false"/>
          <w:dstrike w:val="false"/>
          <w:color w:val="3F3F3F"/>
          <w:sz w:val="24"/>
          <w:u w:val="none"/>
          <w:effect w:val="none"/>
        </w:rPr>
        <w:t xml:space="preserve">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(other than Dr. Peterson, who did not receive a PSU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award in fiscal 2023 and Mr. Haley and Dr. Hefti who were not NEOs in fiscal 2023), the grant date fair values, as computed in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accordance with ASC 718 and presented in the table above, are based upon a Monte Carlo simulation model, which was $26.05 per </w:t>
      </w:r>
    </w:p>
    <w:tbl>
      <w:tblPr>
        <w:tblW w:w="174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61"/>
        <w:gridCol w:w="1381"/>
      </w:tblGrid>
      <w:tr>
        <w:trPr/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  <w:t>90</w:t>
            </w:r>
          </w:p>
        </w:tc>
        <w:tc>
          <w:tcPr>
            <w:tcW w:w="138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Exelixis, Inc.</w:t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share for each NEO. Accordingly, the positive amounts set forth in the table for fiscal 2023 reflect the sum of (i) the aggregate grant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date fair value for RSUs granted, using the closing stock price of $19.48 per share of our common stock on the April 3, 2023 grant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date (and for the RSU award of 240,000 shares granted to Dr. Peterson in connection with her hiring, $21.75 per share of our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common stock on the August 24, 2023 hire date; and for the RSU award of 100,000 shares to Dr. Aftab in connection with his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promotion, $16.59 per share of our common stock on the January 5, 2023 grant date), and (ii) the aggregate grant date fair value for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the target number of PSUs granted, using the Monte Carlo simulation model price of $26.05 per share, and in each case excluding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estimates of forfeiture. A description of the Monte Carlo simulation model and the assumptions used to calculate the value of the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RSUs and PSUs granted in 2023 is set forth in Note 8 of the Notes to Consolidated Financial Statements included in our Annual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Report on Form 10-K for the fiscal year ended December 29, 2023, filed with the SEC on February 6, 2024. A breakdown of the grant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date fair values of (i) the RSUs granted to each NEO during fiscal 2023 and (ii) the PSUs granted to each NEO (other than Dr.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Peterson) during fiscal 2023, assuming each of Target Payout and Maximum Payout of the 2023 Relative TSR Goal (defined as our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Relative TSR over a three-year period ending January 2, 2026), and excluding estimates of forfeiture in the case of all such RSUs and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>PSUs, is as follows:</w:t>
      </w:r>
    </w:p>
    <w:tbl>
      <w:tblPr>
        <w:tblW w:w="7969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791"/>
        <w:gridCol w:w="1636"/>
        <w:gridCol w:w="1711"/>
        <w:gridCol w:w="1831"/>
      </w:tblGrid>
      <w:tr>
        <w:trPr/>
        <w:tc>
          <w:tcPr>
            <w:tcW w:w="27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791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Name</w:t>
            </w:r>
          </w:p>
        </w:tc>
        <w:tc>
          <w:tcPr>
            <w:tcW w:w="1636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 xml:space="preserve">Grant Value of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RSUs Granted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in 2023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($)</w:t>
            </w:r>
          </w:p>
        </w:tc>
        <w:tc>
          <w:tcPr>
            <w:tcW w:w="1711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Grant Value of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PSUs Granted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 xml:space="preserve">in 2023 (Target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Payout)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($)</w:t>
            </w:r>
          </w:p>
        </w:tc>
        <w:tc>
          <w:tcPr>
            <w:tcW w:w="1831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Grant Value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of PSUs Granted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 xml:space="preserve">in 2023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 xml:space="preserve">(Maximum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Payout)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($)</w:t>
            </w:r>
          </w:p>
        </w:tc>
      </w:tr>
      <w:tr>
        <w:trPr/>
        <w:tc>
          <w:tcPr>
            <w:tcW w:w="2791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Michael M. Morrissey, Ph.D.</w:t>
            </w:r>
          </w:p>
        </w:tc>
        <w:tc>
          <w:tcPr>
            <w:tcW w:w="1636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6,100,844</w:t>
            </w:r>
          </w:p>
        </w:tc>
        <w:tc>
          <w:tcPr>
            <w:tcW w:w="1711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8,158,469</w:t>
            </w:r>
          </w:p>
        </w:tc>
        <w:tc>
          <w:tcPr>
            <w:tcW w:w="1831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14,277,302</w:t>
            </w:r>
          </w:p>
        </w:tc>
      </w:tr>
      <w:tr>
        <w:trPr/>
        <w:tc>
          <w:tcPr>
            <w:tcW w:w="279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Christopher J. Senner</w:t>
            </w:r>
          </w:p>
        </w:tc>
        <w:tc>
          <w:tcPr>
            <w:tcW w:w="163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1,663,865</w:t>
            </w:r>
          </w:p>
        </w:tc>
        <w:tc>
          <w:tcPr>
            <w:tcW w:w="171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2,225,035</w:t>
            </w:r>
          </w:p>
        </w:tc>
        <w:tc>
          <w:tcPr>
            <w:tcW w:w="183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3,893,811</w:t>
            </w:r>
          </w:p>
        </w:tc>
      </w:tr>
      <w:tr>
        <w:trPr/>
        <w:tc>
          <w:tcPr>
            <w:tcW w:w="279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Dana T. Aftab, Ph.D.</w:t>
            </w:r>
          </w:p>
        </w:tc>
        <w:tc>
          <w:tcPr>
            <w:tcW w:w="163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2,990,088</w:t>
            </w:r>
          </w:p>
        </w:tc>
        <w:tc>
          <w:tcPr>
            <w:tcW w:w="171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1,780,023</w:t>
            </w:r>
          </w:p>
        </w:tc>
        <w:tc>
          <w:tcPr>
            <w:tcW w:w="183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3,115,033</w:t>
            </w:r>
          </w:p>
        </w:tc>
      </w:tr>
      <w:tr>
        <w:trPr/>
        <w:tc>
          <w:tcPr>
            <w:tcW w:w="279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Jeffrey J. Hessekiel, J.D.</w:t>
            </w:r>
          </w:p>
        </w:tc>
        <w:tc>
          <w:tcPr>
            <w:tcW w:w="163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1,552,926</w:t>
            </w:r>
          </w:p>
        </w:tc>
        <w:tc>
          <w:tcPr>
            <w:tcW w:w="171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2,076,680</w:t>
            </w:r>
          </w:p>
        </w:tc>
        <w:tc>
          <w:tcPr>
            <w:tcW w:w="183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3,634,183</w:t>
            </w:r>
          </w:p>
        </w:tc>
      </w:tr>
      <w:tr>
        <w:trPr/>
        <w:tc>
          <w:tcPr>
            <w:tcW w:w="2791" w:type="dxa"/>
            <w:tcBorders>
              <w:top w:val="single" w:sz="4" w:space="0" w:color="B6B6B6"/>
              <w:bottom w:val="single" w:sz="8" w:space="0" w:color="F47521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Amy C. Peterson, M.D.</w:t>
            </w:r>
          </w:p>
        </w:tc>
        <w:tc>
          <w:tcPr>
            <w:tcW w:w="1636" w:type="dxa"/>
            <w:tcBorders>
              <w:top w:val="single" w:sz="4" w:space="0" w:color="B6B6B6"/>
              <w:bottom w:val="single" w:sz="8" w:space="0" w:color="F47521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5,220,000</w:t>
            </w:r>
          </w:p>
        </w:tc>
        <w:tc>
          <w:tcPr>
            <w:tcW w:w="1711" w:type="dxa"/>
            <w:tcBorders>
              <w:top w:val="single" w:sz="4" w:space="0" w:color="B6B6B6"/>
              <w:bottom w:val="single" w:sz="8" w:space="0" w:color="F47521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1831" w:type="dxa"/>
            <w:tcBorders>
              <w:top w:val="single" w:sz="4" w:space="0" w:color="B6B6B6"/>
              <w:bottom w:val="single" w:sz="8" w:space="0" w:color="F47521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/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>For a description of the PSU awards granted during fiscal 2023, please see “</w:t>
      </w:r>
      <w:hyperlink w:anchor="i6d44722bfc2543dbbba9716d9e560c58_1201">
        <w:r>
          <w:rPr>
            <w:rStyle w:val="InternetLink"/>
            <w:rFonts w:ascii="sans-serif" w:hAnsi="sans-serif"/>
            <w:b w:val="false"/>
            <w:i w:val="false"/>
            <w:caps w:val="false"/>
            <w:smallCaps w:val="false"/>
            <w:color w:val="0000FF"/>
            <w:sz w:val="18"/>
            <w:u w:val="single"/>
          </w:rPr>
          <w:t xml:space="preserve">Compensation Discussion and Analysis—2025 </w:t>
        </w:r>
      </w:hyperlink>
    </w:p>
    <w:p>
      <w:pPr>
        <w:pStyle w:val="TextBody"/>
        <w:bidi w:val="0"/>
        <w:spacing w:lineRule="atLeast" w:line="180" w:before="0" w:after="0"/>
        <w:jc w:val="left"/>
        <w:rPr/>
      </w:pPr>
      <w:hyperlink w:anchor="i6d44722bfc2543dbbba9716d9e560c58_1201">
        <w:r>
          <w:rPr>
            <w:rStyle w:val="InternetLink"/>
            <w:rFonts w:ascii="sans-serif" w:hAnsi="sans-serif"/>
            <w:b w:val="false"/>
            <w:i w:val="false"/>
            <w:caps w:val="false"/>
            <w:smallCaps w:val="false"/>
            <w:color w:val="0000FF"/>
            <w:sz w:val="18"/>
            <w:u w:val="single"/>
          </w:rPr>
          <w:t>Compensation Decisions—2023 Long-Term Incentive Awards Achievements</w:t>
        </w:r>
      </w:hyperlink>
      <w:r>
        <w:rPr>
          <w:caps w:val="false"/>
          <w:smallCaps w:val="false"/>
          <w:strike w:val="false"/>
          <w:dstrike w:val="false"/>
          <w:color w:val="3F3F3F"/>
          <w:u w:val="none"/>
          <w:effect w:val="none"/>
        </w:rPr>
        <w:t xml:space="preserve">”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>above.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(5)Amounts shown reflect the aggregate grant date fair value in the indicated fiscal year for the option award as computed in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accordance with ASC 718 and do not reflect compensation actually received or the amount that may be realized in the future by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the NEO. The assumptions used to calculate the value of option awards are set forth in Note 9 of the Notes to Consolidated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Financial Statements included in our Annual Report on Form 10-K for the fiscal year ended January 2, 2026, filed with the SEC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on February 10, 2026. Upon Dr. Peterson’s termination of service in August 2025, all vesting of this new hire option award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ceased, and the remaining 80,000 shares subject to the new hire option award, which remained unvested as of her termination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>of service, were forfeited.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(6)Amounts shown in this column represent the portion of the cash bonuses awarded under our Annual Cash Bonus Plan that was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based on the Compensation Committee’s assessment of the achievement of pre-determined corporate goals. The discretionary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>portion of Dr. Peterson’s 2023 Annual Cash Bonus (of $165,530) is reported in the “Bonus” column.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>(7)Amounts shown reflect the matching contributions of $11,000 made to the 401(k) Plan for each NEO.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(8)Amount shown reflects the grant date fair value of the time-based RSU award granted to Dr. Aftab in connection with his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promotion to Executive Vice President, Research and Development, as computed in accordance with ASC 718. The grant date </w:t>
      </w:r>
    </w:p>
    <w:p>
      <w:pPr>
        <w:pStyle w:val="TextBody"/>
        <w:bidi w:val="0"/>
        <w:spacing w:lineRule="atLeast" w:line="180" w:before="0" w:after="0"/>
        <w:jc w:val="left"/>
        <w:rPr>
          <w:sz w:val="24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>fair value of the RSU award was measured based on the closing price of $38.64</w:t>
      </w:r>
      <w:r>
        <w:rPr>
          <w:caps w:val="false"/>
          <w:smallCaps w:val="false"/>
          <w:strike w:val="false"/>
          <w:dstrike w:val="false"/>
          <w:color w:val="3F3F3F"/>
          <w:sz w:val="24"/>
          <w:u w:val="none"/>
          <w:effect w:val="none"/>
        </w:rPr>
        <w:t xml:space="preserve">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per share of our common stock on the October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>8, 2025 award date.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(9)Amount shown reflects the grant date fair value of the time-based RSU award granted to Dr. Hefti in connection with her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promotion to Senior Vice President and General Counsel, as computed in accordance with ASC 718. The grant date fair value of </w:t>
      </w:r>
    </w:p>
    <w:p>
      <w:pPr>
        <w:pStyle w:val="TextBody"/>
        <w:bidi w:val="0"/>
        <w:spacing w:lineRule="atLeast" w:line="180" w:before="0" w:after="0"/>
        <w:jc w:val="left"/>
        <w:rPr>
          <w:sz w:val="24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>the RSU award was measured based on the closing price of $44.01</w:t>
      </w:r>
      <w:r>
        <w:rPr>
          <w:caps w:val="false"/>
          <w:smallCaps w:val="false"/>
          <w:strike w:val="false"/>
          <w:dstrike w:val="false"/>
          <w:color w:val="3F3F3F"/>
          <w:sz w:val="24"/>
          <w:u w:val="none"/>
          <w:effect w:val="none"/>
        </w:rPr>
        <w:t xml:space="preserve">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per share of our common stock on the December 3, 2025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>award date.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(10)The PSU award and RSU award granted to Mr. Hessekiel in February 2025, the One-Time PSU Award granted to Mr. Hessekiel in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March 2025, and the unvested portions of the PSU awards and RSU awards granted to Mr. Hessekiel in February 2024 and April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>2023 were forfeited in their entirety in connection with his resignation from the company in November 2025.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>(11)Mr. Hessekiel did not receive any severance payments in connection with his resignation from the company in November 2025.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(12)The PSU award and RSU award granted to Dr. Peterson in February 2025, the One-Time PSU Award granted to Dr. Peterson in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March 2025, and the unvested portions of the PSU awards and RSU awards granted to Dr. Peterson in February 2024, and the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unvested portions of the new hire RSU award granted to Dr. Peterson in August 2023, were forfeited in their entirety upon her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>termination of service in August 2025.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(13)Amount shown reflects (i) severance payments made to Dr. Peterson pursuant to the Peterson Separation Agreement, including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(1) twelve months’ base salary in the amount of $706,135, (2) payment equal to a pro rata portion of Dr. Peterson’s 2025 actual </w:t>
      </w:r>
    </w:p>
    <w:tbl>
      <w:tblPr>
        <w:tblW w:w="256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176"/>
        <w:gridCol w:w="391"/>
      </w:tblGrid>
      <w:tr>
        <w:trPr/>
        <w:tc>
          <w:tcPr>
            <w:tcW w:w="21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7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40404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404040"/>
                <w:sz w:val="18"/>
                <w:u w:val="none"/>
                <w:effect w:val="none"/>
              </w:rPr>
              <w:t>2026 Proxy Statement</w:t>
            </w:r>
          </w:p>
        </w:tc>
        <w:tc>
          <w:tcPr>
            <w:tcW w:w="39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  <w:t>91</w:t>
            </w:r>
          </w:p>
        </w:tc>
      </w:tr>
    </w:tbl>
    <w:tbl>
      <w:tblPr>
        <w:tblW w:w="781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696"/>
        <w:gridCol w:w="6121"/>
      </w:tblGrid>
      <w:tr>
        <w:trPr/>
        <w:tc>
          <w:tcPr>
            <w:tcW w:w="16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9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6d44722bfc2543dbbba9716d9e560c58_16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color w:val="0000FF"/>
                  <w:sz w:val="18"/>
                  <w:u w:val="single"/>
                </w:rPr>
                <w:t>Table of Contents</w:t>
              </w:r>
            </w:hyperlink>
          </w:p>
        </w:tc>
        <w:tc>
          <w:tcPr>
            <w:tcW w:w="612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Compensation of Executive Officers 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C4C02"/>
                <w:sz w:val="18"/>
                <w:u w:val="none"/>
                <w:effect w:val="none"/>
              </w:rPr>
              <w:t>| 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Grants of Plan-Based Awards</w:t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Annual Cash Bonus, calculated based on the number of completed calendar months worked during 2025, plus an additional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sixty (60) calendar days deemed worked for purposes of this calculation, in the amount of $278,041, (3) an amount in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consideration of any unvested stock options, RSUs and PSUs forfeited pursuant to the terms of the 2017 Plan, in the gross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amount of $1,000,000, (4) subsidy of the cost of her fourteen months’ health care, dental and vision insurance coverage, in the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amount of $49,567; (ii) tax gross-up for such subsidy of the cost of health care, dental and vision insurance coverage in the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amount of $44,221; and (iii) the matching contributions of $11,000 made to the 401(k) Plan for Dr. Peterson. For more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information regarding the terms and severance payments made in connection with Dr. Peterson’s separation, please see </w:t>
      </w:r>
    </w:p>
    <w:p>
      <w:pPr>
        <w:pStyle w:val="TextBody"/>
        <w:bidi w:val="0"/>
        <w:spacing w:lineRule="atLeast" w:line="18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3F3F3F"/>
          <w:u w:val="none"/>
          <w:effect w:val="none"/>
        </w:rPr>
        <w:t>“</w:t>
      </w:r>
      <w:hyperlink w:anchor="i6d44722bfc2543dbbba9716d9e560c58_1223">
        <w:r>
          <w:rPr>
            <w:rStyle w:val="InternetLink"/>
            <w:rFonts w:ascii="sans-serif" w:hAnsi="sans-serif"/>
            <w:b w:val="false"/>
            <w:i w:val="false"/>
            <w:caps w:val="false"/>
            <w:smallCaps w:val="false"/>
            <w:color w:val="0000FF"/>
            <w:sz w:val="18"/>
            <w:u w:val="single"/>
          </w:rPr>
          <w:t>Compensation Discussion and Analysis—2025 Compensation Decisions—Dr. Amy Peterson’s Severance Compensation</w:t>
        </w:r>
      </w:hyperlink>
      <w:r>
        <w:rPr>
          <w:caps w:val="false"/>
          <w:smallCaps w:val="false"/>
          <w:strike w:val="false"/>
          <w:dstrike w:val="false"/>
          <w:color w:val="3F3F3F"/>
          <w:u w:val="none"/>
          <w:effect w:val="none"/>
        </w:rPr>
        <w:t xml:space="preserve">”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>above.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F47521"/>
          <w:sz w:val="2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F47521"/>
          <w:sz w:val="28"/>
          <w:u w:val="none"/>
          <w:effect w:val="none"/>
        </w:rPr>
        <w:t>Grants of Plan-Based Awards</w:t>
      </w:r>
    </w:p>
    <w:tbl>
      <w:tblPr>
        <w:tblW w:w="169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69"/>
      </w:tblGrid>
      <w:tr>
        <w:trPr/>
        <w:tc>
          <w:tcPr>
            <w:tcW w:w="16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9" w:type="dxa"/>
            <w:tcBorders>
              <w:top w:val="single" w:sz="8" w:space="0" w:color="F47521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The following table shows for the fiscal year ended January 2, 2026</w:t>
      </w:r>
      <w:r>
        <w:rPr>
          <w:caps w:val="false"/>
          <w:smallCaps w:val="false"/>
          <w:strike w:val="false"/>
          <w:dstrike w:val="false"/>
          <w:color w:val="3F3F3F"/>
          <w:sz w:val="24"/>
          <w:u w:val="none"/>
          <w:effect w:val="none"/>
        </w:rPr>
        <w:t xml:space="preserve">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certain information regarding grants of plan-based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awards to the NEOs: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Grants of Plan-Based Awards in Fiscal 2025</w:t>
      </w: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10"/>
        <w:gridCol w:w="908"/>
        <w:gridCol w:w="304"/>
        <w:gridCol w:w="826"/>
        <w:gridCol w:w="1066"/>
        <w:gridCol w:w="1066"/>
        <w:gridCol w:w="109"/>
        <w:gridCol w:w="826"/>
        <w:gridCol w:w="886"/>
        <w:gridCol w:w="886"/>
        <w:gridCol w:w="886"/>
        <w:gridCol w:w="1232"/>
      </w:tblGrid>
      <w:tr>
        <w:trPr/>
        <w:tc>
          <w:tcPr>
            <w:tcW w:w="121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3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10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8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4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958" w:type="dxa"/>
            <w:gridSpan w:val="3"/>
            <w:tcBorders>
              <w:bottom w:val="single" w:sz="8" w:space="0" w:color="FFFFFF"/>
            </w:tcBorders>
            <w:shd w:fill="F47521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  <w:t>Estimated Future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  <w:t>Payouts Under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  <w:t>Non-Equity Incentive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/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  <w:t>Plan Awards</w:t>
            </w:r>
            <w:r>
              <w:rPr>
                <w:caps w:val="false"/>
                <w:smallCaps w:val="false"/>
                <w:strike w:val="false"/>
                <w:dstrike w:val="false"/>
                <w:color w:val="FFFFFF"/>
                <w:u w:val="none"/>
                <w:effect w:val="none"/>
              </w:rPr>
              <w:t xml:space="preserve"> </w:t>
            </w: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  <w:t xml:space="preserve">(1) </w:t>
            </w:r>
          </w:p>
        </w:tc>
        <w:tc>
          <w:tcPr>
            <w:tcW w:w="109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98" w:type="dxa"/>
            <w:gridSpan w:val="3"/>
            <w:tcBorders>
              <w:bottom w:val="single" w:sz="8" w:space="0" w:color="FFFFFF"/>
            </w:tcBorders>
            <w:shd w:fill="F47521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  <w:t>Estimated Future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  <w:t>Payouts Under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  <w:t>Equity Incentive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/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  <w:t>Plan Awards</w:t>
            </w:r>
            <w:r>
              <w:rPr>
                <w:caps w:val="false"/>
                <w:smallCaps w:val="false"/>
                <w:strike w:val="false"/>
                <w:dstrike w:val="false"/>
                <w:color w:val="FFFFFF"/>
                <w:u w:val="none"/>
                <w:effect w:val="none"/>
              </w:rPr>
              <w:t xml:space="preserve"> </w:t>
            </w: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  <w:t xml:space="preserve">(2) </w:t>
            </w:r>
          </w:p>
        </w:tc>
        <w:tc>
          <w:tcPr>
            <w:tcW w:w="886" w:type="dxa"/>
            <w:vMerge w:val="restart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  <w:t>All Other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  <w:t>Stock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  <w:t>Awards: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  <w:t>Number of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  <w:t>Shares of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  <w:t>Stock or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  <w:t>Units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  <w:t>(#)(4)</w:t>
            </w:r>
          </w:p>
        </w:tc>
        <w:tc>
          <w:tcPr>
            <w:tcW w:w="1232" w:type="dxa"/>
            <w:vMerge w:val="restart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  <w:t>Grant Date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  <w:t>Fair Value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  <w:t>of Stock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  <w:t>and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  <w:t>Option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  <w:t>Awards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  <w:t>($)(5)</w:t>
            </w:r>
          </w:p>
        </w:tc>
      </w:tr>
      <w:tr>
        <w:trPr/>
        <w:tc>
          <w:tcPr>
            <w:tcW w:w="1210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3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3"/>
                <w:u w:val="none"/>
                <w:effect w:val="none"/>
              </w:rPr>
              <w:t>Name</w:t>
            </w:r>
          </w:p>
        </w:tc>
        <w:tc>
          <w:tcPr>
            <w:tcW w:w="908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3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3"/>
                <w:u w:val="none"/>
                <w:effect w:val="none"/>
              </w:rPr>
              <w:t>Grant Date</w:t>
            </w:r>
          </w:p>
        </w:tc>
        <w:tc>
          <w:tcPr>
            <w:tcW w:w="304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>
              <w:top w:val="single" w:sz="8" w:space="0" w:color="FFFFFF"/>
            </w:tcBorders>
            <w:shd w:fill="F47521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3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3"/>
                <w:u w:val="none"/>
                <w:effect w:val="none"/>
              </w:rPr>
              <w:t>Threshold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3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3"/>
                <w:u w:val="none"/>
                <w:effect w:val="none"/>
              </w:rPr>
              <w:t>($)</w:t>
            </w:r>
          </w:p>
        </w:tc>
        <w:tc>
          <w:tcPr>
            <w:tcW w:w="1066" w:type="dxa"/>
            <w:tcBorders>
              <w:top w:val="single" w:sz="8" w:space="0" w:color="FFFFFF"/>
            </w:tcBorders>
            <w:shd w:fill="F47521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3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3"/>
                <w:u w:val="none"/>
                <w:effect w:val="none"/>
              </w:rPr>
              <w:t>Target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3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3"/>
                <w:u w:val="none"/>
                <w:effect w:val="none"/>
              </w:rPr>
              <w:t>($)</w:t>
            </w:r>
          </w:p>
        </w:tc>
        <w:tc>
          <w:tcPr>
            <w:tcW w:w="1066" w:type="dxa"/>
            <w:tcBorders>
              <w:top w:val="single" w:sz="8" w:space="0" w:color="FFFFFF"/>
            </w:tcBorders>
            <w:shd w:fill="F47521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3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3"/>
                <w:u w:val="none"/>
                <w:effect w:val="none"/>
              </w:rPr>
              <w:t>Maximum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3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3"/>
                <w:u w:val="none"/>
                <w:effect w:val="none"/>
              </w:rPr>
              <w:t>($)</w:t>
            </w:r>
          </w:p>
        </w:tc>
        <w:tc>
          <w:tcPr>
            <w:tcW w:w="109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>
              <w:top w:val="single" w:sz="8" w:space="0" w:color="FFFFFF"/>
            </w:tcBorders>
            <w:shd w:fill="F47521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3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3"/>
                <w:u w:val="none"/>
                <w:effect w:val="none"/>
              </w:rPr>
              <w:t>Threshold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3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3"/>
                <w:u w:val="none"/>
                <w:effect w:val="none"/>
              </w:rPr>
              <w:t>(#)</w:t>
            </w:r>
          </w:p>
        </w:tc>
        <w:tc>
          <w:tcPr>
            <w:tcW w:w="886" w:type="dxa"/>
            <w:tcBorders>
              <w:top w:val="single" w:sz="8" w:space="0" w:color="FFFFFF"/>
            </w:tcBorders>
            <w:shd w:fill="F47521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3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3"/>
                <w:u w:val="none"/>
                <w:effect w:val="none"/>
              </w:rPr>
              <w:t>Target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3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3"/>
                <w:u w:val="none"/>
                <w:effect w:val="none"/>
              </w:rPr>
              <w:t>(#)</w:t>
            </w:r>
          </w:p>
        </w:tc>
        <w:tc>
          <w:tcPr>
            <w:tcW w:w="886" w:type="dxa"/>
            <w:tcBorders>
              <w:top w:val="single" w:sz="8" w:space="0" w:color="FFFFFF"/>
            </w:tcBorders>
            <w:shd w:fill="F47521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3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3"/>
                <w:u w:val="none"/>
                <w:effect w:val="none"/>
              </w:rPr>
              <w:t>Maximum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3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3"/>
                <w:u w:val="none"/>
                <w:effect w:val="none"/>
              </w:rPr>
              <w:t>(#)</w:t>
            </w:r>
          </w:p>
        </w:tc>
        <w:tc>
          <w:tcPr>
            <w:tcW w:w="886" w:type="dxa"/>
            <w:vMerge w:val="continue"/>
            <w:tcBorders/>
            <w:shd w:fill="F47521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32" w:type="dxa"/>
            <w:vMerge w:val="continue"/>
            <w:tcBorders/>
            <w:shd w:fill="F47521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210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 xml:space="preserve">Michael M. Morrissey,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Ph.D.</w:t>
            </w:r>
          </w:p>
        </w:tc>
        <w:tc>
          <w:tcPr>
            <w:tcW w:w="90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3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1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8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2/26/2025</w:t>
            </w:r>
          </w:p>
        </w:tc>
        <w:tc>
          <w:tcPr>
            <w:tcW w:w="30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106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106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8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8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8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184,909</w:t>
            </w:r>
          </w:p>
        </w:tc>
        <w:tc>
          <w:tcPr>
            <w:tcW w:w="1232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6,939,635</w:t>
            </w:r>
          </w:p>
        </w:tc>
      </w:tr>
      <w:tr>
        <w:trPr/>
        <w:tc>
          <w:tcPr>
            <w:tcW w:w="121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8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2/26/2025</w:t>
            </w:r>
          </w:p>
        </w:tc>
        <w:tc>
          <w:tcPr>
            <w:tcW w:w="30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106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106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92,454</w:t>
            </w:r>
          </w:p>
        </w:tc>
        <w:tc>
          <w:tcPr>
            <w:tcW w:w="8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184,909</w:t>
            </w:r>
          </w:p>
        </w:tc>
        <w:tc>
          <w:tcPr>
            <w:tcW w:w="8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323,590</w:t>
            </w:r>
          </w:p>
        </w:tc>
        <w:tc>
          <w:tcPr>
            <w:tcW w:w="8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1232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8,797,970</w:t>
            </w:r>
          </w:p>
        </w:tc>
      </w:tr>
      <w:tr>
        <w:trPr/>
        <w:tc>
          <w:tcPr>
            <w:tcW w:w="121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8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3/31/2025</w:t>
            </w:r>
          </w:p>
        </w:tc>
        <w:tc>
          <w:tcPr>
            <w:tcW w:w="304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(3)</w:t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106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106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8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589,719</w:t>
            </w:r>
          </w:p>
        </w:tc>
        <w:tc>
          <w:tcPr>
            <w:tcW w:w="8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8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1232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14,801,947</w:t>
            </w:r>
          </w:p>
        </w:tc>
      </w:tr>
      <w:tr>
        <w:trPr/>
        <w:tc>
          <w:tcPr>
            <w:tcW w:w="1210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8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N/A</w:t>
            </w:r>
          </w:p>
        </w:tc>
        <w:tc>
          <w:tcPr>
            <w:tcW w:w="304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1066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1,316,753</w:t>
            </w:r>
          </w:p>
        </w:tc>
        <w:tc>
          <w:tcPr>
            <w:tcW w:w="1066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1,975,130</w:t>
            </w:r>
          </w:p>
        </w:tc>
        <w:tc>
          <w:tcPr>
            <w:tcW w:w="109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886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886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886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1232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1210" w:type="dxa"/>
            <w:tcBorders>
              <w:top w:val="single" w:sz="4" w:space="0" w:color="B6B6B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Christopher J. Senner</w:t>
            </w:r>
          </w:p>
        </w:tc>
        <w:tc>
          <w:tcPr>
            <w:tcW w:w="908" w:type="dxa"/>
            <w:tcBorders>
              <w:top w:val="single" w:sz="4" w:space="0" w:color="B6B6B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4" w:type="dxa"/>
            <w:tcBorders>
              <w:top w:val="single" w:sz="4" w:space="0" w:color="B6B6B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>
              <w:top w:val="single" w:sz="4" w:space="0" w:color="B6B6B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6" w:type="dxa"/>
            <w:tcBorders>
              <w:top w:val="single" w:sz="4" w:space="0" w:color="B6B6B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6" w:type="dxa"/>
            <w:tcBorders>
              <w:top w:val="single" w:sz="4" w:space="0" w:color="B6B6B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4" w:space="0" w:color="B6B6B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>
              <w:top w:val="single" w:sz="4" w:space="0" w:color="B6B6B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>
              <w:top w:val="single" w:sz="4" w:space="0" w:color="B6B6B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>
              <w:top w:val="single" w:sz="4" w:space="0" w:color="B6B6B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>
              <w:top w:val="single" w:sz="4" w:space="0" w:color="B6B6B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32" w:type="dxa"/>
            <w:tcBorders>
              <w:top w:val="single" w:sz="4" w:space="0" w:color="B6B6B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1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8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2/26/2025</w:t>
            </w:r>
          </w:p>
        </w:tc>
        <w:tc>
          <w:tcPr>
            <w:tcW w:w="30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106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106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8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8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8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59,648</w:t>
            </w:r>
          </w:p>
        </w:tc>
        <w:tc>
          <w:tcPr>
            <w:tcW w:w="1232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2,238,589</w:t>
            </w:r>
          </w:p>
        </w:tc>
      </w:tr>
      <w:tr>
        <w:trPr/>
        <w:tc>
          <w:tcPr>
            <w:tcW w:w="121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8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2/26/2025</w:t>
            </w:r>
          </w:p>
        </w:tc>
        <w:tc>
          <w:tcPr>
            <w:tcW w:w="30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106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106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29,824</w:t>
            </w:r>
          </w:p>
        </w:tc>
        <w:tc>
          <w:tcPr>
            <w:tcW w:w="8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59,648</w:t>
            </w:r>
          </w:p>
        </w:tc>
        <w:tc>
          <w:tcPr>
            <w:tcW w:w="8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104,384</w:t>
            </w:r>
          </w:p>
        </w:tc>
        <w:tc>
          <w:tcPr>
            <w:tcW w:w="8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1232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2,838,052</w:t>
            </w:r>
          </w:p>
        </w:tc>
      </w:tr>
      <w:tr>
        <w:trPr/>
        <w:tc>
          <w:tcPr>
            <w:tcW w:w="121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8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3/31/2025</w:t>
            </w:r>
          </w:p>
        </w:tc>
        <w:tc>
          <w:tcPr>
            <w:tcW w:w="304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(3)</w:t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106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106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8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170,009</w:t>
            </w:r>
          </w:p>
        </w:tc>
        <w:tc>
          <w:tcPr>
            <w:tcW w:w="8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8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1232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4,267,226</w:t>
            </w:r>
          </w:p>
        </w:tc>
      </w:tr>
      <w:tr>
        <w:trPr/>
        <w:tc>
          <w:tcPr>
            <w:tcW w:w="1210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8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N/A</w:t>
            </w:r>
          </w:p>
        </w:tc>
        <w:tc>
          <w:tcPr>
            <w:tcW w:w="304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1066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414,786</w:t>
            </w:r>
          </w:p>
        </w:tc>
        <w:tc>
          <w:tcPr>
            <w:tcW w:w="1066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684,397</w:t>
            </w:r>
          </w:p>
        </w:tc>
        <w:tc>
          <w:tcPr>
            <w:tcW w:w="109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886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886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886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1232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1210" w:type="dxa"/>
            <w:tcBorders>
              <w:top w:val="single" w:sz="4" w:space="0" w:color="B6B6B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Dana T. Aftab, Ph.D.</w:t>
            </w:r>
          </w:p>
        </w:tc>
        <w:tc>
          <w:tcPr>
            <w:tcW w:w="908" w:type="dxa"/>
            <w:tcBorders>
              <w:top w:val="single" w:sz="4" w:space="0" w:color="B6B6B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4" w:type="dxa"/>
            <w:tcBorders>
              <w:top w:val="single" w:sz="4" w:space="0" w:color="B6B6B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>
              <w:top w:val="single" w:sz="4" w:space="0" w:color="B6B6B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6" w:type="dxa"/>
            <w:tcBorders>
              <w:top w:val="single" w:sz="4" w:space="0" w:color="B6B6B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6" w:type="dxa"/>
            <w:tcBorders>
              <w:top w:val="single" w:sz="4" w:space="0" w:color="B6B6B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4" w:space="0" w:color="B6B6B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>
              <w:top w:val="single" w:sz="4" w:space="0" w:color="B6B6B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>
              <w:top w:val="single" w:sz="4" w:space="0" w:color="B6B6B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>
              <w:top w:val="single" w:sz="4" w:space="0" w:color="B6B6B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>
              <w:top w:val="single" w:sz="4" w:space="0" w:color="B6B6B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32" w:type="dxa"/>
            <w:tcBorders>
              <w:top w:val="single" w:sz="4" w:space="0" w:color="B6B6B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1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8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2/26/2025</w:t>
            </w:r>
          </w:p>
        </w:tc>
        <w:tc>
          <w:tcPr>
            <w:tcW w:w="30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106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106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8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8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8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49,209</w:t>
            </w:r>
          </w:p>
        </w:tc>
        <w:tc>
          <w:tcPr>
            <w:tcW w:w="1232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1,846,814</w:t>
            </w:r>
          </w:p>
        </w:tc>
      </w:tr>
      <w:tr>
        <w:trPr/>
        <w:tc>
          <w:tcPr>
            <w:tcW w:w="121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8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2/26/2025</w:t>
            </w:r>
          </w:p>
        </w:tc>
        <w:tc>
          <w:tcPr>
            <w:tcW w:w="30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106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106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24,604</w:t>
            </w:r>
          </w:p>
        </w:tc>
        <w:tc>
          <w:tcPr>
            <w:tcW w:w="8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49,209</w:t>
            </w:r>
          </w:p>
        </w:tc>
        <w:tc>
          <w:tcPr>
            <w:tcW w:w="8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86,115</w:t>
            </w:r>
          </w:p>
        </w:tc>
        <w:tc>
          <w:tcPr>
            <w:tcW w:w="8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1232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2,341,364</w:t>
            </w:r>
          </w:p>
        </w:tc>
      </w:tr>
      <w:tr>
        <w:trPr/>
        <w:tc>
          <w:tcPr>
            <w:tcW w:w="121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8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3/31/2025</w:t>
            </w:r>
          </w:p>
        </w:tc>
        <w:tc>
          <w:tcPr>
            <w:tcW w:w="304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(3)</w:t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106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106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8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132,819</w:t>
            </w:r>
          </w:p>
        </w:tc>
        <w:tc>
          <w:tcPr>
            <w:tcW w:w="8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8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1232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3,333,757</w:t>
            </w:r>
          </w:p>
        </w:tc>
      </w:tr>
      <w:tr>
        <w:trPr/>
        <w:tc>
          <w:tcPr>
            <w:tcW w:w="121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8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10/8/2025</w:t>
            </w:r>
          </w:p>
        </w:tc>
        <w:tc>
          <w:tcPr>
            <w:tcW w:w="30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106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106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8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8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8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50,673</w:t>
            </w:r>
          </w:p>
        </w:tc>
        <w:tc>
          <w:tcPr>
            <w:tcW w:w="1232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1,958,005</w:t>
            </w:r>
          </w:p>
        </w:tc>
      </w:tr>
      <w:tr>
        <w:trPr/>
        <w:tc>
          <w:tcPr>
            <w:tcW w:w="1210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8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N/A</w:t>
            </w:r>
          </w:p>
        </w:tc>
        <w:tc>
          <w:tcPr>
            <w:tcW w:w="304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1066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350,000</w:t>
            </w:r>
          </w:p>
        </w:tc>
        <w:tc>
          <w:tcPr>
            <w:tcW w:w="1066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577,500</w:t>
            </w:r>
          </w:p>
        </w:tc>
        <w:tc>
          <w:tcPr>
            <w:tcW w:w="109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886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886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886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1232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1210" w:type="dxa"/>
            <w:tcBorders>
              <w:top w:val="single" w:sz="4" w:space="0" w:color="B6B6B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Patrick J. Haley</w:t>
            </w:r>
          </w:p>
        </w:tc>
        <w:tc>
          <w:tcPr>
            <w:tcW w:w="908" w:type="dxa"/>
            <w:tcBorders>
              <w:top w:val="single" w:sz="4" w:space="0" w:color="B6B6B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 </w:t>
            </w:r>
          </w:p>
        </w:tc>
        <w:tc>
          <w:tcPr>
            <w:tcW w:w="304" w:type="dxa"/>
            <w:tcBorders>
              <w:top w:val="single" w:sz="4" w:space="0" w:color="B6B6B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>
              <w:top w:val="single" w:sz="4" w:space="0" w:color="B6B6B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6" w:type="dxa"/>
            <w:tcBorders>
              <w:top w:val="single" w:sz="4" w:space="0" w:color="B6B6B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6" w:type="dxa"/>
            <w:tcBorders>
              <w:top w:val="single" w:sz="4" w:space="0" w:color="B6B6B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4" w:space="0" w:color="B6B6B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>
              <w:top w:val="single" w:sz="4" w:space="0" w:color="B6B6B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>
              <w:top w:val="single" w:sz="4" w:space="0" w:color="B6B6B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>
              <w:top w:val="single" w:sz="4" w:space="0" w:color="B6B6B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>
              <w:top w:val="single" w:sz="4" w:space="0" w:color="B6B6B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32" w:type="dxa"/>
            <w:tcBorders>
              <w:top w:val="single" w:sz="4" w:space="0" w:color="B6B6B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1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8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2/26/2025</w:t>
            </w:r>
          </w:p>
        </w:tc>
        <w:tc>
          <w:tcPr>
            <w:tcW w:w="30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106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106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8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8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8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47,718</w:t>
            </w:r>
          </w:p>
        </w:tc>
        <w:tc>
          <w:tcPr>
            <w:tcW w:w="1232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1,790,857</w:t>
            </w:r>
          </w:p>
        </w:tc>
      </w:tr>
      <w:tr>
        <w:trPr/>
        <w:tc>
          <w:tcPr>
            <w:tcW w:w="121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8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2/26/2025</w:t>
            </w:r>
          </w:p>
        </w:tc>
        <w:tc>
          <w:tcPr>
            <w:tcW w:w="30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106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106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23,858</w:t>
            </w:r>
          </w:p>
        </w:tc>
        <w:tc>
          <w:tcPr>
            <w:tcW w:w="8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47,718</w:t>
            </w:r>
          </w:p>
        </w:tc>
        <w:tc>
          <w:tcPr>
            <w:tcW w:w="8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83,506</w:t>
            </w:r>
          </w:p>
        </w:tc>
        <w:tc>
          <w:tcPr>
            <w:tcW w:w="8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1232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2,270,422</w:t>
            </w:r>
          </w:p>
        </w:tc>
      </w:tr>
      <w:tr>
        <w:trPr/>
        <w:tc>
          <w:tcPr>
            <w:tcW w:w="121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8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3/31/2025</w:t>
            </w:r>
          </w:p>
        </w:tc>
        <w:tc>
          <w:tcPr>
            <w:tcW w:w="304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(3)</w:t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106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106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8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159,383</w:t>
            </w:r>
          </w:p>
        </w:tc>
        <w:tc>
          <w:tcPr>
            <w:tcW w:w="8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8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1232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4,000,513</w:t>
            </w:r>
          </w:p>
        </w:tc>
      </w:tr>
      <w:tr>
        <w:trPr/>
        <w:tc>
          <w:tcPr>
            <w:tcW w:w="1210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8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N/A</w:t>
            </w:r>
          </w:p>
        </w:tc>
        <w:tc>
          <w:tcPr>
            <w:tcW w:w="304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1066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313,209</w:t>
            </w:r>
          </w:p>
        </w:tc>
        <w:tc>
          <w:tcPr>
            <w:tcW w:w="1066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516,794</w:t>
            </w:r>
          </w:p>
        </w:tc>
        <w:tc>
          <w:tcPr>
            <w:tcW w:w="109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886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886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886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1232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1210" w:type="dxa"/>
            <w:tcBorders>
              <w:top w:val="single" w:sz="4" w:space="0" w:color="B6B6B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 xml:space="preserve">Brenda J. Hefti, J.D.,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Ph.D.</w:t>
            </w:r>
          </w:p>
        </w:tc>
        <w:tc>
          <w:tcPr>
            <w:tcW w:w="908" w:type="dxa"/>
            <w:tcBorders>
              <w:top w:val="single" w:sz="4" w:space="0" w:color="B6B6B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4" w:type="dxa"/>
            <w:tcBorders>
              <w:top w:val="single" w:sz="4" w:space="0" w:color="B6B6B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>
              <w:top w:val="single" w:sz="4" w:space="0" w:color="B6B6B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6" w:type="dxa"/>
            <w:tcBorders>
              <w:top w:val="single" w:sz="4" w:space="0" w:color="B6B6B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6" w:type="dxa"/>
            <w:tcBorders>
              <w:top w:val="single" w:sz="4" w:space="0" w:color="B6B6B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4" w:space="0" w:color="B6B6B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>
              <w:top w:val="single" w:sz="4" w:space="0" w:color="B6B6B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>
              <w:top w:val="single" w:sz="4" w:space="0" w:color="B6B6B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>
              <w:top w:val="single" w:sz="4" w:space="0" w:color="B6B6B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>
              <w:top w:val="single" w:sz="4" w:space="0" w:color="B6B6B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32" w:type="dxa"/>
            <w:tcBorders>
              <w:top w:val="single" w:sz="4" w:space="0" w:color="B6B6B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1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8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2/26/2025</w:t>
            </w:r>
          </w:p>
        </w:tc>
        <w:tc>
          <w:tcPr>
            <w:tcW w:w="30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106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106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8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8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8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14,774</w:t>
            </w:r>
          </w:p>
        </w:tc>
        <w:tc>
          <w:tcPr>
            <w:tcW w:w="1232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554,468</w:t>
            </w:r>
          </w:p>
        </w:tc>
      </w:tr>
      <w:tr>
        <w:trPr/>
        <w:tc>
          <w:tcPr>
            <w:tcW w:w="121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8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2/26/2025</w:t>
            </w:r>
          </w:p>
        </w:tc>
        <w:tc>
          <w:tcPr>
            <w:tcW w:w="30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106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106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7,386</w:t>
            </w:r>
          </w:p>
        </w:tc>
        <w:tc>
          <w:tcPr>
            <w:tcW w:w="8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14,774</w:t>
            </w:r>
          </w:p>
        </w:tc>
        <w:tc>
          <w:tcPr>
            <w:tcW w:w="8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25,854</w:t>
            </w:r>
          </w:p>
        </w:tc>
        <w:tc>
          <w:tcPr>
            <w:tcW w:w="8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1232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702,947</w:t>
            </w:r>
          </w:p>
        </w:tc>
      </w:tr>
      <w:tr>
        <w:trPr/>
        <w:tc>
          <w:tcPr>
            <w:tcW w:w="121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8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3/31/2025</w:t>
            </w:r>
          </w:p>
        </w:tc>
        <w:tc>
          <w:tcPr>
            <w:tcW w:w="304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(3)</w:t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106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106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8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34,533</w:t>
            </w:r>
          </w:p>
        </w:tc>
        <w:tc>
          <w:tcPr>
            <w:tcW w:w="8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8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1232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866,778</w:t>
            </w:r>
          </w:p>
        </w:tc>
      </w:tr>
      <w:tr>
        <w:trPr/>
        <w:tc>
          <w:tcPr>
            <w:tcW w:w="121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8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12/3/2025</w:t>
            </w:r>
          </w:p>
        </w:tc>
        <w:tc>
          <w:tcPr>
            <w:tcW w:w="30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106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106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8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8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8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30,170</w:t>
            </w:r>
          </w:p>
        </w:tc>
        <w:tc>
          <w:tcPr>
            <w:tcW w:w="1232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1,327,782</w:t>
            </w:r>
          </w:p>
        </w:tc>
      </w:tr>
      <w:tr>
        <w:trPr/>
        <w:tc>
          <w:tcPr>
            <w:tcW w:w="121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8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N/A</w:t>
            </w:r>
          </w:p>
        </w:tc>
        <w:tc>
          <w:tcPr>
            <w:tcW w:w="30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106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183,750</w:t>
            </w:r>
          </w:p>
        </w:tc>
        <w:tc>
          <w:tcPr>
            <w:tcW w:w="106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367,500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8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8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8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1232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</w:tr>
    </w:tbl>
    <w:tbl>
      <w:tblPr>
        <w:tblW w:w="174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61"/>
        <w:gridCol w:w="1381"/>
      </w:tblGrid>
      <w:tr>
        <w:trPr/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  <w:t>92</w:t>
            </w:r>
          </w:p>
        </w:tc>
        <w:tc>
          <w:tcPr>
            <w:tcW w:w="138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Exelixis, Inc.</w:t>
            </w:r>
          </w:p>
        </w:tc>
      </w:tr>
    </w:tbl>
    <w:tbl>
      <w:tblPr>
        <w:tblW w:w="1741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741"/>
      </w:tblGrid>
      <w:tr>
        <w:trPr/>
        <w:tc>
          <w:tcPr>
            <w:tcW w:w="17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4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6d44722bfc2543dbbba9716d9e560c58_16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color w:val="0000FF"/>
                  <w:sz w:val="18"/>
                  <w:u w:val="single"/>
                </w:rPr>
                <w:t>Table of Contents</w:t>
              </w:r>
            </w:hyperlink>
          </w:p>
        </w:tc>
      </w:tr>
    </w:tbl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545"/>
        <w:gridCol w:w="979"/>
        <w:gridCol w:w="437"/>
        <w:gridCol w:w="826"/>
        <w:gridCol w:w="886"/>
        <w:gridCol w:w="886"/>
        <w:gridCol w:w="109"/>
        <w:gridCol w:w="826"/>
        <w:gridCol w:w="886"/>
        <w:gridCol w:w="826"/>
        <w:gridCol w:w="886"/>
        <w:gridCol w:w="1113"/>
      </w:tblGrid>
      <w:tr>
        <w:trPr/>
        <w:tc>
          <w:tcPr>
            <w:tcW w:w="15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545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9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7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98" w:type="dxa"/>
            <w:gridSpan w:val="3"/>
            <w:tcBorders>
              <w:bottom w:val="single" w:sz="8" w:space="0" w:color="FFFFFF"/>
            </w:tcBorders>
            <w:shd w:fill="F47521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  <w:t>Estimated Future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  <w:t>Payouts Under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  <w:t>Non-Equity Incentive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/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  <w:t>Plan Awards</w:t>
            </w:r>
            <w:r>
              <w:rPr>
                <w:caps w:val="false"/>
                <w:smallCaps w:val="false"/>
                <w:strike w:val="false"/>
                <w:dstrike w:val="false"/>
                <w:color w:val="FFFFFF"/>
                <w:u w:val="none"/>
                <w:effect w:val="none"/>
              </w:rPr>
              <w:t xml:space="preserve"> </w:t>
            </w: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  <w:t xml:space="preserve">(1) </w:t>
            </w:r>
          </w:p>
        </w:tc>
        <w:tc>
          <w:tcPr>
            <w:tcW w:w="109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38" w:type="dxa"/>
            <w:gridSpan w:val="3"/>
            <w:tcBorders>
              <w:bottom w:val="single" w:sz="8" w:space="0" w:color="FFFFFF"/>
            </w:tcBorders>
            <w:shd w:fill="F47521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  <w:t>Estimated Future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  <w:t>Payouts Under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  <w:t>Equity Incentive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/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  <w:t>Plan Awards</w:t>
            </w:r>
            <w:r>
              <w:rPr>
                <w:caps w:val="false"/>
                <w:smallCaps w:val="false"/>
                <w:strike w:val="false"/>
                <w:dstrike w:val="false"/>
                <w:color w:val="FFFFFF"/>
                <w:u w:val="none"/>
                <w:effect w:val="none"/>
              </w:rPr>
              <w:t xml:space="preserve"> </w:t>
            </w: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  <w:t xml:space="preserve">(2) </w:t>
            </w:r>
          </w:p>
        </w:tc>
        <w:tc>
          <w:tcPr>
            <w:tcW w:w="886" w:type="dxa"/>
            <w:vMerge w:val="restart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  <w:t>All Other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  <w:t>Stock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  <w:t>Awards: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  <w:t>Number of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  <w:t>Shares of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  <w:t>Stock or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  <w:t>Units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  <w:t>(#)(4)</w:t>
            </w:r>
          </w:p>
        </w:tc>
        <w:tc>
          <w:tcPr>
            <w:tcW w:w="1113" w:type="dxa"/>
            <w:vMerge w:val="restart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  <w:t>Grant Date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  <w:t>Fair Value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  <w:t>of Stock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  <w:t>and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  <w:t>Option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  <w:t>Awards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  <w:t>($)(5)</w:t>
            </w:r>
          </w:p>
        </w:tc>
      </w:tr>
      <w:tr>
        <w:trPr/>
        <w:tc>
          <w:tcPr>
            <w:tcW w:w="1545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3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3"/>
                <w:u w:val="none"/>
                <w:effect w:val="none"/>
              </w:rPr>
              <w:t>Name</w:t>
            </w:r>
          </w:p>
        </w:tc>
        <w:tc>
          <w:tcPr>
            <w:tcW w:w="979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3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3"/>
                <w:u w:val="none"/>
                <w:effect w:val="none"/>
              </w:rPr>
              <w:t>Grant Date</w:t>
            </w:r>
          </w:p>
        </w:tc>
        <w:tc>
          <w:tcPr>
            <w:tcW w:w="437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>
              <w:top w:val="single" w:sz="8" w:space="0" w:color="FFFFFF"/>
            </w:tcBorders>
            <w:shd w:fill="F47521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3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3"/>
                <w:u w:val="none"/>
                <w:effect w:val="none"/>
              </w:rPr>
              <w:t>Threshold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3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3"/>
                <w:u w:val="none"/>
                <w:effect w:val="none"/>
              </w:rPr>
              <w:t>($)</w:t>
            </w:r>
          </w:p>
        </w:tc>
        <w:tc>
          <w:tcPr>
            <w:tcW w:w="886" w:type="dxa"/>
            <w:tcBorders>
              <w:top w:val="single" w:sz="8" w:space="0" w:color="FFFFFF"/>
            </w:tcBorders>
            <w:shd w:fill="F47521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3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3"/>
                <w:u w:val="none"/>
                <w:effect w:val="none"/>
              </w:rPr>
              <w:t>Target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3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3"/>
                <w:u w:val="none"/>
                <w:effect w:val="none"/>
              </w:rPr>
              <w:t>($)</w:t>
            </w:r>
          </w:p>
        </w:tc>
        <w:tc>
          <w:tcPr>
            <w:tcW w:w="886" w:type="dxa"/>
            <w:tcBorders>
              <w:top w:val="single" w:sz="8" w:space="0" w:color="FFFFFF"/>
            </w:tcBorders>
            <w:shd w:fill="F47521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3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3"/>
                <w:u w:val="none"/>
                <w:effect w:val="none"/>
              </w:rPr>
              <w:t>Maximum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3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3"/>
                <w:u w:val="none"/>
                <w:effect w:val="none"/>
              </w:rPr>
              <w:t>($)</w:t>
            </w:r>
          </w:p>
        </w:tc>
        <w:tc>
          <w:tcPr>
            <w:tcW w:w="109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>
              <w:top w:val="single" w:sz="8" w:space="0" w:color="FFFFFF"/>
            </w:tcBorders>
            <w:shd w:fill="F47521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3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3"/>
                <w:u w:val="none"/>
                <w:effect w:val="none"/>
              </w:rPr>
              <w:t>Threshold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3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3"/>
                <w:u w:val="none"/>
                <w:effect w:val="none"/>
              </w:rPr>
              <w:t>(#)</w:t>
            </w:r>
          </w:p>
        </w:tc>
        <w:tc>
          <w:tcPr>
            <w:tcW w:w="886" w:type="dxa"/>
            <w:tcBorders>
              <w:top w:val="single" w:sz="8" w:space="0" w:color="FFFFFF"/>
            </w:tcBorders>
            <w:shd w:fill="F47521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3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3"/>
                <w:u w:val="none"/>
                <w:effect w:val="none"/>
              </w:rPr>
              <w:t>Target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3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3"/>
                <w:u w:val="none"/>
                <w:effect w:val="none"/>
              </w:rPr>
              <w:t>(#)</w:t>
            </w:r>
          </w:p>
        </w:tc>
        <w:tc>
          <w:tcPr>
            <w:tcW w:w="826" w:type="dxa"/>
            <w:tcBorders>
              <w:top w:val="single" w:sz="8" w:space="0" w:color="FFFFFF"/>
            </w:tcBorders>
            <w:shd w:fill="F47521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3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3"/>
                <w:u w:val="none"/>
                <w:effect w:val="none"/>
              </w:rPr>
              <w:t>Maximum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3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3"/>
                <w:u w:val="none"/>
                <w:effect w:val="none"/>
              </w:rPr>
              <w:t>(#)</w:t>
            </w:r>
          </w:p>
        </w:tc>
        <w:tc>
          <w:tcPr>
            <w:tcW w:w="886" w:type="dxa"/>
            <w:vMerge w:val="continue"/>
            <w:tcBorders/>
            <w:shd w:fill="F47521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13" w:type="dxa"/>
            <w:vMerge w:val="continue"/>
            <w:tcBorders/>
            <w:shd w:fill="F47521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545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 xml:space="preserve">Jeffrey J. Hessekiel,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 xml:space="preserve">J.D. </w:t>
            </w:r>
          </w:p>
        </w:tc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5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2/26/2025</w:t>
            </w:r>
          </w:p>
        </w:tc>
        <w:tc>
          <w:tcPr>
            <w:tcW w:w="437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(6)</w:t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8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8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8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8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52,192</w:t>
            </w:r>
          </w:p>
        </w:tc>
        <w:tc>
          <w:tcPr>
            <w:tcW w:w="1113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1,958,766</w:t>
            </w:r>
          </w:p>
        </w:tc>
      </w:tr>
      <w:tr>
        <w:trPr/>
        <w:tc>
          <w:tcPr>
            <w:tcW w:w="15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2/26/2025</w:t>
            </w:r>
          </w:p>
        </w:tc>
        <w:tc>
          <w:tcPr>
            <w:tcW w:w="437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(6)</w:t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8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8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26,096</w:t>
            </w:r>
          </w:p>
        </w:tc>
        <w:tc>
          <w:tcPr>
            <w:tcW w:w="8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52,192</w:t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91,336</w:t>
            </w:r>
          </w:p>
        </w:tc>
        <w:tc>
          <w:tcPr>
            <w:tcW w:w="8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1113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2,483,295</w:t>
            </w:r>
          </w:p>
        </w:tc>
      </w:tr>
      <w:tr>
        <w:trPr/>
        <w:tc>
          <w:tcPr>
            <w:tcW w:w="15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3/31/2025</w:t>
            </w:r>
          </w:p>
        </w:tc>
        <w:tc>
          <w:tcPr>
            <w:tcW w:w="437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(3)(6)</w:t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8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8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8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154,070</w:t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8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1113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3,867,157</w:t>
            </w:r>
          </w:p>
        </w:tc>
      </w:tr>
      <w:tr>
        <w:trPr/>
        <w:tc>
          <w:tcPr>
            <w:tcW w:w="1545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9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N/A</w:t>
            </w:r>
          </w:p>
        </w:tc>
        <w:tc>
          <w:tcPr>
            <w:tcW w:w="437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886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359,877</w:t>
            </w:r>
          </w:p>
        </w:tc>
        <w:tc>
          <w:tcPr>
            <w:tcW w:w="886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593,797</w:t>
            </w:r>
          </w:p>
        </w:tc>
        <w:tc>
          <w:tcPr>
            <w:tcW w:w="109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886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826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886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1113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1545" w:type="dxa"/>
            <w:tcBorders>
              <w:top w:val="single" w:sz="4" w:space="0" w:color="B6B6B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 xml:space="preserve">Amy C. Peterson, M.D. </w:t>
            </w:r>
          </w:p>
        </w:tc>
        <w:tc>
          <w:tcPr>
            <w:tcW w:w="979" w:type="dxa"/>
            <w:tcBorders>
              <w:top w:val="single" w:sz="4" w:space="0" w:color="B6B6B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7" w:type="dxa"/>
            <w:tcBorders>
              <w:top w:val="single" w:sz="4" w:space="0" w:color="B6B6B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>
              <w:top w:val="single" w:sz="4" w:space="0" w:color="B6B6B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>
              <w:top w:val="single" w:sz="4" w:space="0" w:color="B6B6B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>
              <w:top w:val="single" w:sz="4" w:space="0" w:color="B6B6B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4" w:space="0" w:color="B6B6B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>
              <w:top w:val="single" w:sz="4" w:space="0" w:color="B6B6B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>
              <w:top w:val="single" w:sz="4" w:space="0" w:color="B6B6B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>
              <w:top w:val="single" w:sz="4" w:space="0" w:color="B6B6B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>
              <w:top w:val="single" w:sz="4" w:space="0" w:color="B6B6B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3" w:type="dxa"/>
            <w:tcBorders>
              <w:top w:val="single" w:sz="4" w:space="0" w:color="B6B6B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5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2/26/2025</w:t>
            </w:r>
          </w:p>
        </w:tc>
        <w:tc>
          <w:tcPr>
            <w:tcW w:w="437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(7)</w:t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8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8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8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8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52,192</w:t>
            </w:r>
          </w:p>
        </w:tc>
        <w:tc>
          <w:tcPr>
            <w:tcW w:w="1113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1,958,766</w:t>
            </w:r>
          </w:p>
        </w:tc>
      </w:tr>
      <w:tr>
        <w:trPr/>
        <w:tc>
          <w:tcPr>
            <w:tcW w:w="15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2/26/2025</w:t>
            </w:r>
          </w:p>
        </w:tc>
        <w:tc>
          <w:tcPr>
            <w:tcW w:w="437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(7)</w:t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8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8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26,096</w:t>
            </w:r>
          </w:p>
        </w:tc>
        <w:tc>
          <w:tcPr>
            <w:tcW w:w="8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52,192</w:t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91,336</w:t>
            </w:r>
          </w:p>
        </w:tc>
        <w:tc>
          <w:tcPr>
            <w:tcW w:w="8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1113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2,483,295</w:t>
            </w:r>
          </w:p>
        </w:tc>
      </w:tr>
      <w:tr>
        <w:trPr/>
        <w:tc>
          <w:tcPr>
            <w:tcW w:w="15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3/31/2025</w:t>
            </w:r>
          </w:p>
        </w:tc>
        <w:tc>
          <w:tcPr>
            <w:tcW w:w="437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(3)(7)</w:t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8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8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8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159,383</w:t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8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1113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4,000,513</w:t>
            </w:r>
          </w:p>
        </w:tc>
      </w:tr>
      <w:tr>
        <w:trPr/>
        <w:tc>
          <w:tcPr>
            <w:tcW w:w="1545" w:type="dxa"/>
            <w:tcBorders>
              <w:bottom w:val="single" w:sz="8" w:space="0" w:color="F47521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9" w:type="dxa"/>
            <w:tcBorders>
              <w:bottom w:val="single" w:sz="8" w:space="0" w:color="F47521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N/A</w:t>
            </w:r>
          </w:p>
        </w:tc>
        <w:tc>
          <w:tcPr>
            <w:tcW w:w="437" w:type="dxa"/>
            <w:tcBorders>
              <w:bottom w:val="single" w:sz="8" w:space="0" w:color="F47521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>
              <w:bottom w:val="single" w:sz="8" w:space="0" w:color="F47521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886" w:type="dxa"/>
            <w:tcBorders>
              <w:bottom w:val="single" w:sz="8" w:space="0" w:color="F47521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353,068</w:t>
            </w:r>
          </w:p>
        </w:tc>
        <w:tc>
          <w:tcPr>
            <w:tcW w:w="886" w:type="dxa"/>
            <w:tcBorders>
              <w:bottom w:val="single" w:sz="8" w:space="0" w:color="F47521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582,561</w:t>
            </w:r>
          </w:p>
        </w:tc>
        <w:tc>
          <w:tcPr>
            <w:tcW w:w="109" w:type="dxa"/>
            <w:tcBorders>
              <w:bottom w:val="single" w:sz="8" w:space="0" w:color="F47521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>
              <w:bottom w:val="single" w:sz="8" w:space="0" w:color="F47521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886" w:type="dxa"/>
            <w:tcBorders>
              <w:bottom w:val="single" w:sz="8" w:space="0" w:color="F47521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826" w:type="dxa"/>
            <w:tcBorders>
              <w:bottom w:val="single" w:sz="8" w:space="0" w:color="F47521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886" w:type="dxa"/>
            <w:tcBorders>
              <w:bottom w:val="single" w:sz="8" w:space="0" w:color="F47521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1113" w:type="dxa"/>
            <w:tcBorders>
              <w:bottom w:val="single" w:sz="8" w:space="0" w:color="F47521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(1)    The dollar amount represents the target and maximum amounts of each NEO’s potential annual cash bonus award pursuant to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our Annual Cash Bonus Plan for fiscal 2025. The amounts shown under “Target” reflect the applicable target payment under the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Annual Cash Bonus Plan if (i) we achieved 100% of the pre-determined 2025 corporate goals established by the Compensation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Committee, and (ii) each NEO’s individual performance percentage was assessed at 100% by the Compensation Committee (or,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for Dr. Hefti, the Equity Award Committee) with respect to his or her contributions toward the achievement of our corporate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goals. The amounts shown under “Maximum” reflect the applicable maximum payment established by the Compensation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Committee under the Annual Cash Bonus Plan if (i) we achieved 150% of the pre-determined 2025 corporate goals established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by the Compensation Committee, and (ii) each NEO’s individual performance percentage was assessed at 200% by the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Compensation Committee (or, for Dr. Hefti, the Equity Award Committee) with respect to his or her contributions toward the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achievement of our corporate goals and the departmental achievements in each NEO’s area of responsibility that drove the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achievement of such corporate goals; provided, however, that pursuant to the Annual Cash Bonus Plan, neither the corporate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performance percentage nor the individual performance percentage may exceed 200% in any given year. There is no threshold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or minimum possible payment under the Annual Cash Bonus Plan. For more information regarding our Annual Cash Bonus Plan, </w:t>
      </w:r>
    </w:p>
    <w:p>
      <w:pPr>
        <w:pStyle w:val="TextBody"/>
        <w:bidi w:val="0"/>
        <w:spacing w:lineRule="atLeast" w:line="180" w:before="0" w:after="0"/>
        <w:jc w:val="left"/>
        <w:rPr/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>please see “</w:t>
      </w:r>
      <w:hyperlink w:anchor="i6d44722bfc2543dbbba9716d9e560c58_154">
        <w:r>
          <w:rPr>
            <w:rStyle w:val="InternetLink"/>
            <w:rFonts w:ascii="sans-serif" w:hAnsi="sans-serif"/>
            <w:b w:val="false"/>
            <w:i w:val="false"/>
            <w:caps w:val="false"/>
            <w:smallCaps w:val="false"/>
            <w:color w:val="0000FF"/>
            <w:sz w:val="18"/>
            <w:u w:val="single"/>
          </w:rPr>
          <w:t>Compensation Discussion and Analysis—2025 Compensation Decisions—2025 Annual Cash Bonuses</w:t>
        </w:r>
      </w:hyperlink>
      <w:r>
        <w:rPr>
          <w:caps w:val="false"/>
          <w:smallCaps w:val="false"/>
          <w:strike w:val="false"/>
          <w:dstrike w:val="false"/>
          <w:color w:val="3F3F3F"/>
          <w:u w:val="none"/>
          <w:effect w:val="none"/>
        </w:rPr>
        <w:t xml:space="preserve">”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>above.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(2)The PSU award was granted in February 2025 pursuant to our 2017 Plan to all NEOs as part of the LTIP for fiscal 2025. The PSU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award will vest in accordance with the following: if the 2025 Relative TSR Goal is achieved at the end of the performance period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from January 3, 2025 through December 31, 2027, at or above the threshold level of performance, (i) 50% of the 2025 PSU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Certified Shares will vest upon the Compensation Committee’s certification of such achievement after the end of the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performance period, and (ii) 50% of the 2025 PSU Certified Shares will vest on the first quarterly vesting date (i.e., February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15th, May 15th, August 15th and November 15th) following the one-year anniversary of the Compensation Committee’s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certification (assuming that such PSUs are not accelerated). For clarification, (i) shares of common stock subject to the award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will be eligible to vest if and only if the 2025 Relative TSR Goal is achieved at or above the threshold level of performance, and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failure to achieve the threshold level of performance set forth in the 2025 Relative TSR Goal will result in forfeiture of 100% of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the PSU award, and (ii) the level of achievement of the 2025 Relative TSR Goal will not be determined by the Compensation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Committee until after the end of the three-year performance period on December 31, 2027. For more information regarding </w:t>
      </w:r>
    </w:p>
    <w:p>
      <w:pPr>
        <w:pStyle w:val="TextBody"/>
        <w:bidi w:val="0"/>
        <w:spacing w:lineRule="atLeast" w:line="180" w:before="0" w:after="0"/>
        <w:jc w:val="left"/>
        <w:rPr/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>the PSUs granted in 2024, please see “</w:t>
      </w:r>
      <w:hyperlink w:anchor="i6d44722bfc2543dbbba9716d9e560c58_157">
        <w:r>
          <w:rPr>
            <w:rStyle w:val="InternetLink"/>
            <w:rFonts w:ascii="sans-serif" w:hAnsi="sans-serif"/>
            <w:b w:val="false"/>
            <w:i w:val="false"/>
            <w:caps w:val="false"/>
            <w:smallCaps w:val="false"/>
            <w:color w:val="0000FF"/>
            <w:sz w:val="18"/>
            <w:u w:val="single"/>
          </w:rPr>
          <w:t xml:space="preserve">Compensation Discussion and Analysis—2025 Compensation Decisions—2025 Long-Term </w:t>
        </w:r>
      </w:hyperlink>
    </w:p>
    <w:p>
      <w:pPr>
        <w:pStyle w:val="TextBody"/>
        <w:bidi w:val="0"/>
        <w:spacing w:lineRule="atLeast" w:line="180" w:before="0" w:after="0"/>
        <w:jc w:val="left"/>
        <w:rPr/>
      </w:pPr>
      <w:hyperlink w:anchor="i6d44722bfc2543dbbba9716d9e560c58_157">
        <w:r>
          <w:rPr>
            <w:rStyle w:val="InternetLink"/>
            <w:rFonts w:ascii="sans-serif" w:hAnsi="sans-serif"/>
            <w:b w:val="false"/>
            <w:i w:val="false"/>
            <w:caps w:val="false"/>
            <w:smallCaps w:val="false"/>
            <w:color w:val="0000FF"/>
            <w:sz w:val="18"/>
            <w:u w:val="single"/>
          </w:rPr>
          <w:t>Incentive Awards—2025 PSU Awards</w:t>
        </w:r>
      </w:hyperlink>
      <w:r>
        <w:rPr>
          <w:caps w:val="false"/>
          <w:smallCaps w:val="false"/>
          <w:strike w:val="false"/>
          <w:dstrike w:val="false"/>
          <w:color w:val="3F3F3F"/>
          <w:u w:val="none"/>
          <w:effect w:val="none"/>
        </w:rPr>
        <w:t xml:space="preserve">”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>above.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(3)The One-Time PSU Awards were granted in March 2025 pursuant to our 2017 Plan to all employees of the company, including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our NEOs in fiscal 2025. The One-Time PSU Awards will vest only upon the satisfaction of both the Stock-Price Performance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Condition and any Time-Based Service Requirement, as applicable, by the end of the five-year performance period from March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31, 2025 through March 31, 2030 (the One-Time PSU Performance Period). If the Stock-Price Performance Condition is not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achieved during the One-Time PSU Performance Period, the One-Time PSU Award will be forfeited in its entirety.  For more </w:t>
      </w:r>
    </w:p>
    <w:p>
      <w:pPr>
        <w:pStyle w:val="TextBody"/>
        <w:bidi w:val="0"/>
        <w:spacing w:lineRule="atLeast" w:line="180" w:before="0" w:after="0"/>
        <w:jc w:val="left"/>
        <w:rPr/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>information regarding the One-Time PSU Awards granted to NEOs in 2025, please see “</w:t>
      </w:r>
      <w:hyperlink w:anchor="i6d44722bfc2543dbbba9716d9e560c58_1185">
        <w:r>
          <w:rPr>
            <w:rStyle w:val="InternetLink"/>
            <w:rFonts w:ascii="sans-serif" w:hAnsi="sans-serif"/>
            <w:b w:val="false"/>
            <w:i w:val="false"/>
            <w:caps w:val="false"/>
            <w:smallCaps w:val="false"/>
            <w:color w:val="0000FF"/>
            <w:sz w:val="18"/>
            <w:u w:val="single"/>
          </w:rPr>
          <w:t>Compensation Discussion and Analysis—</w:t>
        </w:r>
      </w:hyperlink>
    </w:p>
    <w:p>
      <w:pPr>
        <w:pStyle w:val="TextBody"/>
        <w:bidi w:val="0"/>
        <w:spacing w:lineRule="atLeast" w:line="180" w:before="0" w:after="0"/>
        <w:jc w:val="left"/>
        <w:rPr/>
      </w:pPr>
      <w:hyperlink w:anchor="i6d44722bfc2543dbbba9716d9e560c58_1185">
        <w:r>
          <w:rPr>
            <w:rStyle w:val="InternetLink"/>
            <w:rFonts w:ascii="sans-serif" w:hAnsi="sans-serif"/>
            <w:b w:val="false"/>
            <w:i w:val="false"/>
            <w:caps w:val="false"/>
            <w:smallCaps w:val="false"/>
            <w:color w:val="0000FF"/>
            <w:sz w:val="18"/>
            <w:u w:val="single"/>
          </w:rPr>
          <w:t>2025 Compensation Decisions—2025 One Time PSU Award (Special Equity Award Program)</w:t>
        </w:r>
      </w:hyperlink>
      <w:r>
        <w:rPr>
          <w:caps w:val="false"/>
          <w:smallCaps w:val="false"/>
          <w:strike w:val="false"/>
          <w:dstrike w:val="false"/>
          <w:color w:val="3F3F3F"/>
          <w:u w:val="none"/>
          <w:effect w:val="none"/>
        </w:rPr>
        <w:t xml:space="preserve">”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>above.</w:t>
      </w:r>
    </w:p>
    <w:p>
      <w:pPr>
        <w:pStyle w:val="TextBody"/>
        <w:bidi w:val="0"/>
        <w:spacing w:lineRule="atLeast" w:line="180" w:before="0" w:after="0"/>
        <w:jc w:val="left"/>
        <w:rPr>
          <w:sz w:val="24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>(4)The RSU award was granted in February 2025</w:t>
      </w:r>
      <w:r>
        <w:rPr>
          <w:caps w:val="false"/>
          <w:smallCaps w:val="false"/>
          <w:strike w:val="false"/>
          <w:dstrike w:val="false"/>
          <w:color w:val="3F3F3F"/>
          <w:sz w:val="24"/>
          <w:u w:val="none"/>
          <w:effect w:val="none"/>
        </w:rPr>
        <w:t xml:space="preserve">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pursuant to our 2017 Plan to all NEOs as part of the LTIP for fiscal 2025. The RSU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award will vest as to 1/4th of the shares subject to each RSU award on May 15, 2026 and thereafter as to 1/4th of the number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of shares subject to the RSU award on each May 15th until fully vested (assuming that such RSUs are not accelerated). 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(5)Amounts shown in this column do not reflect compensation actually received or amounts that may be realized in the future by </w:t>
      </w:r>
    </w:p>
    <w:p>
      <w:pPr>
        <w:pStyle w:val="TextBody"/>
        <w:bidi w:val="0"/>
        <w:spacing w:lineRule="atLeast" w:line="180" w:before="0" w:after="0"/>
        <w:jc w:val="left"/>
        <w:rPr>
          <w:sz w:val="24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>the NEOs. The amounts shown in this column reflect the aggregate grant date fair value in fiscal year 2025</w:t>
      </w:r>
      <w:r>
        <w:rPr>
          <w:caps w:val="false"/>
          <w:smallCaps w:val="false"/>
          <w:strike w:val="false"/>
          <w:dstrike w:val="false"/>
          <w:color w:val="3F3F3F"/>
          <w:sz w:val="24"/>
          <w:u w:val="none"/>
          <w:effect w:val="none"/>
        </w:rPr>
        <w:t xml:space="preserve">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for the RSU and PSU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awards and One-Time PSU Awards as computed in accordance with ASC 718. The assumptions used to calculate the grant date </w:t>
      </w:r>
    </w:p>
    <w:tbl>
      <w:tblPr>
        <w:tblW w:w="256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176"/>
        <w:gridCol w:w="391"/>
      </w:tblGrid>
      <w:tr>
        <w:trPr/>
        <w:tc>
          <w:tcPr>
            <w:tcW w:w="21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7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40404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404040"/>
                <w:sz w:val="18"/>
                <w:u w:val="none"/>
                <w:effect w:val="none"/>
              </w:rPr>
              <w:t>2026 Proxy Statement</w:t>
            </w:r>
          </w:p>
        </w:tc>
        <w:tc>
          <w:tcPr>
            <w:tcW w:w="39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  <w:t>93</w:t>
            </w:r>
          </w:p>
        </w:tc>
      </w:tr>
    </w:tbl>
    <w:tbl>
      <w:tblPr>
        <w:tblW w:w="787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696"/>
        <w:gridCol w:w="6181"/>
      </w:tblGrid>
      <w:tr>
        <w:trPr/>
        <w:tc>
          <w:tcPr>
            <w:tcW w:w="16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9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6d44722bfc2543dbbba9716d9e560c58_16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color w:val="0000FF"/>
                  <w:sz w:val="18"/>
                  <w:u w:val="single"/>
                </w:rPr>
                <w:t>Table of Contents</w:t>
              </w:r>
            </w:hyperlink>
          </w:p>
        </w:tc>
        <w:tc>
          <w:tcPr>
            <w:tcW w:w="618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 xml:space="preserve">Compensation of Executive Officers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C4C02"/>
                <w:sz w:val="18"/>
                <w:u w:val="none"/>
                <w:effect w:val="none"/>
              </w:rPr>
              <w:t>|</w:t>
            </w: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 xml:space="preserve">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Compensation Arrangements</w:t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fair value of the PSU awards are set forth in Note 9 of the Notes to Consolidated Financial Statements included in our Annual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Report on Form 10-K for the fiscal year ended January 2, 2026, filed with the SEC on February 10, 2026. The grant date fair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values of the 2025 PSU award and One-Time PSU Award, as computed in accordance with ASC 718, granted to each NEO, </w:t>
      </w:r>
    </w:p>
    <w:p>
      <w:pPr>
        <w:pStyle w:val="TextBody"/>
        <w:bidi w:val="0"/>
        <w:spacing w:lineRule="atLeast" w:line="180" w:before="0" w:after="0"/>
        <w:jc w:val="left"/>
        <w:rPr>
          <w:sz w:val="24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>presented in the table above are based upon a price of $47.58</w:t>
      </w:r>
      <w:r>
        <w:rPr>
          <w:caps w:val="false"/>
          <w:smallCaps w:val="false"/>
          <w:strike w:val="false"/>
          <w:dstrike w:val="false"/>
          <w:color w:val="3F3F3F"/>
          <w:sz w:val="24"/>
          <w:u w:val="none"/>
          <w:effect w:val="none"/>
        </w:rPr>
        <w:t xml:space="preserve">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>and $25.10</w:t>
      </w:r>
      <w:r>
        <w:rPr>
          <w:caps w:val="false"/>
          <w:smallCaps w:val="false"/>
          <w:strike w:val="false"/>
          <w:dstrike w:val="false"/>
          <w:color w:val="3F3F3F"/>
          <w:sz w:val="24"/>
          <w:u w:val="none"/>
          <w:effect w:val="none"/>
        </w:rPr>
        <w:t xml:space="preserve">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per share for each NEO, respectively, based on the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Monte Carlo simulation model. For additional information regarding the values of the PSU awards and One-Time PSU Awards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granted to each NEO during fiscal 2025, see Footnote 4 to the Summary Compensation Table above. The grant date fair value of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the RSU awards were measured based on the closing price of our common stock on the date of grant. No stock option awards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were granted to our NEOs during fiscal 2025.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(6)In connection with Mr. Hessekiel’s resignation from the company in November 2025, the PSU award and RSU award granted to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Mr. Hessekiel in February 2025 and the One-Time PSU Award granted to Mr. Hessekiel in March 2025, were forfeited in their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>entirety, and he received no payment under the Annual Cash Bonus Plan for fiscal 2025.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(7)In connection with Dr. Peterson’s departure from the company in August 2025 the PSU award and RSU award granted to Dr.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Peterson in February 2025 and the One-Time PSU Award granted to Dr. Peterson in March 2025, were forfeited in their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entirety, and pursuant to the Peterson Separation Agreement and the company’s CIC Plan, Dr. Peterson received a payment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equal to a pro rata portion of her 2025 actual Annual Cash Bonus, calculated based on the number of completed calendar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months Employee worked in the 2025 fiscal year, plus an additional sixty (60) calendar days deemed worked for purposes of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>this calculation.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F47521"/>
          <w:sz w:val="2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F47521"/>
          <w:sz w:val="28"/>
          <w:u w:val="none"/>
          <w:effect w:val="none"/>
        </w:rPr>
        <w:t xml:space="preserve">Compensation Arrangements </w:t>
      </w:r>
    </w:p>
    <w:tbl>
      <w:tblPr>
        <w:tblW w:w="169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69"/>
      </w:tblGrid>
      <w:tr>
        <w:trPr/>
        <w:tc>
          <w:tcPr>
            <w:tcW w:w="16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9" w:type="dxa"/>
            <w:tcBorders>
              <w:top w:val="single" w:sz="8" w:space="0" w:color="F47521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sans-serif" w:hAnsi="sans-serif"/>
          <w:b/>
          <w:i/>
          <w:strike w:val="false"/>
          <w:dstrike w:val="false"/>
          <w:color w:val="3F3F3F"/>
          <w:sz w:val="20"/>
          <w:u w:val="none"/>
          <w:effect w:val="none"/>
        </w:rPr>
        <w:t>Base Salaries.</w:t>
      </w:r>
      <w:r>
        <w:rPr>
          <w:caps w:val="false"/>
          <w:smallCaps w:val="false"/>
          <w:strike w:val="false"/>
          <w:dstrike w:val="false"/>
          <w:color w:val="3F3F3F"/>
          <w:u w:val="none"/>
          <w:effect w:val="none"/>
        </w:rPr>
        <w:t xml:space="preserve">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For a description of actions taken by the Compensation Committee with respect to base salaries for our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NEOs for fiscal 2025, please see “</w:t>
      </w:r>
      <w:hyperlink w:anchor="i6d44722bfc2543dbbba9716d9e560c58_151">
        <w:r>
          <w:rPr>
            <w:rStyle w:val="InternetLink"/>
            <w:rFonts w:ascii="sans-serif" w:hAnsi="sans-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 xml:space="preserve">Compensation Discussion and Analysis—2025 Compensation Decisions—2025 Base </w:t>
        </w:r>
      </w:hyperlink>
    </w:p>
    <w:p>
      <w:pPr>
        <w:pStyle w:val="TextBody"/>
        <w:bidi w:val="0"/>
        <w:spacing w:lineRule="atLeast" w:line="200" w:before="0" w:after="0"/>
        <w:jc w:val="left"/>
        <w:rPr/>
      </w:pPr>
      <w:hyperlink w:anchor="i6d44722bfc2543dbbba9716d9e560c58_151">
        <w:r>
          <w:rPr>
            <w:rStyle w:val="InternetLink"/>
            <w:rFonts w:ascii="sans-serif" w:hAnsi="sans-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Salaries</w:t>
        </w:r>
      </w:hyperlink>
      <w:r>
        <w:rPr>
          <w:caps w:val="false"/>
          <w:smallCaps w:val="false"/>
          <w:strike w:val="false"/>
          <w:dstrike w:val="false"/>
          <w:color w:val="3F3F3F"/>
          <w:u w:val="none"/>
          <w:effect w:val="none"/>
        </w:rPr>
        <w:t>” 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above.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sans-serif" w:hAnsi="sans-serif"/>
          <w:b/>
          <w:i/>
          <w:strike w:val="false"/>
          <w:dstrike w:val="false"/>
          <w:color w:val="3F3F3F"/>
          <w:sz w:val="20"/>
          <w:u w:val="none"/>
          <w:effect w:val="none"/>
        </w:rPr>
        <w:t>Annual Cash Bonuses.</w:t>
      </w:r>
      <w:r>
        <w:rPr>
          <w:caps w:val="false"/>
          <w:smallCaps w:val="false"/>
          <w:strike w:val="false"/>
          <w:dstrike w:val="false"/>
          <w:color w:val="3F3F3F"/>
          <w:u w:val="none"/>
          <w:effect w:val="none"/>
        </w:rPr>
        <w:t xml:space="preserve">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In 2018, we adopted our Annual Cash Bonus Plan that provides for annual bonus awards based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on our corporate performance, including achievement against pre-determined corporate goals and the individual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contributions of each NEO toward the achievement of such corporate goals. For more information regarding our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Annual Cash Bonus Plan, please see “</w:t>
      </w:r>
      <w:hyperlink w:anchor="i6d44722bfc2543dbbba9716d9e560c58_154">
        <w:r>
          <w:rPr>
            <w:rStyle w:val="InternetLink"/>
            <w:rFonts w:ascii="sans-serif" w:hAnsi="sans-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 xml:space="preserve">Compensation Discussion and Analysis—2025 Compensation Decisions—2025 </w:t>
        </w:r>
      </w:hyperlink>
    </w:p>
    <w:p>
      <w:pPr>
        <w:pStyle w:val="TextBody"/>
        <w:bidi w:val="0"/>
        <w:spacing w:lineRule="atLeast" w:line="200" w:before="0" w:after="0"/>
        <w:jc w:val="left"/>
        <w:rPr/>
      </w:pPr>
      <w:hyperlink w:anchor="i6d44722bfc2543dbbba9716d9e560c58_154">
        <w:r>
          <w:rPr>
            <w:rStyle w:val="InternetLink"/>
            <w:rFonts w:ascii="sans-serif" w:hAnsi="sans-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Annual Cash Bonuses</w:t>
        </w:r>
      </w:hyperlink>
      <w:r>
        <w:rPr>
          <w:caps w:val="false"/>
          <w:smallCaps w:val="false"/>
          <w:strike w:val="false"/>
          <w:dstrike w:val="false"/>
          <w:color w:val="3F3F3F"/>
          <w:u w:val="none"/>
          <w:effect w:val="none"/>
        </w:rPr>
        <w:t xml:space="preserve">”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above.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sans-serif" w:hAnsi="sans-serif"/>
          <w:b/>
          <w:i/>
          <w:strike w:val="false"/>
          <w:dstrike w:val="false"/>
          <w:color w:val="3F3F3F"/>
          <w:sz w:val="20"/>
          <w:u w:val="none"/>
          <w:effect w:val="none"/>
        </w:rPr>
        <w:t xml:space="preserve">Stock Awards and Option Awards.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Our 2017 Plan provides for the grant of RSUs, PSUs and time-based and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performance-based stock options to our NEOs and other employees. In February 2025, we granted PSU awards, which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will only vest following our achievement of the 2025 Relative TSR Goal, to all of our NEOs, as well as time-based equity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awards in the form of RSUs to all of our NEOs. For information regarding PSU and RSU awards granted to the NEOs in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fiscal 2025, including the number of underlying shares and vesting conditions related thereto, please see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3F3F3F"/>
          <w:u w:val="none"/>
          <w:effect w:val="none"/>
        </w:rPr>
        <w:t>“</w:t>
      </w:r>
      <w:hyperlink w:anchor="i6d44722bfc2543dbbba9716d9e560c58_157">
        <w:r>
          <w:rPr>
            <w:rStyle w:val="InternetLink"/>
            <w:rFonts w:ascii="sans-serif" w:hAnsi="sans-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Compensation Discussion and Analysis—2025 Compensation Decisions—2025 Long-Term Incentive Awards</w:t>
        </w:r>
      </w:hyperlink>
      <w:r>
        <w:rPr>
          <w:caps w:val="false"/>
          <w:smallCaps w:val="false"/>
          <w:strike w:val="false"/>
          <w:dstrike w:val="false"/>
          <w:color w:val="3F3F3F"/>
          <w:u w:val="none"/>
          <w:effect w:val="none"/>
        </w:rPr>
        <w:t xml:space="preserve">”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above.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sans-serif" w:hAnsi="sans-serif"/>
          <w:b/>
          <w:i/>
          <w:strike w:val="false"/>
          <w:dstrike w:val="false"/>
          <w:color w:val="3F3F3F"/>
          <w:sz w:val="20"/>
          <w:u w:val="none"/>
          <w:effect w:val="none"/>
        </w:rPr>
        <w:t>One-Time PSU Awards (Special Equity Award Program).</w:t>
      </w:r>
      <w:r>
        <w:rPr>
          <w:caps w:val="false"/>
          <w:smallCaps w:val="false"/>
          <w:strike w:val="false"/>
          <w:dstrike w:val="false"/>
          <w:color w:val="3F3F3F"/>
          <w:u w:val="none"/>
          <w:effect w:val="none"/>
        </w:rPr>
        <w:t xml:space="preserve">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In March 2025, following recommendation by the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Compensation Committee, the Board approved the One-Time PSU Award under the 2017 Plan for all employees of the </w:t>
      </w:r>
    </w:p>
    <w:p>
      <w:pPr>
        <w:pStyle w:val="TextBody"/>
        <w:bidi w:val="0"/>
        <w:spacing w:lineRule="atLeast" w:line="240" w:before="0" w:after="0"/>
        <w:jc w:val="left"/>
        <w:rPr/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company, including its NEOs.</w:t>
      </w:r>
      <w:r>
        <w:rPr>
          <w:caps w:val="false"/>
          <w:smallCaps w:val="false"/>
          <w:strike w:val="false"/>
          <w:dstrike w:val="false"/>
          <w:color w:val="3F3F3F"/>
          <w:u w:val="none"/>
          <w:effect w:val="none"/>
        </w:rPr>
        <w:t xml:space="preserve">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The One-Time PSU Awards will vest only upon the satisfaction of both the Stock-Price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Performance Condition and any Time-Based Service Requirement, as applicable, by the end of the One-Time PSU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Performance Period. If the Stock-Price Performance Condition is not achieved during the One-Time PSU Performance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Period, the One-Time PSU Awards will be forfeited in its entirety. For more information regarding the One-Time PSU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Awards granted to NEOs in 2025, please see “</w:t>
      </w:r>
      <w:hyperlink w:anchor="i6d44722bfc2543dbbba9716d9e560c58_1185">
        <w:r>
          <w:rPr>
            <w:rStyle w:val="InternetLink"/>
            <w:rFonts w:ascii="sans-serif" w:hAnsi="sans-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Compensation Discussion and Analysis—2025 Compensation Decisions—</w:t>
        </w:r>
      </w:hyperlink>
    </w:p>
    <w:p>
      <w:pPr>
        <w:pStyle w:val="TextBody"/>
        <w:bidi w:val="0"/>
        <w:spacing w:lineRule="atLeast" w:line="200" w:before="0" w:after="0"/>
        <w:jc w:val="left"/>
        <w:rPr/>
      </w:pPr>
      <w:hyperlink w:anchor="i6d44722bfc2543dbbba9716d9e560c58_1185">
        <w:r>
          <w:rPr>
            <w:rStyle w:val="InternetLink"/>
            <w:rFonts w:ascii="sans-serif" w:hAnsi="sans-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2025 One Time PSU Award (Special Equity Award Program)</w:t>
        </w:r>
      </w:hyperlink>
      <w:r>
        <w:rPr>
          <w:caps w:val="false"/>
          <w:smallCaps w:val="false"/>
          <w:strike w:val="false"/>
          <w:dstrike w:val="false"/>
          <w:color w:val="3F3F3F"/>
          <w:sz w:val="24"/>
          <w:u w:val="none"/>
          <w:effect w:val="none"/>
        </w:rPr>
        <w:t xml:space="preserve">”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above.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sans-serif" w:hAnsi="sans-serif"/>
          <w:b/>
          <w:i/>
          <w:strike w:val="false"/>
          <w:dstrike w:val="false"/>
          <w:color w:val="3F3F3F"/>
          <w:sz w:val="20"/>
          <w:u w:val="none"/>
          <w:effect w:val="none"/>
        </w:rPr>
        <w:t>Employment Agreements.</w:t>
      </w:r>
      <w:r>
        <w:rPr>
          <w:caps w:val="false"/>
          <w:smallCaps w:val="false"/>
          <w:strike w:val="false"/>
          <w:dstrike w:val="false"/>
          <w:color w:val="3F3F3F"/>
          <w:u w:val="none"/>
          <w:effect w:val="none"/>
        </w:rPr>
        <w:t xml:space="preserve">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We have no employment agreements with our NEOs.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sans-serif" w:hAnsi="sans-serif"/>
          <w:b/>
          <w:i/>
          <w:strike w:val="false"/>
          <w:dstrike w:val="false"/>
          <w:color w:val="3F3F3F"/>
          <w:sz w:val="20"/>
          <w:u w:val="none"/>
          <w:effect w:val="none"/>
        </w:rPr>
        <w:t xml:space="preserve">Change in Control and Severance Benefit Plan.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Each of our NEOs participates in our Change in Control and Severance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Benefit Plan, a description of which is included below under the heading “</w:t>
      </w:r>
      <w:hyperlink w:anchor="i6d44722bfc2543dbbba9716d9e560c58_202">
        <w:r>
          <w:rPr>
            <w:rStyle w:val="InternetLink"/>
            <w:rFonts w:ascii="sans-serif" w:hAnsi="sans-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 xml:space="preserve">Potential Payments Upon Termination or </w:t>
        </w:r>
      </w:hyperlink>
    </w:p>
    <w:p>
      <w:pPr>
        <w:pStyle w:val="TextBody"/>
        <w:bidi w:val="0"/>
        <w:spacing w:lineRule="atLeast" w:line="200" w:before="0" w:after="0"/>
        <w:jc w:val="left"/>
        <w:rPr/>
      </w:pPr>
      <w:hyperlink w:anchor="i6d44722bfc2543dbbba9716d9e560c58_202">
        <w:r>
          <w:rPr>
            <w:rStyle w:val="InternetLink"/>
            <w:rFonts w:ascii="sans-serif" w:hAnsi="sans-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Change in Control</w:t>
        </w:r>
      </w:hyperlink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.”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sans-serif" w:hAnsi="sans-serif"/>
          <w:b/>
          <w:i/>
          <w:strike w:val="false"/>
          <w:dstrike w:val="false"/>
          <w:color w:val="3F3F3F"/>
          <w:sz w:val="20"/>
          <w:u w:val="none"/>
          <w:effect w:val="none"/>
        </w:rPr>
        <w:t xml:space="preserve">Other Compensatory Arrangements.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Please see “</w:t>
      </w:r>
      <w:hyperlink w:anchor="i6d44722bfc2543dbbba9716d9e560c58_142">
        <w:r>
          <w:rPr>
            <w:rStyle w:val="InternetLink"/>
            <w:rFonts w:ascii="sans-serif" w:hAnsi="sans-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Compensation Discussion and Analysis—Compensation Elements—</w:t>
        </w:r>
      </w:hyperlink>
    </w:p>
    <w:p>
      <w:pPr>
        <w:pStyle w:val="TextBody"/>
        <w:bidi w:val="0"/>
        <w:spacing w:lineRule="atLeast" w:line="200" w:before="0" w:after="0"/>
        <w:jc w:val="left"/>
        <w:rPr/>
      </w:pPr>
      <w:hyperlink w:anchor="i6d44722bfc2543dbbba9716d9e560c58_142">
        <w:r>
          <w:rPr>
            <w:rStyle w:val="InternetLink"/>
            <w:rFonts w:ascii="sans-serif" w:hAnsi="sans-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Other Compensation and Benefits</w:t>
        </w:r>
      </w:hyperlink>
      <w:r>
        <w:rPr>
          <w:caps w:val="false"/>
          <w:smallCaps w:val="false"/>
          <w:strike w:val="false"/>
          <w:dstrike w:val="false"/>
          <w:color w:val="3F3F3F"/>
          <w:u w:val="none"/>
          <w:effect w:val="none"/>
        </w:rPr>
        <w:t xml:space="preserve">”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above for a description of other executive compensatory arrangements, including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our 401(k) Plan and other benefits. </w:t>
      </w:r>
    </w:p>
    <w:tbl>
      <w:tblPr>
        <w:tblW w:w="174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61"/>
        <w:gridCol w:w="1381"/>
      </w:tblGrid>
      <w:tr>
        <w:trPr/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  <w:t>94</w:t>
            </w:r>
          </w:p>
        </w:tc>
        <w:tc>
          <w:tcPr>
            <w:tcW w:w="138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Exelixis, Inc.</w:t>
            </w:r>
          </w:p>
        </w:tc>
      </w:tr>
    </w:tbl>
    <w:tbl>
      <w:tblPr>
        <w:tblW w:w="1741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741"/>
      </w:tblGrid>
      <w:tr>
        <w:trPr/>
        <w:tc>
          <w:tcPr>
            <w:tcW w:w="17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4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6d44722bfc2543dbbba9716d9e560c58_16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color w:val="0000FF"/>
                  <w:sz w:val="18"/>
                  <w:u w:val="single"/>
                </w:rPr>
                <w:t>Table of Contents</w:t>
              </w:r>
            </w:hyperlink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F47521"/>
          <w:sz w:val="2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F47521"/>
          <w:sz w:val="28"/>
          <w:u w:val="none"/>
          <w:effect w:val="none"/>
        </w:rPr>
        <w:t xml:space="preserve">Outstanding Equity Awards at Fiscal Year-End </w:t>
      </w:r>
    </w:p>
    <w:tbl>
      <w:tblPr>
        <w:tblW w:w="169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69"/>
      </w:tblGrid>
      <w:tr>
        <w:trPr/>
        <w:tc>
          <w:tcPr>
            <w:tcW w:w="16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9" w:type="dxa"/>
            <w:tcBorders>
              <w:top w:val="single" w:sz="8" w:space="0" w:color="F47521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The following table shows certain information regarding outstanding equity awards as of January 2, 2026</w:t>
      </w:r>
      <w:r>
        <w:rPr>
          <w:caps w:val="false"/>
          <w:smallCaps w:val="false"/>
          <w:strike w:val="false"/>
          <w:dstrike w:val="false"/>
          <w:color w:val="3F3F3F"/>
          <w:sz w:val="24"/>
          <w:u w:val="none"/>
          <w:effect w:val="none"/>
        </w:rPr>
        <w:t xml:space="preserve">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for the NEOs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(other than Dr. Peterson, who left the company in August 2025, and Mr. Hessekiel, who left the company in November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2025, and for whom there were no outstanding equity awards of the company as of January 2, 2026).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sans-serif" w:hAnsi="sans-serif"/>
          <w:b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Outstanding Equity Awards at January 2, 2026</w:t>
      </w:r>
      <w:r>
        <w:rPr>
          <w:caps w:val="false"/>
          <w:smallCaps w:val="false"/>
          <w:strike w:val="false"/>
          <w:dstrike w:val="false"/>
          <w:color w:val="3F3F3F"/>
          <w:sz w:val="24"/>
          <w:u w:val="none"/>
          <w:effect w:val="none"/>
        </w:rPr>
        <w:t xml:space="preserve"> </w:t>
      </w: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147"/>
        <w:gridCol w:w="596"/>
        <w:gridCol w:w="1013"/>
        <w:gridCol w:w="1141"/>
        <w:gridCol w:w="109"/>
        <w:gridCol w:w="728"/>
        <w:gridCol w:w="863"/>
        <w:gridCol w:w="109"/>
        <w:gridCol w:w="805"/>
        <w:gridCol w:w="385"/>
        <w:gridCol w:w="1043"/>
        <w:gridCol w:w="862"/>
        <w:gridCol w:w="280"/>
        <w:gridCol w:w="1124"/>
      </w:tblGrid>
      <w:tr>
        <w:trPr/>
        <w:tc>
          <w:tcPr>
            <w:tcW w:w="114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8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4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47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6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854" w:type="dxa"/>
            <w:gridSpan w:val="5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  <w:t>Option Awards(1)</w:t>
            </w:r>
          </w:p>
        </w:tc>
        <w:tc>
          <w:tcPr>
            <w:tcW w:w="109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99" w:type="dxa"/>
            <w:gridSpan w:val="6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  <w:t>Stock Awards(2)</w:t>
            </w:r>
          </w:p>
        </w:tc>
      </w:tr>
      <w:tr>
        <w:trPr/>
        <w:tc>
          <w:tcPr>
            <w:tcW w:w="1147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Name</w:t>
            </w:r>
          </w:p>
        </w:tc>
        <w:tc>
          <w:tcPr>
            <w:tcW w:w="596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  <w:t>Grant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  <w:t>Date</w:t>
            </w:r>
          </w:p>
        </w:tc>
        <w:tc>
          <w:tcPr>
            <w:tcW w:w="1013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  <w:t xml:space="preserve">Number of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  <w:t xml:space="preserve">Securities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  <w:t xml:space="preserve">Underlying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  <w:t xml:space="preserve">Unexercised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  <w:t>Options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  <w:t>(#)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  <w:t>Exercisable</w:t>
            </w:r>
          </w:p>
        </w:tc>
        <w:tc>
          <w:tcPr>
            <w:tcW w:w="1141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  <w:t xml:space="preserve">Number of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  <w:t xml:space="preserve">Securities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  <w:t xml:space="preserve">Underlying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  <w:t xml:space="preserve">Unexercised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  <w:t>Options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  <w:t>(#)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  <w:t>Unexercisable</w:t>
            </w:r>
          </w:p>
        </w:tc>
        <w:tc>
          <w:tcPr>
            <w:tcW w:w="109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8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  <w:t xml:space="preserve">Option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  <w:t xml:space="preserve">Exercise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  <w:t>Price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  <w:t>($)</w:t>
            </w:r>
          </w:p>
        </w:tc>
        <w:tc>
          <w:tcPr>
            <w:tcW w:w="863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  <w:t xml:space="preserve">Option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  <w:t xml:space="preserve">Expiration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  <w:t>Date</w:t>
            </w:r>
          </w:p>
        </w:tc>
        <w:tc>
          <w:tcPr>
            <w:tcW w:w="109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  <w:t xml:space="preserve">Number of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  <w:t xml:space="preserve">Shares or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  <w:t xml:space="preserve">Units of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  <w:t xml:space="preserve">Stock That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  <w:t xml:space="preserve">Have Not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  <w:t>Vested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  <w:t>(#)</w:t>
            </w:r>
          </w:p>
        </w:tc>
        <w:tc>
          <w:tcPr>
            <w:tcW w:w="385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43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  <w:t xml:space="preserve">Market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  <w:t xml:space="preserve">Value of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  <w:t xml:space="preserve">Shares or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  <w:t xml:space="preserve">Units of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  <w:t xml:space="preserve">Stock That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  <w:t xml:space="preserve">Have Not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  <w:t>Vested ($)(3)</w:t>
            </w:r>
          </w:p>
        </w:tc>
        <w:tc>
          <w:tcPr>
            <w:tcW w:w="862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  <w:t>Equity 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  <w:t xml:space="preserve">Incentive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  <w:t xml:space="preserve">Plan Awards: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  <w:t xml:space="preserve">Number of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  <w:t xml:space="preserve">Unearned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  <w:t xml:space="preserve">Shares, Units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  <w:t xml:space="preserve">or Other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  <w:t xml:space="preserve">Rights That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  <w:t xml:space="preserve">Have Not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  <w:t>Vested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  <w:t>(#)</w:t>
            </w:r>
          </w:p>
        </w:tc>
        <w:tc>
          <w:tcPr>
            <w:tcW w:w="280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4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  <w:t xml:space="preserve">Equity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  <w:t xml:space="preserve">Incentive Plan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  <w:t xml:space="preserve">Awards: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  <w:t xml:space="preserve">Market or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  <w:t xml:space="preserve">Payout Value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  <w:t xml:space="preserve">of Unearned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  <w:t xml:space="preserve">Shares, Units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  <w:t xml:space="preserve">or Other Rights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  <w:t xml:space="preserve">That Have Not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  <w:t>Vested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  <w:t>($)(3)</w:t>
            </w:r>
          </w:p>
        </w:tc>
      </w:tr>
      <w:tr>
        <w:trPr/>
        <w:tc>
          <w:tcPr>
            <w:tcW w:w="114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Michael M.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Morrissey,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Ph.D.</w:t>
            </w:r>
          </w:p>
        </w:tc>
        <w:tc>
          <w:tcPr>
            <w:tcW w:w="596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3/4/2021</w:t>
            </w:r>
          </w:p>
        </w:tc>
        <w:tc>
          <w:tcPr>
            <w:tcW w:w="1013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494,700</w:t>
            </w:r>
          </w:p>
        </w:tc>
        <w:tc>
          <w:tcPr>
            <w:tcW w:w="1141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8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21.31</w:t>
            </w:r>
          </w:p>
        </w:tc>
        <w:tc>
          <w:tcPr>
            <w:tcW w:w="863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3/3/2028</w:t>
            </w:r>
          </w:p>
        </w:tc>
        <w:tc>
          <w:tcPr>
            <w:tcW w:w="109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85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43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2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0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4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4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3/4/2022</w:t>
            </w:r>
          </w:p>
        </w:tc>
        <w:tc>
          <w:tcPr>
            <w:tcW w:w="1013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8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3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67,604</w:t>
            </w:r>
          </w:p>
        </w:tc>
        <w:tc>
          <w:tcPr>
            <w:tcW w:w="385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43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2,946,182</w:t>
            </w:r>
          </w:p>
        </w:tc>
        <w:tc>
          <w:tcPr>
            <w:tcW w:w="862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0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4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4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3/4/2022</w:t>
            </w:r>
          </w:p>
        </w:tc>
        <w:tc>
          <w:tcPr>
            <w:tcW w:w="1013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8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3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236,614</w:t>
            </w:r>
          </w:p>
        </w:tc>
        <w:tc>
          <w:tcPr>
            <w:tcW w:w="385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(4)</w:t>
            </w:r>
          </w:p>
        </w:tc>
        <w:tc>
          <w:tcPr>
            <w:tcW w:w="1043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10,311,638</w:t>
            </w:r>
          </w:p>
        </w:tc>
        <w:tc>
          <w:tcPr>
            <w:tcW w:w="862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0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4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4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4/3/2023</w:t>
            </w:r>
          </w:p>
        </w:tc>
        <w:tc>
          <w:tcPr>
            <w:tcW w:w="1013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8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3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156,593</w:t>
            </w:r>
          </w:p>
        </w:tc>
        <w:tc>
          <w:tcPr>
            <w:tcW w:w="385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43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6,824,323</w:t>
            </w:r>
          </w:p>
        </w:tc>
        <w:tc>
          <w:tcPr>
            <w:tcW w:w="862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0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4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4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4/3/2023</w:t>
            </w:r>
          </w:p>
        </w:tc>
        <w:tc>
          <w:tcPr>
            <w:tcW w:w="1013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8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3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548,073</w:t>
            </w:r>
          </w:p>
        </w:tc>
        <w:tc>
          <w:tcPr>
            <w:tcW w:w="385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(5)</w:t>
            </w:r>
          </w:p>
        </w:tc>
        <w:tc>
          <w:tcPr>
            <w:tcW w:w="1043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23,885,021</w:t>
            </w:r>
          </w:p>
        </w:tc>
        <w:tc>
          <w:tcPr>
            <w:tcW w:w="862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0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4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4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2/23/2024</w:t>
            </w:r>
          </w:p>
        </w:tc>
        <w:tc>
          <w:tcPr>
            <w:tcW w:w="1013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8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3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181,253</w:t>
            </w:r>
          </w:p>
        </w:tc>
        <w:tc>
          <w:tcPr>
            <w:tcW w:w="385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43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7,899,006</w:t>
            </w:r>
          </w:p>
        </w:tc>
        <w:tc>
          <w:tcPr>
            <w:tcW w:w="862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0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4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4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2/23/2024</w:t>
            </w:r>
          </w:p>
        </w:tc>
        <w:tc>
          <w:tcPr>
            <w:tcW w:w="1013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8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3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85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43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2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241,670</w:t>
            </w:r>
          </w:p>
        </w:tc>
        <w:tc>
          <w:tcPr>
            <w:tcW w:w="280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(6)</w:t>
            </w:r>
          </w:p>
        </w:tc>
        <w:tc>
          <w:tcPr>
            <w:tcW w:w="1124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10,531,979</w:t>
            </w:r>
          </w:p>
        </w:tc>
      </w:tr>
      <w:tr>
        <w:trPr/>
        <w:tc>
          <w:tcPr>
            <w:tcW w:w="114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2/26/2025</w:t>
            </w:r>
          </w:p>
        </w:tc>
        <w:tc>
          <w:tcPr>
            <w:tcW w:w="1013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8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3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85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43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2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92,454</w:t>
            </w:r>
          </w:p>
        </w:tc>
        <w:tc>
          <w:tcPr>
            <w:tcW w:w="280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(7)</w:t>
            </w:r>
          </w:p>
        </w:tc>
        <w:tc>
          <w:tcPr>
            <w:tcW w:w="1124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4,029,145</w:t>
            </w:r>
          </w:p>
        </w:tc>
      </w:tr>
      <w:tr>
        <w:trPr/>
        <w:tc>
          <w:tcPr>
            <w:tcW w:w="114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2/26/2025</w:t>
            </w:r>
          </w:p>
        </w:tc>
        <w:tc>
          <w:tcPr>
            <w:tcW w:w="1013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8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3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184,909</w:t>
            </w:r>
          </w:p>
        </w:tc>
        <w:tc>
          <w:tcPr>
            <w:tcW w:w="385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43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8,058,334</w:t>
            </w:r>
          </w:p>
        </w:tc>
        <w:tc>
          <w:tcPr>
            <w:tcW w:w="862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0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4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47" w:type="dxa"/>
            <w:tcBorders>
              <w:bottom w:val="single" w:sz="8" w:space="0" w:color="242424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6" w:type="dxa"/>
            <w:tcBorders>
              <w:top w:val="single" w:sz="4" w:space="0" w:color="B6B6B6"/>
              <w:bottom w:val="single" w:sz="8" w:space="0" w:color="242424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3/31/2025</w:t>
            </w:r>
          </w:p>
        </w:tc>
        <w:tc>
          <w:tcPr>
            <w:tcW w:w="1013" w:type="dxa"/>
            <w:tcBorders>
              <w:top w:val="single" w:sz="4" w:space="0" w:color="B6B6B6"/>
              <w:bottom w:val="single" w:sz="8" w:space="0" w:color="242424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1" w:type="dxa"/>
            <w:tcBorders>
              <w:top w:val="single" w:sz="4" w:space="0" w:color="B6B6B6"/>
              <w:bottom w:val="single" w:sz="8" w:space="0" w:color="242424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4" w:space="0" w:color="B6B6B6"/>
              <w:bottom w:val="single" w:sz="8" w:space="0" w:color="242424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8" w:type="dxa"/>
            <w:tcBorders>
              <w:top w:val="single" w:sz="4" w:space="0" w:color="B6B6B6"/>
              <w:bottom w:val="single" w:sz="8" w:space="0" w:color="242424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3" w:type="dxa"/>
            <w:tcBorders>
              <w:top w:val="single" w:sz="4" w:space="0" w:color="B6B6B6"/>
              <w:bottom w:val="single" w:sz="8" w:space="0" w:color="242424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4" w:space="0" w:color="B6B6B6"/>
              <w:bottom w:val="single" w:sz="8" w:space="0" w:color="242424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top w:val="single" w:sz="4" w:space="0" w:color="B6B6B6"/>
              <w:bottom w:val="single" w:sz="8" w:space="0" w:color="242424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85" w:type="dxa"/>
            <w:tcBorders>
              <w:top w:val="single" w:sz="4" w:space="0" w:color="B6B6B6"/>
              <w:bottom w:val="single" w:sz="8" w:space="0" w:color="242424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43" w:type="dxa"/>
            <w:tcBorders>
              <w:top w:val="single" w:sz="4" w:space="0" w:color="B6B6B6"/>
              <w:bottom w:val="single" w:sz="8" w:space="0" w:color="242424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2" w:type="dxa"/>
            <w:tcBorders>
              <w:top w:val="single" w:sz="4" w:space="0" w:color="B6B6B6"/>
              <w:bottom w:val="single" w:sz="8" w:space="0" w:color="242424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589,719</w:t>
            </w:r>
          </w:p>
        </w:tc>
        <w:tc>
          <w:tcPr>
            <w:tcW w:w="280" w:type="dxa"/>
            <w:tcBorders>
              <w:top w:val="single" w:sz="4" w:space="0" w:color="B6B6B6"/>
              <w:bottom w:val="single" w:sz="8" w:space="0" w:color="242424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(8)</w:t>
            </w:r>
          </w:p>
        </w:tc>
        <w:tc>
          <w:tcPr>
            <w:tcW w:w="1124" w:type="dxa"/>
            <w:tcBorders>
              <w:top w:val="single" w:sz="4" w:space="0" w:color="B6B6B6"/>
              <w:bottom w:val="single" w:sz="8" w:space="0" w:color="242424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25,699,954</w:t>
            </w:r>
          </w:p>
        </w:tc>
      </w:tr>
      <w:tr>
        <w:trPr/>
        <w:tc>
          <w:tcPr>
            <w:tcW w:w="1147" w:type="dxa"/>
            <w:vMerge w:val="restart"/>
            <w:tcBorders>
              <w:top w:val="single" w:sz="8" w:space="0" w:color="242424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Christopher J.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Senner</w:t>
            </w:r>
          </w:p>
        </w:tc>
        <w:tc>
          <w:tcPr>
            <w:tcW w:w="596" w:type="dxa"/>
            <w:tcBorders>
              <w:top w:val="single" w:sz="8" w:space="0" w:color="242424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3/4/2022</w:t>
            </w:r>
          </w:p>
        </w:tc>
        <w:tc>
          <w:tcPr>
            <w:tcW w:w="1013" w:type="dxa"/>
            <w:tcBorders>
              <w:top w:val="single" w:sz="8" w:space="0" w:color="242424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1" w:type="dxa"/>
            <w:tcBorders>
              <w:top w:val="single" w:sz="8" w:space="0" w:color="242424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8" w:space="0" w:color="242424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8" w:type="dxa"/>
            <w:tcBorders>
              <w:top w:val="single" w:sz="8" w:space="0" w:color="242424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3" w:type="dxa"/>
            <w:tcBorders>
              <w:top w:val="single" w:sz="8" w:space="0" w:color="242424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8" w:space="0" w:color="242424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top w:val="single" w:sz="8" w:space="0" w:color="242424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18,997</w:t>
            </w:r>
          </w:p>
        </w:tc>
        <w:tc>
          <w:tcPr>
            <w:tcW w:w="385" w:type="dxa"/>
            <w:tcBorders>
              <w:top w:val="single" w:sz="8" w:space="0" w:color="242424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43" w:type="dxa"/>
            <w:tcBorders>
              <w:top w:val="single" w:sz="8" w:space="0" w:color="242424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827,889</w:t>
            </w:r>
          </w:p>
        </w:tc>
        <w:tc>
          <w:tcPr>
            <w:tcW w:w="862" w:type="dxa"/>
            <w:tcBorders>
              <w:top w:val="single" w:sz="8" w:space="0" w:color="242424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0" w:type="dxa"/>
            <w:tcBorders>
              <w:top w:val="single" w:sz="8" w:space="0" w:color="242424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4" w:type="dxa"/>
            <w:tcBorders>
              <w:top w:val="single" w:sz="8" w:space="0" w:color="242424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47" w:type="dxa"/>
            <w:vMerge w:val="continue"/>
            <w:tcBorders>
              <w:top w:val="single" w:sz="8" w:space="0" w:color="242424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3/4/2022</w:t>
            </w:r>
          </w:p>
        </w:tc>
        <w:tc>
          <w:tcPr>
            <w:tcW w:w="1013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8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3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66,487</w:t>
            </w:r>
          </w:p>
        </w:tc>
        <w:tc>
          <w:tcPr>
            <w:tcW w:w="385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(4)</w:t>
            </w:r>
          </w:p>
        </w:tc>
        <w:tc>
          <w:tcPr>
            <w:tcW w:w="1043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2,897,503</w:t>
            </w:r>
          </w:p>
        </w:tc>
        <w:tc>
          <w:tcPr>
            <w:tcW w:w="862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0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4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4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4/3/2023</w:t>
            </w:r>
          </w:p>
        </w:tc>
        <w:tc>
          <w:tcPr>
            <w:tcW w:w="1013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8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3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42,708</w:t>
            </w:r>
          </w:p>
        </w:tc>
        <w:tc>
          <w:tcPr>
            <w:tcW w:w="385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43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1,861,215</w:t>
            </w:r>
          </w:p>
        </w:tc>
        <w:tc>
          <w:tcPr>
            <w:tcW w:w="862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0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4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4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4/3/2023</w:t>
            </w:r>
          </w:p>
        </w:tc>
        <w:tc>
          <w:tcPr>
            <w:tcW w:w="1013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8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3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149,474</w:t>
            </w:r>
          </w:p>
        </w:tc>
        <w:tc>
          <w:tcPr>
            <w:tcW w:w="385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(5)</w:t>
            </w:r>
          </w:p>
        </w:tc>
        <w:tc>
          <w:tcPr>
            <w:tcW w:w="1043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6,514,077</w:t>
            </w:r>
          </w:p>
        </w:tc>
        <w:tc>
          <w:tcPr>
            <w:tcW w:w="862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0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4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4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2/23/2024</w:t>
            </w:r>
          </w:p>
        </w:tc>
        <w:tc>
          <w:tcPr>
            <w:tcW w:w="1013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8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3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61,591</w:t>
            </w:r>
          </w:p>
        </w:tc>
        <w:tc>
          <w:tcPr>
            <w:tcW w:w="385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43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2,684,136</w:t>
            </w:r>
          </w:p>
        </w:tc>
        <w:tc>
          <w:tcPr>
            <w:tcW w:w="862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0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4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4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2/23/2024</w:t>
            </w:r>
          </w:p>
        </w:tc>
        <w:tc>
          <w:tcPr>
            <w:tcW w:w="1013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8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3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85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43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2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82,121</w:t>
            </w:r>
          </w:p>
        </w:tc>
        <w:tc>
          <w:tcPr>
            <w:tcW w:w="280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(6)</w:t>
            </w:r>
          </w:p>
        </w:tc>
        <w:tc>
          <w:tcPr>
            <w:tcW w:w="1124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3,578,833</w:t>
            </w:r>
          </w:p>
        </w:tc>
      </w:tr>
      <w:tr>
        <w:trPr/>
        <w:tc>
          <w:tcPr>
            <w:tcW w:w="114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2/26/2025</w:t>
            </w:r>
          </w:p>
        </w:tc>
        <w:tc>
          <w:tcPr>
            <w:tcW w:w="1013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8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3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85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43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2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29,824</w:t>
            </w:r>
          </w:p>
        </w:tc>
        <w:tc>
          <w:tcPr>
            <w:tcW w:w="280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(7)</w:t>
            </w:r>
          </w:p>
        </w:tc>
        <w:tc>
          <w:tcPr>
            <w:tcW w:w="1124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1,299,730</w:t>
            </w:r>
          </w:p>
        </w:tc>
      </w:tr>
      <w:tr>
        <w:trPr/>
        <w:tc>
          <w:tcPr>
            <w:tcW w:w="114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2/26/2025</w:t>
            </w:r>
          </w:p>
        </w:tc>
        <w:tc>
          <w:tcPr>
            <w:tcW w:w="1013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8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3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59,648</w:t>
            </w:r>
          </w:p>
        </w:tc>
        <w:tc>
          <w:tcPr>
            <w:tcW w:w="385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43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2,599,460</w:t>
            </w:r>
          </w:p>
        </w:tc>
        <w:tc>
          <w:tcPr>
            <w:tcW w:w="862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0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4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47" w:type="dxa"/>
            <w:tcBorders>
              <w:bottom w:val="single" w:sz="8" w:space="0" w:color="242424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6" w:type="dxa"/>
            <w:tcBorders>
              <w:top w:val="single" w:sz="4" w:space="0" w:color="B6B6B6"/>
              <w:bottom w:val="single" w:sz="8" w:space="0" w:color="242424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3/31/2025</w:t>
            </w:r>
          </w:p>
        </w:tc>
        <w:tc>
          <w:tcPr>
            <w:tcW w:w="1013" w:type="dxa"/>
            <w:tcBorders>
              <w:top w:val="single" w:sz="4" w:space="0" w:color="B6B6B6"/>
              <w:bottom w:val="single" w:sz="8" w:space="0" w:color="242424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1" w:type="dxa"/>
            <w:tcBorders>
              <w:top w:val="single" w:sz="4" w:space="0" w:color="B6B6B6"/>
              <w:bottom w:val="single" w:sz="8" w:space="0" w:color="242424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4" w:space="0" w:color="B6B6B6"/>
              <w:bottom w:val="single" w:sz="8" w:space="0" w:color="242424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8" w:type="dxa"/>
            <w:tcBorders>
              <w:top w:val="single" w:sz="4" w:space="0" w:color="B6B6B6"/>
              <w:bottom w:val="single" w:sz="8" w:space="0" w:color="242424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3" w:type="dxa"/>
            <w:tcBorders>
              <w:top w:val="single" w:sz="4" w:space="0" w:color="B6B6B6"/>
              <w:bottom w:val="single" w:sz="8" w:space="0" w:color="242424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4" w:space="0" w:color="B6B6B6"/>
              <w:bottom w:val="single" w:sz="8" w:space="0" w:color="242424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top w:val="single" w:sz="4" w:space="0" w:color="B6B6B6"/>
              <w:bottom w:val="single" w:sz="8" w:space="0" w:color="242424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85" w:type="dxa"/>
            <w:tcBorders>
              <w:top w:val="single" w:sz="4" w:space="0" w:color="B6B6B6"/>
              <w:bottom w:val="single" w:sz="8" w:space="0" w:color="242424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43" w:type="dxa"/>
            <w:tcBorders>
              <w:top w:val="single" w:sz="4" w:space="0" w:color="B6B6B6"/>
              <w:bottom w:val="single" w:sz="8" w:space="0" w:color="242424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2" w:type="dxa"/>
            <w:tcBorders>
              <w:top w:val="single" w:sz="4" w:space="0" w:color="B6B6B6"/>
              <w:bottom w:val="single" w:sz="8" w:space="0" w:color="242424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170,009</w:t>
            </w:r>
          </w:p>
        </w:tc>
        <w:tc>
          <w:tcPr>
            <w:tcW w:w="280" w:type="dxa"/>
            <w:tcBorders>
              <w:top w:val="single" w:sz="4" w:space="0" w:color="B6B6B6"/>
              <w:bottom w:val="single" w:sz="8" w:space="0" w:color="242424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(8)</w:t>
            </w:r>
          </w:p>
        </w:tc>
        <w:tc>
          <w:tcPr>
            <w:tcW w:w="1124" w:type="dxa"/>
            <w:tcBorders>
              <w:top w:val="single" w:sz="4" w:space="0" w:color="B6B6B6"/>
              <w:bottom w:val="single" w:sz="8" w:space="0" w:color="242424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7,408,992</w:t>
            </w:r>
          </w:p>
        </w:tc>
      </w:tr>
      <w:tr>
        <w:trPr/>
        <w:tc>
          <w:tcPr>
            <w:tcW w:w="1147" w:type="dxa"/>
            <w:vMerge w:val="restart"/>
            <w:tcBorders>
              <w:top w:val="single" w:sz="8" w:space="0" w:color="242424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Dana T. Aftab,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Ph.D.</w:t>
            </w:r>
          </w:p>
        </w:tc>
        <w:tc>
          <w:tcPr>
            <w:tcW w:w="596" w:type="dxa"/>
            <w:tcBorders>
              <w:top w:val="single" w:sz="8" w:space="0" w:color="242424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3/4/2022</w:t>
            </w:r>
          </w:p>
        </w:tc>
        <w:tc>
          <w:tcPr>
            <w:tcW w:w="1013" w:type="dxa"/>
            <w:tcBorders>
              <w:top w:val="single" w:sz="8" w:space="0" w:color="242424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1" w:type="dxa"/>
            <w:tcBorders>
              <w:top w:val="single" w:sz="8" w:space="0" w:color="242424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8" w:space="0" w:color="242424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8" w:type="dxa"/>
            <w:tcBorders>
              <w:top w:val="single" w:sz="8" w:space="0" w:color="242424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3" w:type="dxa"/>
            <w:tcBorders>
              <w:top w:val="single" w:sz="8" w:space="0" w:color="242424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8" w:space="0" w:color="242424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top w:val="single" w:sz="8" w:space="0" w:color="242424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14,873</w:t>
            </w:r>
          </w:p>
        </w:tc>
        <w:tc>
          <w:tcPr>
            <w:tcW w:w="385" w:type="dxa"/>
            <w:tcBorders>
              <w:top w:val="single" w:sz="8" w:space="0" w:color="242424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43" w:type="dxa"/>
            <w:tcBorders>
              <w:top w:val="single" w:sz="8" w:space="0" w:color="242424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648,165</w:t>
            </w:r>
          </w:p>
        </w:tc>
        <w:tc>
          <w:tcPr>
            <w:tcW w:w="862" w:type="dxa"/>
            <w:tcBorders>
              <w:top w:val="single" w:sz="8" w:space="0" w:color="242424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0" w:type="dxa"/>
            <w:tcBorders>
              <w:top w:val="single" w:sz="8" w:space="0" w:color="242424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4" w:type="dxa"/>
            <w:tcBorders>
              <w:top w:val="single" w:sz="8" w:space="0" w:color="242424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47" w:type="dxa"/>
            <w:vMerge w:val="continue"/>
            <w:tcBorders>
              <w:top w:val="single" w:sz="8" w:space="0" w:color="242424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3/4/2022</w:t>
            </w:r>
          </w:p>
        </w:tc>
        <w:tc>
          <w:tcPr>
            <w:tcW w:w="1013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8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3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52,053</w:t>
            </w:r>
          </w:p>
        </w:tc>
        <w:tc>
          <w:tcPr>
            <w:tcW w:w="385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(4)</w:t>
            </w:r>
          </w:p>
        </w:tc>
        <w:tc>
          <w:tcPr>
            <w:tcW w:w="1043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2,268,470</w:t>
            </w:r>
          </w:p>
        </w:tc>
        <w:tc>
          <w:tcPr>
            <w:tcW w:w="862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0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4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4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1/5/2023</w:t>
            </w:r>
          </w:p>
        </w:tc>
        <w:tc>
          <w:tcPr>
            <w:tcW w:w="1013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8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3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50,000</w:t>
            </w:r>
          </w:p>
        </w:tc>
        <w:tc>
          <w:tcPr>
            <w:tcW w:w="385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(9)</w:t>
            </w:r>
          </w:p>
        </w:tc>
        <w:tc>
          <w:tcPr>
            <w:tcW w:w="1043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2,179,000</w:t>
            </w:r>
          </w:p>
        </w:tc>
        <w:tc>
          <w:tcPr>
            <w:tcW w:w="862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0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4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4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4/3/2023</w:t>
            </w:r>
          </w:p>
        </w:tc>
        <w:tc>
          <w:tcPr>
            <w:tcW w:w="1013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8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3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34,166</w:t>
            </w:r>
          </w:p>
        </w:tc>
        <w:tc>
          <w:tcPr>
            <w:tcW w:w="385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43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1,488,954</w:t>
            </w:r>
          </w:p>
        </w:tc>
        <w:tc>
          <w:tcPr>
            <w:tcW w:w="862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0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4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4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4/3/2023</w:t>
            </w:r>
          </w:p>
        </w:tc>
        <w:tc>
          <w:tcPr>
            <w:tcW w:w="1013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8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3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119,578</w:t>
            </w:r>
          </w:p>
        </w:tc>
        <w:tc>
          <w:tcPr>
            <w:tcW w:w="385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(5)</w:t>
            </w:r>
          </w:p>
        </w:tc>
        <w:tc>
          <w:tcPr>
            <w:tcW w:w="1043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5,211,209</w:t>
            </w:r>
          </w:p>
        </w:tc>
        <w:tc>
          <w:tcPr>
            <w:tcW w:w="862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0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4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4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2/23/2024</w:t>
            </w:r>
          </w:p>
        </w:tc>
        <w:tc>
          <w:tcPr>
            <w:tcW w:w="1013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8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3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47,513</w:t>
            </w:r>
          </w:p>
        </w:tc>
        <w:tc>
          <w:tcPr>
            <w:tcW w:w="385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43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2,070,617</w:t>
            </w:r>
          </w:p>
        </w:tc>
        <w:tc>
          <w:tcPr>
            <w:tcW w:w="862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0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4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4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2/23/2024</w:t>
            </w:r>
          </w:p>
        </w:tc>
        <w:tc>
          <w:tcPr>
            <w:tcW w:w="1013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8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3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85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43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2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63,350</w:t>
            </w:r>
          </w:p>
        </w:tc>
        <w:tc>
          <w:tcPr>
            <w:tcW w:w="280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(6)</w:t>
            </w:r>
          </w:p>
        </w:tc>
        <w:tc>
          <w:tcPr>
            <w:tcW w:w="1124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2,760,793</w:t>
            </w:r>
          </w:p>
        </w:tc>
      </w:tr>
      <w:tr>
        <w:trPr/>
        <w:tc>
          <w:tcPr>
            <w:tcW w:w="114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2/26/2025</w:t>
            </w:r>
          </w:p>
        </w:tc>
        <w:tc>
          <w:tcPr>
            <w:tcW w:w="1013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8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3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85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43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2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24,604</w:t>
            </w:r>
          </w:p>
        </w:tc>
        <w:tc>
          <w:tcPr>
            <w:tcW w:w="280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(7)</w:t>
            </w:r>
          </w:p>
        </w:tc>
        <w:tc>
          <w:tcPr>
            <w:tcW w:w="1124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1,072,242</w:t>
            </w:r>
          </w:p>
        </w:tc>
      </w:tr>
      <w:tr>
        <w:trPr/>
        <w:tc>
          <w:tcPr>
            <w:tcW w:w="114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2/26/2025</w:t>
            </w:r>
          </w:p>
        </w:tc>
        <w:tc>
          <w:tcPr>
            <w:tcW w:w="1013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8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3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49,209</w:t>
            </w:r>
          </w:p>
        </w:tc>
        <w:tc>
          <w:tcPr>
            <w:tcW w:w="385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43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2,144,528</w:t>
            </w:r>
          </w:p>
        </w:tc>
        <w:tc>
          <w:tcPr>
            <w:tcW w:w="862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0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4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4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3/31/2025</w:t>
            </w:r>
          </w:p>
        </w:tc>
        <w:tc>
          <w:tcPr>
            <w:tcW w:w="1013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8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3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85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43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2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132,819</w:t>
            </w:r>
          </w:p>
        </w:tc>
        <w:tc>
          <w:tcPr>
            <w:tcW w:w="280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(8)</w:t>
            </w:r>
          </w:p>
        </w:tc>
        <w:tc>
          <w:tcPr>
            <w:tcW w:w="1124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5,788,252</w:t>
            </w:r>
          </w:p>
        </w:tc>
      </w:tr>
      <w:tr>
        <w:trPr/>
        <w:tc>
          <w:tcPr>
            <w:tcW w:w="1147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10/8/2025</w:t>
            </w:r>
          </w:p>
        </w:tc>
        <w:tc>
          <w:tcPr>
            <w:tcW w:w="1013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8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3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50,673</w:t>
            </w:r>
          </w:p>
        </w:tc>
        <w:tc>
          <w:tcPr>
            <w:tcW w:w="385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(10)</w:t>
            </w:r>
          </w:p>
        </w:tc>
        <w:tc>
          <w:tcPr>
            <w:tcW w:w="1043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2,208,329</w:t>
            </w:r>
          </w:p>
        </w:tc>
        <w:tc>
          <w:tcPr>
            <w:tcW w:w="862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0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4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256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176"/>
        <w:gridCol w:w="391"/>
      </w:tblGrid>
      <w:tr>
        <w:trPr/>
        <w:tc>
          <w:tcPr>
            <w:tcW w:w="21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7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40404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404040"/>
                <w:sz w:val="18"/>
                <w:u w:val="none"/>
                <w:effect w:val="none"/>
              </w:rPr>
              <w:t>2026 Proxy Statement</w:t>
            </w:r>
          </w:p>
        </w:tc>
        <w:tc>
          <w:tcPr>
            <w:tcW w:w="39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  <w:t>95</w:t>
            </w:r>
          </w:p>
        </w:tc>
      </w:tr>
    </w:tbl>
    <w:tbl>
      <w:tblPr>
        <w:tblW w:w="945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696"/>
        <w:gridCol w:w="7756"/>
      </w:tblGrid>
      <w:tr>
        <w:trPr/>
        <w:tc>
          <w:tcPr>
            <w:tcW w:w="16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9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6d44722bfc2543dbbba9716d9e560c58_16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color w:val="0000FF"/>
                  <w:sz w:val="18"/>
                  <w:u w:val="single"/>
                </w:rPr>
                <w:t>Table of Contents</w:t>
              </w:r>
            </w:hyperlink>
          </w:p>
        </w:tc>
        <w:tc>
          <w:tcPr>
            <w:tcW w:w="775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Compensation of Executive Officers 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C4C02"/>
                <w:sz w:val="18"/>
                <w:u w:val="none"/>
                <w:effect w:val="none"/>
              </w:rPr>
              <w:t>|</w:t>
            </w: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 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 xml:space="preserve">Outstanding Equity Awards at Fiscal Year-End </w:t>
            </w:r>
          </w:p>
        </w:tc>
      </w:tr>
    </w:tbl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968"/>
        <w:gridCol w:w="690"/>
        <w:gridCol w:w="1022"/>
        <w:gridCol w:w="1141"/>
        <w:gridCol w:w="109"/>
        <w:gridCol w:w="737"/>
        <w:gridCol w:w="872"/>
        <w:gridCol w:w="109"/>
        <w:gridCol w:w="837"/>
        <w:gridCol w:w="398"/>
        <w:gridCol w:w="987"/>
        <w:gridCol w:w="929"/>
        <w:gridCol w:w="293"/>
        <w:gridCol w:w="1113"/>
      </w:tblGrid>
      <w:tr>
        <w:trPr/>
        <w:tc>
          <w:tcPr>
            <w:tcW w:w="96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2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9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68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0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881" w:type="dxa"/>
            <w:gridSpan w:val="5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  <w:t>Option Awards(1)</w:t>
            </w:r>
          </w:p>
        </w:tc>
        <w:tc>
          <w:tcPr>
            <w:tcW w:w="109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57" w:type="dxa"/>
            <w:gridSpan w:val="6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  <w:t>Stock Awards(2)</w:t>
            </w:r>
          </w:p>
        </w:tc>
      </w:tr>
      <w:tr>
        <w:trPr/>
        <w:tc>
          <w:tcPr>
            <w:tcW w:w="968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Name</w:t>
            </w:r>
          </w:p>
        </w:tc>
        <w:tc>
          <w:tcPr>
            <w:tcW w:w="690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  <w:t>Grant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  <w:t>Date</w:t>
            </w:r>
          </w:p>
        </w:tc>
        <w:tc>
          <w:tcPr>
            <w:tcW w:w="1022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  <w:t xml:space="preserve">Number of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  <w:t xml:space="preserve">Securities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  <w:t xml:space="preserve">Underlying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  <w:t xml:space="preserve">Unexercised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  <w:t>Options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  <w:t>(#)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  <w:t>Exercisable</w:t>
            </w:r>
          </w:p>
        </w:tc>
        <w:tc>
          <w:tcPr>
            <w:tcW w:w="1141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  <w:t xml:space="preserve">Number of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  <w:t xml:space="preserve">Securities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  <w:t xml:space="preserve">Underlying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  <w:t xml:space="preserve">Unexercised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  <w:t>Options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  <w:t>(#)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  <w:t>Unexercisable</w:t>
            </w:r>
          </w:p>
        </w:tc>
        <w:tc>
          <w:tcPr>
            <w:tcW w:w="109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7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  <w:t xml:space="preserve">Option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  <w:t xml:space="preserve">Exercise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  <w:t>Price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  <w:t>($)</w:t>
            </w:r>
          </w:p>
        </w:tc>
        <w:tc>
          <w:tcPr>
            <w:tcW w:w="872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  <w:t xml:space="preserve">Option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  <w:t xml:space="preserve">Expiration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  <w:t>Date</w:t>
            </w:r>
          </w:p>
        </w:tc>
        <w:tc>
          <w:tcPr>
            <w:tcW w:w="109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7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  <w:t xml:space="preserve">Number of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  <w:t xml:space="preserve">Shares or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  <w:t xml:space="preserve">Units of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  <w:t xml:space="preserve">Stock That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  <w:t xml:space="preserve">Have Not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  <w:t>Vested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  <w:t>(#)</w:t>
            </w:r>
          </w:p>
        </w:tc>
        <w:tc>
          <w:tcPr>
            <w:tcW w:w="398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7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  <w:t xml:space="preserve">Market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  <w:t xml:space="preserve">Value of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  <w:t xml:space="preserve">Shares or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  <w:t xml:space="preserve">Units of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  <w:t xml:space="preserve">Stock That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  <w:t xml:space="preserve">Have Not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  <w:t>Vested ($)(3)</w:t>
            </w:r>
          </w:p>
        </w:tc>
        <w:tc>
          <w:tcPr>
            <w:tcW w:w="929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  <w:t>Equity 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  <w:t xml:space="preserve">Incentive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  <w:t xml:space="preserve">Plan Awards: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  <w:t xml:space="preserve">Number of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  <w:t xml:space="preserve">Unearned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  <w:t xml:space="preserve">Shares, Units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  <w:t xml:space="preserve">or Other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  <w:t xml:space="preserve">Rights That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  <w:t xml:space="preserve">Have Not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  <w:t>Vested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  <w:t>(#)</w:t>
            </w:r>
          </w:p>
        </w:tc>
        <w:tc>
          <w:tcPr>
            <w:tcW w:w="293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3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  <w:t xml:space="preserve">Equity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  <w:t xml:space="preserve">Incentive Plan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  <w:t xml:space="preserve">Awards: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  <w:t xml:space="preserve">Market or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  <w:t xml:space="preserve">Payout Value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  <w:t xml:space="preserve">of Unearned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  <w:t xml:space="preserve">Shares, Units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  <w:t xml:space="preserve">or Other Rights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  <w:t xml:space="preserve">That Have Not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  <w:t>Vested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4"/>
                <w:u w:val="none"/>
                <w:effect w:val="none"/>
              </w:rPr>
              <w:t>($)(3)</w:t>
            </w:r>
          </w:p>
        </w:tc>
      </w:tr>
      <w:tr>
        <w:trPr/>
        <w:tc>
          <w:tcPr>
            <w:tcW w:w="968" w:type="dxa"/>
            <w:tcBorders>
              <w:top w:val="single" w:sz="4" w:space="0" w:color="B6B6B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Patrick J. Haley</w:t>
            </w:r>
          </w:p>
        </w:tc>
        <w:tc>
          <w:tcPr>
            <w:tcW w:w="690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3/4/2022</w:t>
            </w:r>
          </w:p>
        </w:tc>
        <w:tc>
          <w:tcPr>
            <w:tcW w:w="1022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7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2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7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17,679</w:t>
            </w:r>
          </w:p>
        </w:tc>
        <w:tc>
          <w:tcPr>
            <w:tcW w:w="398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7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770,451</w:t>
            </w:r>
          </w:p>
        </w:tc>
        <w:tc>
          <w:tcPr>
            <w:tcW w:w="929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93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3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6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0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3/4/2022</w:t>
            </w:r>
          </w:p>
        </w:tc>
        <w:tc>
          <w:tcPr>
            <w:tcW w:w="1022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7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2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7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61,876</w:t>
            </w:r>
          </w:p>
        </w:tc>
        <w:tc>
          <w:tcPr>
            <w:tcW w:w="398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(4)</w:t>
            </w:r>
          </w:p>
        </w:tc>
        <w:tc>
          <w:tcPr>
            <w:tcW w:w="987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2,696,556</w:t>
            </w:r>
          </w:p>
        </w:tc>
        <w:tc>
          <w:tcPr>
            <w:tcW w:w="929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93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3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6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0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4/3/2023</w:t>
            </w:r>
          </w:p>
        </w:tc>
        <w:tc>
          <w:tcPr>
            <w:tcW w:w="1022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7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2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7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39,860</w:t>
            </w:r>
          </w:p>
        </w:tc>
        <w:tc>
          <w:tcPr>
            <w:tcW w:w="398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7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1,737,099</w:t>
            </w:r>
          </w:p>
        </w:tc>
        <w:tc>
          <w:tcPr>
            <w:tcW w:w="929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93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3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6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0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4/3/2023</w:t>
            </w:r>
          </w:p>
        </w:tc>
        <w:tc>
          <w:tcPr>
            <w:tcW w:w="1022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7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2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7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139,508</w:t>
            </w:r>
          </w:p>
        </w:tc>
        <w:tc>
          <w:tcPr>
            <w:tcW w:w="398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(5)</w:t>
            </w:r>
          </w:p>
        </w:tc>
        <w:tc>
          <w:tcPr>
            <w:tcW w:w="987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6,079,759</w:t>
            </w:r>
          </w:p>
        </w:tc>
        <w:tc>
          <w:tcPr>
            <w:tcW w:w="929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93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3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6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0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2/23/2024</w:t>
            </w:r>
          </w:p>
        </w:tc>
        <w:tc>
          <w:tcPr>
            <w:tcW w:w="1022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7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2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7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47,513</w:t>
            </w:r>
          </w:p>
        </w:tc>
        <w:tc>
          <w:tcPr>
            <w:tcW w:w="398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7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2,070,617</w:t>
            </w:r>
          </w:p>
        </w:tc>
        <w:tc>
          <w:tcPr>
            <w:tcW w:w="929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93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3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6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0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2/23/2024</w:t>
            </w:r>
          </w:p>
        </w:tc>
        <w:tc>
          <w:tcPr>
            <w:tcW w:w="1022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7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2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7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8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7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9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63,350</w:t>
            </w:r>
          </w:p>
        </w:tc>
        <w:tc>
          <w:tcPr>
            <w:tcW w:w="293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(6)</w:t>
            </w:r>
          </w:p>
        </w:tc>
        <w:tc>
          <w:tcPr>
            <w:tcW w:w="1113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2,760,793</w:t>
            </w:r>
          </w:p>
        </w:tc>
      </w:tr>
      <w:tr>
        <w:trPr/>
        <w:tc>
          <w:tcPr>
            <w:tcW w:w="96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0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2/26/2025</w:t>
            </w:r>
          </w:p>
        </w:tc>
        <w:tc>
          <w:tcPr>
            <w:tcW w:w="1022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7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2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7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8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7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9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23,858</w:t>
            </w:r>
          </w:p>
        </w:tc>
        <w:tc>
          <w:tcPr>
            <w:tcW w:w="293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(7)</w:t>
            </w:r>
          </w:p>
        </w:tc>
        <w:tc>
          <w:tcPr>
            <w:tcW w:w="1113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1,039,732</w:t>
            </w:r>
          </w:p>
        </w:tc>
      </w:tr>
      <w:tr>
        <w:trPr/>
        <w:tc>
          <w:tcPr>
            <w:tcW w:w="96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0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2/26/2025</w:t>
            </w:r>
          </w:p>
        </w:tc>
        <w:tc>
          <w:tcPr>
            <w:tcW w:w="1022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7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2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7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47,718</w:t>
            </w:r>
          </w:p>
        </w:tc>
        <w:tc>
          <w:tcPr>
            <w:tcW w:w="398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7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2,079,550</w:t>
            </w:r>
          </w:p>
        </w:tc>
        <w:tc>
          <w:tcPr>
            <w:tcW w:w="929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93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3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68" w:type="dxa"/>
            <w:tcBorders>
              <w:bottom w:val="single" w:sz="8" w:space="0" w:color="242424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0" w:type="dxa"/>
            <w:tcBorders>
              <w:top w:val="single" w:sz="4" w:space="0" w:color="B6B6B6"/>
              <w:bottom w:val="single" w:sz="8" w:space="0" w:color="242424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3/31/2025</w:t>
            </w:r>
          </w:p>
        </w:tc>
        <w:tc>
          <w:tcPr>
            <w:tcW w:w="1022" w:type="dxa"/>
            <w:tcBorders>
              <w:top w:val="single" w:sz="4" w:space="0" w:color="B6B6B6"/>
              <w:bottom w:val="single" w:sz="8" w:space="0" w:color="242424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1" w:type="dxa"/>
            <w:tcBorders>
              <w:top w:val="single" w:sz="4" w:space="0" w:color="B6B6B6"/>
              <w:bottom w:val="single" w:sz="8" w:space="0" w:color="242424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4" w:space="0" w:color="B6B6B6"/>
              <w:bottom w:val="single" w:sz="8" w:space="0" w:color="242424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7" w:type="dxa"/>
            <w:tcBorders>
              <w:top w:val="single" w:sz="4" w:space="0" w:color="B6B6B6"/>
              <w:bottom w:val="single" w:sz="8" w:space="0" w:color="242424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2" w:type="dxa"/>
            <w:tcBorders>
              <w:top w:val="single" w:sz="4" w:space="0" w:color="B6B6B6"/>
              <w:bottom w:val="single" w:sz="8" w:space="0" w:color="242424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4" w:space="0" w:color="B6B6B6"/>
              <w:bottom w:val="single" w:sz="8" w:space="0" w:color="242424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7" w:type="dxa"/>
            <w:tcBorders>
              <w:top w:val="single" w:sz="4" w:space="0" w:color="B6B6B6"/>
              <w:bottom w:val="single" w:sz="8" w:space="0" w:color="242424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8" w:type="dxa"/>
            <w:tcBorders>
              <w:top w:val="single" w:sz="4" w:space="0" w:color="B6B6B6"/>
              <w:bottom w:val="single" w:sz="8" w:space="0" w:color="242424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7" w:type="dxa"/>
            <w:tcBorders>
              <w:top w:val="single" w:sz="4" w:space="0" w:color="B6B6B6"/>
              <w:bottom w:val="single" w:sz="8" w:space="0" w:color="242424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9" w:type="dxa"/>
            <w:tcBorders>
              <w:top w:val="single" w:sz="4" w:space="0" w:color="B6B6B6"/>
              <w:bottom w:val="single" w:sz="8" w:space="0" w:color="242424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159,383</w:t>
            </w:r>
          </w:p>
        </w:tc>
        <w:tc>
          <w:tcPr>
            <w:tcW w:w="293" w:type="dxa"/>
            <w:tcBorders>
              <w:top w:val="single" w:sz="4" w:space="0" w:color="B6B6B6"/>
              <w:bottom w:val="single" w:sz="8" w:space="0" w:color="242424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(8)</w:t>
            </w:r>
          </w:p>
        </w:tc>
        <w:tc>
          <w:tcPr>
            <w:tcW w:w="1113" w:type="dxa"/>
            <w:tcBorders>
              <w:top w:val="single" w:sz="4" w:space="0" w:color="B6B6B6"/>
              <w:bottom w:val="single" w:sz="8" w:space="0" w:color="242424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6,945,911</w:t>
            </w:r>
          </w:p>
        </w:tc>
      </w:tr>
      <w:tr>
        <w:trPr/>
        <w:tc>
          <w:tcPr>
            <w:tcW w:w="968" w:type="dxa"/>
            <w:vMerge w:val="restart"/>
            <w:tcBorders>
              <w:top w:val="single" w:sz="8" w:space="0" w:color="242424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Brenda J.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 xml:space="preserve">Hefti, J.D.,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Ph.D.</w:t>
            </w:r>
          </w:p>
        </w:tc>
        <w:tc>
          <w:tcPr>
            <w:tcW w:w="690" w:type="dxa"/>
            <w:tcBorders>
              <w:top w:val="single" w:sz="8" w:space="0" w:color="242424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3/4/2022</w:t>
            </w:r>
          </w:p>
        </w:tc>
        <w:tc>
          <w:tcPr>
            <w:tcW w:w="1022" w:type="dxa"/>
            <w:tcBorders>
              <w:top w:val="single" w:sz="8" w:space="0" w:color="242424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1" w:type="dxa"/>
            <w:tcBorders>
              <w:top w:val="single" w:sz="8" w:space="0" w:color="242424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8" w:space="0" w:color="242424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7" w:type="dxa"/>
            <w:tcBorders>
              <w:top w:val="single" w:sz="8" w:space="0" w:color="242424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2" w:type="dxa"/>
            <w:tcBorders>
              <w:top w:val="single" w:sz="8" w:space="0" w:color="242424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8" w:space="0" w:color="242424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7" w:type="dxa"/>
            <w:tcBorders>
              <w:top w:val="single" w:sz="8" w:space="0" w:color="242424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5,775</w:t>
            </w:r>
          </w:p>
        </w:tc>
        <w:tc>
          <w:tcPr>
            <w:tcW w:w="398" w:type="dxa"/>
            <w:tcBorders>
              <w:top w:val="single" w:sz="8" w:space="0" w:color="242424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7" w:type="dxa"/>
            <w:tcBorders>
              <w:top w:val="single" w:sz="8" w:space="0" w:color="242424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251,675</w:t>
            </w:r>
          </w:p>
        </w:tc>
        <w:tc>
          <w:tcPr>
            <w:tcW w:w="929" w:type="dxa"/>
            <w:tcBorders>
              <w:top w:val="single" w:sz="8" w:space="0" w:color="242424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93" w:type="dxa"/>
            <w:tcBorders>
              <w:top w:val="single" w:sz="8" w:space="0" w:color="242424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3" w:type="dxa"/>
            <w:tcBorders>
              <w:top w:val="single" w:sz="8" w:space="0" w:color="242424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68" w:type="dxa"/>
            <w:vMerge w:val="continue"/>
            <w:tcBorders>
              <w:top w:val="single" w:sz="8" w:space="0" w:color="242424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90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3/4/2022</w:t>
            </w:r>
          </w:p>
        </w:tc>
        <w:tc>
          <w:tcPr>
            <w:tcW w:w="1022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7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2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7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14,789</w:t>
            </w:r>
          </w:p>
        </w:tc>
        <w:tc>
          <w:tcPr>
            <w:tcW w:w="398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(4)</w:t>
            </w:r>
          </w:p>
        </w:tc>
        <w:tc>
          <w:tcPr>
            <w:tcW w:w="987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644,505</w:t>
            </w:r>
          </w:p>
        </w:tc>
        <w:tc>
          <w:tcPr>
            <w:tcW w:w="929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93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3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68" w:type="dxa"/>
            <w:vMerge w:val="continue"/>
            <w:tcBorders>
              <w:top w:val="single" w:sz="8" w:space="0" w:color="242424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90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2/29/2024</w:t>
            </w:r>
          </w:p>
        </w:tc>
        <w:tc>
          <w:tcPr>
            <w:tcW w:w="1022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7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2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7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10,704</w:t>
            </w:r>
          </w:p>
        </w:tc>
        <w:tc>
          <w:tcPr>
            <w:tcW w:w="398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7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466,480</w:t>
            </w:r>
          </w:p>
        </w:tc>
        <w:tc>
          <w:tcPr>
            <w:tcW w:w="929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93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3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6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0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2/29/2024</w:t>
            </w:r>
          </w:p>
        </w:tc>
        <w:tc>
          <w:tcPr>
            <w:tcW w:w="1022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7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2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7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8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7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9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14,272</w:t>
            </w:r>
          </w:p>
        </w:tc>
        <w:tc>
          <w:tcPr>
            <w:tcW w:w="293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(6)</w:t>
            </w:r>
          </w:p>
        </w:tc>
        <w:tc>
          <w:tcPr>
            <w:tcW w:w="1113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621,974</w:t>
            </w:r>
          </w:p>
        </w:tc>
      </w:tr>
      <w:tr>
        <w:trPr/>
        <w:tc>
          <w:tcPr>
            <w:tcW w:w="96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0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2/26/2025</w:t>
            </w:r>
          </w:p>
        </w:tc>
        <w:tc>
          <w:tcPr>
            <w:tcW w:w="1022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7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2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7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8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7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9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7,386</w:t>
            </w:r>
          </w:p>
        </w:tc>
        <w:tc>
          <w:tcPr>
            <w:tcW w:w="293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(7)</w:t>
            </w:r>
          </w:p>
        </w:tc>
        <w:tc>
          <w:tcPr>
            <w:tcW w:w="1113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321,882</w:t>
            </w:r>
          </w:p>
        </w:tc>
      </w:tr>
      <w:tr>
        <w:trPr/>
        <w:tc>
          <w:tcPr>
            <w:tcW w:w="96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0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2/26/2025</w:t>
            </w:r>
          </w:p>
        </w:tc>
        <w:tc>
          <w:tcPr>
            <w:tcW w:w="1022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7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2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7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14,774</w:t>
            </w:r>
          </w:p>
        </w:tc>
        <w:tc>
          <w:tcPr>
            <w:tcW w:w="398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7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643,851</w:t>
            </w:r>
          </w:p>
        </w:tc>
        <w:tc>
          <w:tcPr>
            <w:tcW w:w="929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93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3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6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0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3/31/2025</w:t>
            </w:r>
          </w:p>
        </w:tc>
        <w:tc>
          <w:tcPr>
            <w:tcW w:w="1022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7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2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7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8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7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9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34,533</w:t>
            </w:r>
          </w:p>
        </w:tc>
        <w:tc>
          <w:tcPr>
            <w:tcW w:w="293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(8)</w:t>
            </w:r>
          </w:p>
        </w:tc>
        <w:tc>
          <w:tcPr>
            <w:tcW w:w="1113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1,504,948</w:t>
            </w:r>
          </w:p>
        </w:tc>
      </w:tr>
      <w:tr>
        <w:trPr/>
        <w:tc>
          <w:tcPr>
            <w:tcW w:w="968" w:type="dxa"/>
            <w:tcBorders>
              <w:bottom w:val="single" w:sz="8" w:space="0" w:color="F47521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0" w:type="dxa"/>
            <w:tcBorders>
              <w:top w:val="single" w:sz="4" w:space="0" w:color="B6B6B6"/>
              <w:bottom w:val="single" w:sz="8" w:space="0" w:color="F47521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12/3/2025</w:t>
            </w:r>
          </w:p>
        </w:tc>
        <w:tc>
          <w:tcPr>
            <w:tcW w:w="1022" w:type="dxa"/>
            <w:tcBorders>
              <w:top w:val="single" w:sz="4" w:space="0" w:color="B6B6B6"/>
              <w:bottom w:val="single" w:sz="8" w:space="0" w:color="F47521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1" w:type="dxa"/>
            <w:tcBorders>
              <w:top w:val="single" w:sz="4" w:space="0" w:color="B6B6B6"/>
              <w:bottom w:val="single" w:sz="8" w:space="0" w:color="F47521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4" w:space="0" w:color="B6B6B6"/>
              <w:bottom w:val="single" w:sz="8" w:space="0" w:color="F47521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7" w:type="dxa"/>
            <w:tcBorders>
              <w:top w:val="single" w:sz="4" w:space="0" w:color="B6B6B6"/>
              <w:bottom w:val="single" w:sz="8" w:space="0" w:color="F47521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2" w:type="dxa"/>
            <w:tcBorders>
              <w:top w:val="single" w:sz="4" w:space="0" w:color="B6B6B6"/>
              <w:bottom w:val="single" w:sz="8" w:space="0" w:color="F47521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4" w:space="0" w:color="B6B6B6"/>
              <w:bottom w:val="single" w:sz="8" w:space="0" w:color="F47521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7" w:type="dxa"/>
            <w:tcBorders>
              <w:top w:val="single" w:sz="4" w:space="0" w:color="B6B6B6"/>
              <w:bottom w:val="single" w:sz="8" w:space="0" w:color="F47521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30,170</w:t>
            </w:r>
          </w:p>
        </w:tc>
        <w:tc>
          <w:tcPr>
            <w:tcW w:w="398" w:type="dxa"/>
            <w:tcBorders>
              <w:top w:val="single" w:sz="4" w:space="0" w:color="B6B6B6"/>
              <w:bottom w:val="single" w:sz="8" w:space="0" w:color="F47521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(11)</w:t>
            </w:r>
          </w:p>
        </w:tc>
        <w:tc>
          <w:tcPr>
            <w:tcW w:w="987" w:type="dxa"/>
            <w:tcBorders>
              <w:top w:val="single" w:sz="4" w:space="0" w:color="B6B6B6"/>
              <w:bottom w:val="single" w:sz="8" w:space="0" w:color="F47521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6"/>
                <w:u w:val="none"/>
                <w:effect w:val="none"/>
              </w:rPr>
              <w:t>1,314,809</w:t>
            </w:r>
          </w:p>
        </w:tc>
        <w:tc>
          <w:tcPr>
            <w:tcW w:w="929" w:type="dxa"/>
            <w:tcBorders>
              <w:top w:val="single" w:sz="4" w:space="0" w:color="B6B6B6"/>
              <w:bottom w:val="single" w:sz="8" w:space="0" w:color="F47521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93" w:type="dxa"/>
            <w:tcBorders>
              <w:top w:val="single" w:sz="4" w:space="0" w:color="B6B6B6"/>
              <w:bottom w:val="single" w:sz="8" w:space="0" w:color="F47521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3" w:type="dxa"/>
            <w:tcBorders>
              <w:top w:val="single" w:sz="4" w:space="0" w:color="B6B6B6"/>
              <w:bottom w:val="single" w:sz="8" w:space="0" w:color="F47521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(1)  Option awards were issued under our 2017 Plan and are subject to time-based vesting and expire seven years from the date of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grant or earlier upon termination of continuous service. Vesting of option awards granted under the 2017 Plan is set forth in the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applicable footnote accompanying the entry. Option awards granted pursuant to our 2017 Plan subject to time-based vesting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vest as to 1/4th of the original number of shares subject to the option on the one-year anniversary of the vesting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commencement date and thereafter as to 1/48th of the original number of shares subject to the option on each monthly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anniversary of the vesting commencement date. Vesting of all options issued to our NEOs are subject to acceleration as </w:t>
      </w:r>
    </w:p>
    <w:p>
      <w:pPr>
        <w:pStyle w:val="TextBody"/>
        <w:bidi w:val="0"/>
        <w:spacing w:lineRule="atLeast" w:line="180" w:before="0" w:after="0"/>
        <w:jc w:val="left"/>
        <w:rPr/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>described under “</w:t>
      </w:r>
      <w:hyperlink w:anchor="i6d44722bfc2543dbbba9716d9e560c58_202">
        <w:r>
          <w:rPr>
            <w:rStyle w:val="InternetLink"/>
            <w:rFonts w:ascii="sans-serif" w:hAnsi="sans-serif"/>
            <w:b w:val="false"/>
            <w:i w:val="false"/>
            <w:caps w:val="false"/>
            <w:smallCaps w:val="false"/>
            <w:color w:val="0000FF"/>
            <w:sz w:val="18"/>
            <w:u w:val="single"/>
          </w:rPr>
          <w:t>Potential Payments Upon Termination or Change in Control</w:t>
        </w:r>
      </w:hyperlink>
      <w:r>
        <w:rPr>
          <w:caps w:val="false"/>
          <w:smallCaps w:val="false"/>
          <w:strike w:val="false"/>
          <w:dstrike w:val="false"/>
          <w:color w:val="3F3F3F"/>
          <w:u w:val="none"/>
          <w:effect w:val="none"/>
        </w:rPr>
        <w:t xml:space="preserve">”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>below.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(2)  Amounts included here represent the outstanding RSU awards, PSU awards, and One-Time PSU Awards, which were issued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under our 2017 Plan. RSU awards generally vest as to 1/4th of the original number of shares subject to the RSU award on the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first established RSU vesting date following the one-year anniversary of the grant date and thereafter as to 1/4th of the original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number of shares subject to the RSU award on each anniversary of the first established RSU vesting date following the one-year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anniversary of the grant date, until fully vested. We have established February 15th, May 15th, August 15th and November 15th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as quarterly vesting dates. Vested shares will be delivered to the NEOs on the applicable quarterly vesting date, provided that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delivery may be delayed pursuant to the terms of the award agreement. PSU awards granted pursuant to our 2017 Plan vest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based on the achievement of certain performance targets set by the Compensation Committee as described below in Footnotes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4, 5, 6, and 7. In addition, One-Time PSU Awards granted pursuant to our 2017 Plan vest based on the achievement of the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Stock-Price Performance Condition and Time-Based Service Requirement as described below in Footnote 8. Vesting of all RSU </w:t>
      </w:r>
    </w:p>
    <w:p>
      <w:pPr>
        <w:pStyle w:val="TextBody"/>
        <w:bidi w:val="0"/>
        <w:spacing w:lineRule="atLeast" w:line="180" w:before="0" w:after="0"/>
        <w:jc w:val="left"/>
        <w:rPr/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>awards, PSU awards and One-Time PSU Awards issued to our NEOs are subject to acceleration as described under “</w:t>
      </w:r>
      <w:hyperlink w:anchor="i6d44722bfc2543dbbba9716d9e560c58_202">
        <w:r>
          <w:rPr>
            <w:rStyle w:val="InternetLink"/>
            <w:rFonts w:ascii="sans-serif" w:hAnsi="sans-serif"/>
            <w:b w:val="false"/>
            <w:i w:val="false"/>
            <w:caps w:val="false"/>
            <w:smallCaps w:val="false"/>
            <w:color w:val="0000FF"/>
            <w:sz w:val="18"/>
            <w:u w:val="single"/>
          </w:rPr>
          <w:t xml:space="preserve">Potential </w:t>
        </w:r>
      </w:hyperlink>
    </w:p>
    <w:p>
      <w:pPr>
        <w:pStyle w:val="TextBody"/>
        <w:bidi w:val="0"/>
        <w:spacing w:lineRule="atLeast" w:line="180" w:before="0" w:after="0"/>
        <w:jc w:val="left"/>
        <w:rPr/>
      </w:pPr>
      <w:hyperlink w:anchor="i6d44722bfc2543dbbba9716d9e560c58_202">
        <w:r>
          <w:rPr>
            <w:rStyle w:val="InternetLink"/>
            <w:rFonts w:ascii="sans-serif" w:hAnsi="sans-serif"/>
            <w:b w:val="false"/>
            <w:i w:val="false"/>
            <w:caps w:val="false"/>
            <w:smallCaps w:val="false"/>
            <w:color w:val="0000FF"/>
            <w:sz w:val="18"/>
            <w:u w:val="single"/>
          </w:rPr>
          <w:t>Payments Upon Termination or Change in Control</w:t>
        </w:r>
      </w:hyperlink>
      <w:r>
        <w:rPr>
          <w:caps w:val="false"/>
          <w:smallCaps w:val="false"/>
          <w:strike w:val="false"/>
          <w:dstrike w:val="false"/>
          <w:color w:val="3F3F3F"/>
          <w:u w:val="none"/>
          <w:effect w:val="none"/>
        </w:rPr>
        <w:t xml:space="preserve">”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>below.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(3)  For purposes of determining market value, we assumed a stock price of $43.58, the closing sale price per share of our common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>stock on January 2, 2026, the last business day of our last fiscal year.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(4)Holders of 2022 PSU awards may earn up to 175% of the target number of shares depending on the level of achievement with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respect to the 2022 Relative TSR Goal (defined as our Relative TSR over the 2022 PSU Performance Period and such number of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shares earned from the 2022 PSU awards referred to as the 2022 PSU Certified Shares). 50% of the 2022 PSU Certified Shares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vest upon the Compensation Committee’s certification after the end of the 2022 PSU Performance Period, and 50% of the 2022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PSU Certified Shares vest on the first quarterly vesting date (i.e., February 15th, May 15th, August 15th and November 15th)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following the one-year anniversary of the Compensation Committee’s certification (assuming that such PSUs are not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accelerated). Because the performance criteria have been achieved within the 2022 PSU Performance Period, on January 16,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2025, the Compensation Committee certified maximum achievement for the 2022 PSU awards, resulting in the immediate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vesting of 50% of the 2022 PSU Certified Shares. The remaining 50% vested on February 15, 2026. For more information </w:t>
      </w:r>
    </w:p>
    <w:tbl>
      <w:tblPr>
        <w:tblW w:w="174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61"/>
        <w:gridCol w:w="1381"/>
      </w:tblGrid>
      <w:tr>
        <w:trPr/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  <w:t>96</w:t>
            </w:r>
          </w:p>
        </w:tc>
        <w:tc>
          <w:tcPr>
            <w:tcW w:w="138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Exelixis, Inc.</w:t>
            </w:r>
          </w:p>
        </w:tc>
      </w:tr>
    </w:tbl>
    <w:tbl>
      <w:tblPr>
        <w:tblW w:w="1741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741"/>
      </w:tblGrid>
      <w:tr>
        <w:trPr/>
        <w:tc>
          <w:tcPr>
            <w:tcW w:w="17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4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6d44722bfc2543dbbba9716d9e560c58_16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color w:val="0000FF"/>
                  <w:sz w:val="18"/>
                  <w:u w:val="single"/>
                </w:rPr>
                <w:t>Table of Contents</w:t>
              </w:r>
            </w:hyperlink>
          </w:p>
        </w:tc>
      </w:tr>
    </w:tbl>
    <w:p>
      <w:pPr>
        <w:pStyle w:val="TextBody"/>
        <w:bidi w:val="0"/>
        <w:spacing w:lineRule="atLeast" w:line="180" w:before="0" w:after="0"/>
        <w:jc w:val="left"/>
        <w:rPr/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regarding the PSUs granted in 2022, please see </w:t>
      </w:r>
      <w:hyperlink w:anchor="i6d44722bfc2543dbbba9716d9e560c58_169">
        <w:r>
          <w:rPr>
            <w:rStyle w:val="InternetLink"/>
            <w:rFonts w:ascii="sans-serif" w:hAnsi="sans-serif"/>
            <w:b w:val="false"/>
            <w:i w:val="false"/>
            <w:caps w:val="false"/>
            <w:smallCaps w:val="false"/>
            <w:color w:val="0000FF"/>
            <w:sz w:val="18"/>
            <w:u w:val="single"/>
          </w:rPr>
          <w:t xml:space="preserve">"Compensation Discussion and Analysis - 2025 Compensation Decisions - 2025 </w:t>
        </w:r>
      </w:hyperlink>
    </w:p>
    <w:p>
      <w:pPr>
        <w:pStyle w:val="TextBody"/>
        <w:bidi w:val="0"/>
        <w:spacing w:lineRule="atLeast" w:line="180" w:before="0" w:after="0"/>
        <w:jc w:val="left"/>
        <w:rPr/>
      </w:pPr>
      <w:hyperlink w:anchor="i6d44722bfc2543dbbba9716d9e560c58_169">
        <w:r>
          <w:rPr>
            <w:rStyle w:val="InternetLink"/>
            <w:rFonts w:ascii="sans-serif" w:hAnsi="sans-serif"/>
            <w:b w:val="false"/>
            <w:i w:val="false"/>
            <w:caps w:val="false"/>
            <w:smallCaps w:val="false"/>
            <w:color w:val="0000FF"/>
            <w:sz w:val="18"/>
            <w:u w:val="single"/>
          </w:rPr>
          <w:t>Long-Term Incentive Awards - 2022 Long-Term Incentive Awards Achievements"</w:t>
        </w:r>
      </w:hyperlink>
      <w:r>
        <w:rPr>
          <w:caps w:val="false"/>
          <w:smallCaps w:val="false"/>
          <w:strike w:val="false"/>
          <w:dstrike w:val="false"/>
          <w:color w:val="3F3F3F"/>
          <w:u w:val="none"/>
          <w:effect w:val="none"/>
        </w:rPr>
        <w:t xml:space="preserve">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above.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(5)Holders of 2023 PSU awards may earn up to 175% of the target number of shares depending on the level of achievement with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respect to the 2023 Relative TSR Goal (defined as our Relative TSR over the 2023 PSU Performance Period and such number of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shares earned from the 2023 PSU awards referred to as the 2023 PSU Certified Shares). 50% of the 2023 PSU Certified Shares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vest upon the Compensation Committee’s certification after the end of the 2023 PSU Performance Period, and 50% of the 2023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PSU Certified Shares vest on the first quarterly vesting date (i.e., February 15th, May 15th, August 15th and November 15th)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following the one-year anniversary of the Compensation Committee’s certification (assuming that such PSUs are not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accelerated). Because the performance criteria have been achieved within the 2023 PSU Performance Period, on January 15,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2026, the Compensation Committee certified maximum achievement for the 2023 PSU awards, resulting in the immediate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vesting of 50% of the 2023 PSU Certified Shares and the remaining 50% will vest on February 15, 2027. For more information </w:t>
      </w:r>
    </w:p>
    <w:p>
      <w:pPr>
        <w:pStyle w:val="TextBody"/>
        <w:bidi w:val="0"/>
        <w:spacing w:lineRule="atLeast" w:line="180" w:before="0" w:after="0"/>
        <w:jc w:val="left"/>
        <w:rPr/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>regarding the PSUs granted in 2023,</w:t>
      </w:r>
      <w:r>
        <w:rPr>
          <w:caps w:val="false"/>
          <w:smallCaps w:val="false"/>
          <w:strike w:val="false"/>
          <w:dstrike w:val="false"/>
          <w:color w:val="3F3F3F"/>
          <w:sz w:val="24"/>
          <w:u w:val="none"/>
          <w:effect w:val="none"/>
        </w:rPr>
        <w:t xml:space="preserve">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>"</w:t>
      </w:r>
      <w:hyperlink w:anchor="i6d44722bfc2543dbbba9716d9e560c58_1201">
        <w:r>
          <w:rPr>
            <w:rStyle w:val="InternetLink"/>
            <w:rFonts w:ascii="sans-serif" w:hAnsi="sans-serif"/>
            <w:b w:val="false"/>
            <w:i w:val="false"/>
            <w:caps w:val="false"/>
            <w:smallCaps w:val="false"/>
            <w:color w:val="0000FF"/>
            <w:sz w:val="18"/>
            <w:u w:val="single"/>
          </w:rPr>
          <w:t xml:space="preserve">Compensation Discussion and Analysis - 2025 Compensation Decisions - 2025 Long-Term </w:t>
        </w:r>
      </w:hyperlink>
    </w:p>
    <w:p>
      <w:pPr>
        <w:pStyle w:val="TextBody"/>
        <w:bidi w:val="0"/>
        <w:spacing w:lineRule="atLeast" w:line="180" w:before="0" w:after="0"/>
        <w:jc w:val="left"/>
        <w:rPr/>
      </w:pPr>
      <w:hyperlink w:anchor="i6d44722bfc2543dbbba9716d9e560c58_1201">
        <w:r>
          <w:rPr>
            <w:rStyle w:val="InternetLink"/>
            <w:rFonts w:ascii="sans-serif" w:hAnsi="sans-serif"/>
            <w:b w:val="false"/>
            <w:i w:val="false"/>
            <w:caps w:val="false"/>
            <w:smallCaps w:val="false"/>
            <w:color w:val="0000FF"/>
            <w:sz w:val="18"/>
            <w:u w:val="single"/>
          </w:rPr>
          <w:t>Incentive Awards - 2023 Long-Term Incentive Awards Achievements</w:t>
        </w:r>
      </w:hyperlink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>"</w:t>
      </w:r>
      <w:r>
        <w:rPr>
          <w:caps w:val="false"/>
          <w:smallCaps w:val="false"/>
          <w:strike w:val="false"/>
          <w:dstrike w:val="false"/>
          <w:color w:val="3F3F3F"/>
          <w:sz w:val="24"/>
          <w:u w:val="none"/>
          <w:effect w:val="none"/>
        </w:rPr>
        <w:t xml:space="preserve">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above.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(6)Holders of 2024 PSU awards may earn up to 175% of the target number of shares depending on the level of achievement with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respect to the 2024 Relative TSR Goal (defined as our Relative TSR over the three-year performance period beginning December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30, 2023 and concluding on January 1, 2027, referred to as the 2024 PSU Performance Period, and such number of shares that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may be earned from the 2024 PSU awards referred to as the 2024 PSU Certified Shares). 50% of the 2024 PSU Certified Shares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vest upon the Compensation Committee’s certification after the end of the 2024 PSU Performance Period, and 50% of the 2024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PSU Certified Shares vest on the first quarterly vesting date (i.e., February 15th, May 15th, August 15th and November 15th)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following the one-year anniversary of the Compensation Committee’s certification (assuming that such PSUs are not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accelerated). The 2024 PSU awards will be forfeited if the performance condition at or above a threshold level is not achieved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by the end of the 2024 PSU Performance Period. For purposes of these calculations in the table above, we assumed a target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level of achievement with respect to the 2024 Relative TSR Goal for the 2024 PSU awards.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(7)Holders of 2025 PSU awards may earn up to 175% of the target number of shares depending on the level of achievement with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respect to the 2025 Relative TSR Goal (defined as our Relative TSR over the three-year performance period beginning January 4,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2025 and concluding on December 31, 2027, referred to as the 2025 PSU Performance Period, and such number of shares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earned from the 2025 PSU awards referred to as the 2025 PSU Certified Shares). 50% of the 2025 PSU Certified Shares vest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upon the Compensation Committee’s certification after the end of the performance period, and 50% of the 2025 PSU Certified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Shares vest on the first quarterly vesting date (i.e., February 15th, May 15th, August 15th and November 15th) following the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one-year anniversary of the Compensation Committee’s certification (assuming that such PSUs are not accelerated). The 2025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PSU awards will be forfeited if the performance condition at or above a threshold level is not achieved by the end of the 2025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PSU Performance Period. For purposes of these calculations in the table above, we assumed a threshold level of achievement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with respect to the 2025 Relative TSR Goal for the 2025 PSU awards. For more information regarding the PSUs granted in 2025, </w:t>
      </w:r>
    </w:p>
    <w:p>
      <w:pPr>
        <w:pStyle w:val="TextBody"/>
        <w:bidi w:val="0"/>
        <w:spacing w:lineRule="atLeast" w:line="180" w:before="0" w:after="0"/>
        <w:jc w:val="left"/>
        <w:rPr/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>please see “</w:t>
      </w:r>
      <w:hyperlink w:anchor="i6d44722bfc2543dbbba9716d9e560c58_160">
        <w:r>
          <w:rPr>
            <w:rStyle w:val="InternetLink"/>
            <w:rFonts w:ascii="sans-serif" w:hAnsi="sans-serif"/>
            <w:b w:val="false"/>
            <w:i w:val="false"/>
            <w:caps w:val="false"/>
            <w:smallCaps w:val="false"/>
            <w:color w:val="0000FF"/>
            <w:sz w:val="18"/>
            <w:u w:val="single"/>
          </w:rPr>
          <w:t xml:space="preserve">Compensation Discussion and Analysis—2025 Compensation Decisions—2025 Long-Term Incentive Awards—2025 </w:t>
        </w:r>
      </w:hyperlink>
    </w:p>
    <w:p>
      <w:pPr>
        <w:pStyle w:val="TextBody"/>
        <w:bidi w:val="0"/>
        <w:spacing w:lineRule="atLeast" w:line="180" w:before="0" w:after="0"/>
        <w:jc w:val="left"/>
        <w:rPr/>
      </w:pPr>
      <w:hyperlink w:anchor="i6d44722bfc2543dbbba9716d9e560c58_160">
        <w:r>
          <w:rPr>
            <w:rStyle w:val="InternetLink"/>
            <w:rFonts w:ascii="sans-serif" w:hAnsi="sans-serif"/>
            <w:b w:val="false"/>
            <w:i w:val="false"/>
            <w:caps w:val="false"/>
            <w:smallCaps w:val="false"/>
            <w:color w:val="0000FF"/>
            <w:sz w:val="18"/>
            <w:u w:val="single"/>
          </w:rPr>
          <w:t>PSU Awards</w:t>
        </w:r>
      </w:hyperlink>
      <w:r>
        <w:rPr>
          <w:caps w:val="false"/>
          <w:smallCaps w:val="false"/>
          <w:strike w:val="false"/>
          <w:dstrike w:val="false"/>
          <w:color w:val="3F3F3F"/>
          <w:u w:val="none"/>
          <w:effect w:val="none"/>
        </w:rPr>
        <w:t xml:space="preserve">”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>above.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(8)The One-Time PSU Awards granted in March 2025 will vest only upon the satisfaction of both the Stock-Price Performance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Condition and any Time-Based Service Requirement, as applicable, by the end of the One-Time PSU Performance Period. If the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>Stock</w:t>
        <w:noBreakHyphen/>
        <w:t>Price Performance Condition is not achieved during the One-Time PSU Performance Period, the One</w:t>
        <w:noBreakHyphen/>
        <w:t xml:space="preserve">Time PSU Awards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will be forfeited in their entirety. For purposes of these calculations in the table above, we assumed achievement of both the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>Stock-Price Performance Condition and Time-Based Service Requirement. For more information regarding the One</w:t>
        <w:noBreakHyphen/>
        <w:t xml:space="preserve">Time PSU </w:t>
      </w:r>
    </w:p>
    <w:p>
      <w:pPr>
        <w:pStyle w:val="TextBody"/>
        <w:bidi w:val="0"/>
        <w:spacing w:lineRule="atLeast" w:line="180" w:before="0" w:after="0"/>
        <w:jc w:val="left"/>
        <w:rPr/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>Awards granted to NEOs in fiscal 2025, please see “</w:t>
      </w:r>
      <w:hyperlink w:anchor="i6d44722bfc2543dbbba9716d9e560c58_1185">
        <w:r>
          <w:rPr>
            <w:rStyle w:val="InternetLink"/>
            <w:rFonts w:ascii="sans-serif" w:hAnsi="sans-serif"/>
            <w:b w:val="false"/>
            <w:i w:val="false"/>
            <w:caps w:val="false"/>
            <w:smallCaps w:val="false"/>
            <w:color w:val="0000FF"/>
            <w:sz w:val="18"/>
            <w:u w:val="single"/>
          </w:rPr>
          <w:t>Compensation Discussion and Analysis—2025 Compensation Decisions—</w:t>
        </w:r>
      </w:hyperlink>
    </w:p>
    <w:p>
      <w:pPr>
        <w:pStyle w:val="TextBody"/>
        <w:bidi w:val="0"/>
        <w:spacing w:lineRule="atLeast" w:line="180" w:before="0" w:after="0"/>
        <w:jc w:val="left"/>
        <w:rPr/>
      </w:pPr>
      <w:hyperlink w:anchor="i6d44722bfc2543dbbba9716d9e560c58_1185">
        <w:r>
          <w:rPr>
            <w:rStyle w:val="InternetLink"/>
            <w:rFonts w:ascii="sans-serif" w:hAnsi="sans-serif"/>
            <w:b w:val="false"/>
            <w:i w:val="false"/>
            <w:caps w:val="false"/>
            <w:smallCaps w:val="false"/>
            <w:color w:val="0000FF"/>
            <w:sz w:val="18"/>
            <w:u w:val="single"/>
          </w:rPr>
          <w:t>2025 One</w:t>
          <w:noBreakHyphen/>
          <w:t>Time PSU Award (Special Equity Award Program</w:t>
        </w:r>
      </w:hyperlink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>)” above.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(9)The RSU award granted to Dr. Aftab in January 2023 in connection with his prior promotion to Executive Vice President,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Discovery and Translational Research and Chief Scientific Officer vested as to 1/4th of the shares subject to the RSU award on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February 15, 2024, as to the 1/4th of the shares subject to the RSU award on February 15, 2025 and thereafter will vest as to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1/4th of the number of shares subject to the RSU award on each February 15th until fully vested (assuming that such RSUs are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not accelerated).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(10)The RSU award granted to Dr. Aftab in October 2025 in connection with his promotion to Executive Vice President, Research &amp;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Development will vest as to 1/4th of the shares subject to the RSU award on November 15, 2026 and thereafter will vest as to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1/4th of the number of shares subject to the RSU award on each November 15th until fully vested (assuming that such RSUs are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>not accelerated).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(11)The RSU award granted to Dr. Hefti in December 2025 in connection with her promotion will vest as to 1/4th of the shares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subject to the RSU award on February 15, 2027 and thereafter will vest as to 1/4th of the number of shares subject to the RSU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award on each February 15th until fully vested (assuming that such RSUs are not accelerated). </w:t>
      </w:r>
    </w:p>
    <w:tbl>
      <w:tblPr>
        <w:tblW w:w="256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176"/>
        <w:gridCol w:w="391"/>
      </w:tblGrid>
      <w:tr>
        <w:trPr/>
        <w:tc>
          <w:tcPr>
            <w:tcW w:w="21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7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40404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404040"/>
                <w:sz w:val="18"/>
                <w:u w:val="none"/>
                <w:effect w:val="none"/>
              </w:rPr>
              <w:t>2026 Proxy Statement</w:t>
            </w:r>
          </w:p>
        </w:tc>
        <w:tc>
          <w:tcPr>
            <w:tcW w:w="39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  <w:t>97</w:t>
            </w:r>
          </w:p>
        </w:tc>
      </w:tr>
    </w:tbl>
    <w:tbl>
      <w:tblPr>
        <w:tblW w:w="838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696"/>
        <w:gridCol w:w="6691"/>
      </w:tblGrid>
      <w:tr>
        <w:trPr/>
        <w:tc>
          <w:tcPr>
            <w:tcW w:w="16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9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6d44722bfc2543dbbba9716d9e560c58_16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color w:val="0000FF"/>
                  <w:sz w:val="18"/>
                  <w:u w:val="single"/>
                </w:rPr>
                <w:t>Table of Contents</w:t>
              </w:r>
            </w:hyperlink>
          </w:p>
        </w:tc>
        <w:tc>
          <w:tcPr>
            <w:tcW w:w="669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 xml:space="preserve">Compensation of Executive Officers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C4C02"/>
                <w:sz w:val="18"/>
                <w:u w:val="none"/>
                <w:effect w:val="none"/>
              </w:rPr>
              <w:t>|</w:t>
            </w: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 xml:space="preserve">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Option Exercises and Stock Vested</w:t>
            </w:r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F47521"/>
          <w:sz w:val="2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F47521"/>
          <w:sz w:val="28"/>
          <w:u w:val="none"/>
          <w:effect w:val="none"/>
        </w:rPr>
        <w:t>Option Exercises and Stock Vested</w:t>
      </w:r>
    </w:p>
    <w:tbl>
      <w:tblPr>
        <w:tblW w:w="169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69"/>
      </w:tblGrid>
      <w:tr>
        <w:trPr/>
        <w:tc>
          <w:tcPr>
            <w:tcW w:w="16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9" w:type="dxa"/>
            <w:tcBorders>
              <w:top w:val="single" w:sz="8" w:space="0" w:color="F47521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The following table includes certain information with respect to stock options exercised and stock awards that vested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during the fiscal year ended January 2, 2026.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Options Exercised and Stock Vested in Fiscal 2025</w:t>
      </w:r>
    </w:p>
    <w:tbl>
      <w:tblPr>
        <w:tblW w:w="8409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791"/>
        <w:gridCol w:w="1396"/>
        <w:gridCol w:w="1336"/>
        <w:gridCol w:w="109"/>
        <w:gridCol w:w="1396"/>
        <w:gridCol w:w="1381"/>
      </w:tblGrid>
      <w:tr>
        <w:trPr/>
        <w:tc>
          <w:tcPr>
            <w:tcW w:w="27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791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32" w:type="dxa"/>
            <w:gridSpan w:val="2"/>
            <w:tcBorders>
              <w:bottom w:val="single" w:sz="8" w:space="0" w:color="FFFFFF"/>
            </w:tcBorders>
            <w:shd w:fill="F47521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Option Awards</w:t>
            </w:r>
          </w:p>
        </w:tc>
        <w:tc>
          <w:tcPr>
            <w:tcW w:w="109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77" w:type="dxa"/>
            <w:gridSpan w:val="2"/>
            <w:tcBorders>
              <w:bottom w:val="single" w:sz="8" w:space="0" w:color="FFFFFF"/>
            </w:tcBorders>
            <w:shd w:fill="F47521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Stock Awards</w:t>
            </w:r>
          </w:p>
        </w:tc>
      </w:tr>
      <w:tr>
        <w:trPr/>
        <w:tc>
          <w:tcPr>
            <w:tcW w:w="2791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Name</w:t>
            </w:r>
          </w:p>
        </w:tc>
        <w:tc>
          <w:tcPr>
            <w:tcW w:w="1396" w:type="dxa"/>
            <w:tcBorders>
              <w:top w:val="single" w:sz="8" w:space="0" w:color="FFFFFF"/>
            </w:tcBorders>
            <w:shd w:fill="F47521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 xml:space="preserve">Number of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 xml:space="preserve">Shares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 xml:space="preserve">Acquired on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Exercise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(#)</w:t>
            </w:r>
          </w:p>
        </w:tc>
        <w:tc>
          <w:tcPr>
            <w:tcW w:w="1336" w:type="dxa"/>
            <w:tcBorders>
              <w:top w:val="single" w:sz="8" w:space="0" w:color="FFFFFF"/>
            </w:tcBorders>
            <w:shd w:fill="F47521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 xml:space="preserve">Value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 xml:space="preserve">Realized on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Exercise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($)(1)</w:t>
            </w:r>
          </w:p>
        </w:tc>
        <w:tc>
          <w:tcPr>
            <w:tcW w:w="109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96" w:type="dxa"/>
            <w:tcBorders>
              <w:top w:val="single" w:sz="8" w:space="0" w:color="FFFFFF"/>
            </w:tcBorders>
            <w:shd w:fill="F47521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 xml:space="preserve">Number of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 xml:space="preserve">Shares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 xml:space="preserve">Acquired on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Vesting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(#)</w:t>
            </w:r>
          </w:p>
        </w:tc>
        <w:tc>
          <w:tcPr>
            <w:tcW w:w="1381" w:type="dxa"/>
            <w:tcBorders>
              <w:top w:val="single" w:sz="8" w:space="0" w:color="FFFFFF"/>
            </w:tcBorders>
            <w:shd w:fill="F47521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 xml:space="preserve">Value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 xml:space="preserve">Realized on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Vesting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($)(2)</w:t>
            </w:r>
          </w:p>
        </w:tc>
      </w:tr>
      <w:tr>
        <w:trPr/>
        <w:tc>
          <w:tcPr>
            <w:tcW w:w="2791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Michael M. Morrissey, Ph.D.</w:t>
            </w:r>
          </w:p>
        </w:tc>
        <w:tc>
          <w:tcPr>
            <w:tcW w:w="1396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308,365</w:t>
            </w:r>
          </w:p>
        </w:tc>
        <w:tc>
          <w:tcPr>
            <w:tcW w:w="1336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7,971,235</w:t>
            </w:r>
          </w:p>
        </w:tc>
        <w:tc>
          <w:tcPr>
            <w:tcW w:w="109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96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568,116</w:t>
            </w:r>
          </w:p>
        </w:tc>
        <w:tc>
          <w:tcPr>
            <w:tcW w:w="1381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22,412,128</w:t>
            </w:r>
          </w:p>
        </w:tc>
      </w:tr>
      <w:tr>
        <w:trPr/>
        <w:tc>
          <w:tcPr>
            <w:tcW w:w="279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Christopher J. Senner</w:t>
            </w:r>
          </w:p>
        </w:tc>
        <w:tc>
          <w:tcPr>
            <w:tcW w:w="139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129,314</w:t>
            </w:r>
          </w:p>
        </w:tc>
        <w:tc>
          <w:tcPr>
            <w:tcW w:w="133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3,228,267</w:t>
            </w:r>
          </w:p>
        </w:tc>
        <w:tc>
          <w:tcPr>
            <w:tcW w:w="109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9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183,496</w:t>
            </w:r>
          </w:p>
        </w:tc>
        <w:tc>
          <w:tcPr>
            <w:tcW w:w="138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7,315,532</w:t>
            </w:r>
          </w:p>
        </w:tc>
      </w:tr>
      <w:tr>
        <w:trPr/>
        <w:tc>
          <w:tcPr>
            <w:tcW w:w="279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Dana T. Aftab, Ph.D.</w:t>
            </w:r>
          </w:p>
        </w:tc>
        <w:tc>
          <w:tcPr>
            <w:tcW w:w="139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133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9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169,103</w:t>
            </w:r>
          </w:p>
        </w:tc>
        <w:tc>
          <w:tcPr>
            <w:tcW w:w="138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6,619,992</w:t>
            </w:r>
          </w:p>
        </w:tc>
      </w:tr>
      <w:tr>
        <w:trPr/>
        <w:tc>
          <w:tcPr>
            <w:tcW w:w="279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Patrick J. Haley</w:t>
            </w:r>
          </w:p>
        </w:tc>
        <w:tc>
          <w:tcPr>
            <w:tcW w:w="139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116,383</w:t>
            </w:r>
          </w:p>
        </w:tc>
        <w:tc>
          <w:tcPr>
            <w:tcW w:w="133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3,404,742</w:t>
            </w:r>
          </w:p>
        </w:tc>
        <w:tc>
          <w:tcPr>
            <w:tcW w:w="109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9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167,444</w:t>
            </w:r>
          </w:p>
        </w:tc>
        <w:tc>
          <w:tcPr>
            <w:tcW w:w="138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6,660,465</w:t>
            </w:r>
          </w:p>
        </w:tc>
      </w:tr>
      <w:tr>
        <w:trPr/>
        <w:tc>
          <w:tcPr>
            <w:tcW w:w="279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Brenda J. Hefti, J.D., Ph.D.</w:t>
            </w:r>
          </w:p>
        </w:tc>
        <w:tc>
          <w:tcPr>
            <w:tcW w:w="139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11,625</w:t>
            </w:r>
          </w:p>
        </w:tc>
        <w:tc>
          <w:tcPr>
            <w:tcW w:w="133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195,981</w:t>
            </w:r>
          </w:p>
        </w:tc>
        <w:tc>
          <w:tcPr>
            <w:tcW w:w="109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9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35,514</w:t>
            </w:r>
          </w:p>
        </w:tc>
        <w:tc>
          <w:tcPr>
            <w:tcW w:w="138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1,398,108</w:t>
            </w:r>
          </w:p>
        </w:tc>
      </w:tr>
      <w:tr>
        <w:trPr/>
        <w:tc>
          <w:tcPr>
            <w:tcW w:w="279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Jeffrey J. Hessekiel, J.D.</w:t>
            </w:r>
          </w:p>
        </w:tc>
        <w:tc>
          <w:tcPr>
            <w:tcW w:w="139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133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9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162,119</w:t>
            </w:r>
          </w:p>
        </w:tc>
        <w:tc>
          <w:tcPr>
            <w:tcW w:w="138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6,455,721</w:t>
            </w:r>
          </w:p>
        </w:tc>
      </w:tr>
      <w:tr>
        <w:trPr/>
        <w:tc>
          <w:tcPr>
            <w:tcW w:w="2791" w:type="dxa"/>
            <w:tcBorders>
              <w:top w:val="single" w:sz="4" w:space="0" w:color="B6B6B6"/>
              <w:bottom w:val="single" w:sz="8" w:space="0" w:color="F47521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Amy C. Peterson, M.D.</w:t>
            </w:r>
          </w:p>
        </w:tc>
        <w:tc>
          <w:tcPr>
            <w:tcW w:w="1396" w:type="dxa"/>
            <w:tcBorders>
              <w:top w:val="single" w:sz="4" w:space="0" w:color="B6B6B6"/>
              <w:bottom w:val="single" w:sz="8" w:space="0" w:color="F47521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80,000</w:t>
            </w:r>
          </w:p>
        </w:tc>
        <w:tc>
          <w:tcPr>
            <w:tcW w:w="1336" w:type="dxa"/>
            <w:tcBorders>
              <w:top w:val="single" w:sz="4" w:space="0" w:color="B6B6B6"/>
              <w:bottom w:val="single" w:sz="8" w:space="0" w:color="F47521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1,678,720</w:t>
            </w:r>
          </w:p>
        </w:tc>
        <w:tc>
          <w:tcPr>
            <w:tcW w:w="109" w:type="dxa"/>
            <w:tcBorders>
              <w:top w:val="single" w:sz="4" w:space="0" w:color="B6B6B6"/>
              <w:bottom w:val="single" w:sz="8" w:space="0" w:color="F47521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96" w:type="dxa"/>
            <w:tcBorders>
              <w:top w:val="single" w:sz="4" w:space="0" w:color="B6B6B6"/>
              <w:bottom w:val="single" w:sz="8" w:space="0" w:color="F47521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20,530</w:t>
            </w:r>
          </w:p>
        </w:tc>
        <w:tc>
          <w:tcPr>
            <w:tcW w:w="1381" w:type="dxa"/>
            <w:tcBorders>
              <w:top w:val="single" w:sz="4" w:space="0" w:color="B6B6B6"/>
              <w:bottom w:val="single" w:sz="8" w:space="0" w:color="F47521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916,665</w:t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(1)    “Value Realized on Exercise” reflects the closing market price of our common stock on the applicable exercise date, net of the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>applicable exercise price, multiplied by the number of shares acquired upon exercise of stock options.</w:t>
      </w:r>
    </w:p>
    <w:p>
      <w:pPr>
        <w:pStyle w:val="TextBody"/>
        <w:bidi w:val="0"/>
        <w:spacing w:lineRule="atLeast" w:line="180" w:before="0" w:after="0"/>
        <w:jc w:val="left"/>
        <w:rPr/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>(2)</w:t>
      </w:r>
      <w:r>
        <w:rPr>
          <w:caps w:val="false"/>
          <w:smallCaps w:val="false"/>
          <w:strike w:val="false"/>
          <w:dstrike w:val="false"/>
          <w:color w:val="3F3F3F"/>
          <w:u w:val="none"/>
          <w:effect w:val="none"/>
        </w:rPr>
        <w:t>    “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Value Realized on Vesting” reflects the closing market price of our common stock on the applicable vesting date, multiplied by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>the number of units vested.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F47521"/>
          <w:sz w:val="2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F47521"/>
          <w:sz w:val="28"/>
          <w:u w:val="none"/>
          <w:effect w:val="none"/>
        </w:rPr>
        <w:t>Potential Payments Upon Termination or Change in Control</w:t>
      </w:r>
    </w:p>
    <w:tbl>
      <w:tblPr>
        <w:tblW w:w="169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69"/>
      </w:tblGrid>
      <w:tr>
        <w:trPr/>
        <w:tc>
          <w:tcPr>
            <w:tcW w:w="16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9" w:type="dxa"/>
            <w:tcBorders>
              <w:top w:val="single" w:sz="8" w:space="0" w:color="F47521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>Change in Control and Severance Benefit Plan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The Board, upon recommendation of the Compensation Committee, has adopted a CIC Plan that provides for certain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severance benefits to our officers in connection with specified termination events. Eligible CIC Plan participants may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include any employee having a rank of vice president or above, which includes our NEOs.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If an NEO’s employment terminates due to a “Covered Termination”, which is either an involuntary termination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without cause or a constructive termination, occurring within three months prior to and 15 months following the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effective date of a change in control event (Change in Control Period, and such termination, a Change in Control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Termination), then the NEO would be entitled to the following benefits under the CIC Plan: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3F3F3F"/>
          <w:u w:val="none"/>
          <w:effect w:val="none"/>
        </w:rPr>
        <w:t>›</w:t>
      </w:r>
      <w:r>
        <w:rPr>
          <w:caps w:val="false"/>
          <w:smallCaps w:val="false"/>
          <w:strike w:val="false"/>
          <w:dstrike w:val="false"/>
          <w:color w:val="FC7841"/>
          <w:u w:val="none"/>
          <w:effect w:val="none"/>
        </w:rPr>
        <w:t>›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 cash payment paid in lump sum or in installments pursuant to our regularly scheduled payroll periods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equal to the sum of the NEO’s base salary and target bonus for (i) 18 months for NEOs (other than the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Chief Executive Officer) and (ii) 24 months for the Chief Executive Officer;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3F3F3F"/>
          <w:u w:val="none"/>
          <w:effect w:val="none"/>
        </w:rPr>
        <w:t>›</w:t>
      </w:r>
      <w:r>
        <w:rPr>
          <w:caps w:val="false"/>
          <w:smallCaps w:val="false"/>
          <w:strike w:val="false"/>
          <w:dstrike w:val="false"/>
          <w:color w:val="FC7841"/>
          <w:u w:val="none"/>
          <w:effect w:val="none"/>
        </w:rPr>
        <w:t>›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the vesting of all of the NEO’s unvested options, RSUs, PSUs and cash incentive awards (other than annual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cash bonus awards) will accelerate in full (and with respect to awards that are subject to performance-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based vesting conditions or requirements, the acceleration of vesting will be deemed to be satisfied at the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target level of performance or at a level above the target level of performance if such higher level of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performance has been earned prior to the effective date of a change in control event), and the exercise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period of the options will be extended to the later of: (i) 12 months after the later of (x) the participant’s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termination date, or (y) the change in control event; and (ii) the post-termination exercise period provided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for in the applicable option agreement;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3F3F3F"/>
          <w:u w:val="none"/>
          <w:effect w:val="none"/>
        </w:rPr>
        <w:t>›</w:t>
      </w:r>
      <w:r>
        <w:rPr>
          <w:caps w:val="false"/>
          <w:smallCaps w:val="false"/>
          <w:strike w:val="false"/>
          <w:dstrike w:val="false"/>
          <w:color w:val="EE2724"/>
          <w:u w:val="none"/>
          <w:effect w:val="none"/>
        </w:rPr>
        <w:t>›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payment of COBRA premiums, or the cash equivalent thereof, for any health, dental or vision plan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sponsored by Exelixis for a period of up to (i) 18 months for NEOs (other than the Chief Executive Officer)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and (ii) 24 months for the Chief Executive Officer;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3F3F3F"/>
          <w:u w:val="none"/>
          <w:effect w:val="none"/>
        </w:rPr>
        <w:t>›</w:t>
      </w:r>
      <w:r>
        <w:rPr>
          <w:caps w:val="false"/>
          <w:smallCaps w:val="false"/>
          <w:strike w:val="false"/>
          <w:dstrike w:val="false"/>
          <w:color w:val="EE2724"/>
          <w:u w:val="none"/>
          <w:effect w:val="none"/>
        </w:rPr>
        <w:t>›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payment</w:t>
      </w:r>
      <w:r>
        <w:rPr>
          <w:caps w:val="false"/>
          <w:smallCaps w:val="false"/>
          <w:strike w:val="false"/>
          <w:dstrike w:val="false"/>
          <w:color w:val="3F3F3F"/>
          <w:u w:val="none"/>
          <w:effect w:val="none"/>
        </w:rPr>
        <w:t xml:space="preserve">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of outplacement services for (i) 18 months for NEOs (other than the Chief Executive Officer),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subject to a $30,000 limit and (ii) 24 months for the Chief Executive Officer, subject to a $50,000 limit; and</w:t>
      </w:r>
    </w:p>
    <w:tbl>
      <w:tblPr>
        <w:tblW w:w="174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61"/>
        <w:gridCol w:w="1381"/>
      </w:tblGrid>
      <w:tr>
        <w:trPr/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  <w:t>98</w:t>
            </w:r>
          </w:p>
        </w:tc>
        <w:tc>
          <w:tcPr>
            <w:tcW w:w="138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Exelixis, Inc.</w:t>
            </w:r>
          </w:p>
        </w:tc>
      </w:tr>
    </w:tbl>
    <w:tbl>
      <w:tblPr>
        <w:tblW w:w="1850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696"/>
        <w:gridCol w:w="154"/>
      </w:tblGrid>
      <w:tr>
        <w:trPr/>
        <w:tc>
          <w:tcPr>
            <w:tcW w:w="16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9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6d44722bfc2543dbbba9716d9e560c58_16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color w:val="0000FF"/>
                  <w:sz w:val="18"/>
                  <w:u w:val="single"/>
                </w:rPr>
                <w:t>Table of Contents</w:t>
              </w:r>
            </w:hyperlink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3F3F3F"/>
          <w:u w:val="none"/>
          <w:effect w:val="none"/>
        </w:rPr>
        <w:t>›</w:t>
      </w:r>
      <w:r>
        <w:rPr>
          <w:caps w:val="false"/>
          <w:smallCaps w:val="false"/>
          <w:strike w:val="false"/>
          <w:dstrike w:val="false"/>
          <w:color w:val="FC7841"/>
          <w:u w:val="none"/>
          <w:effect w:val="none"/>
        </w:rPr>
        <w:t>›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any earned but unpaid annual cash bonuses for the fiscal year ending on or before the termination date.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In the event of a Covered Termination of an NEO that is not also a Change in Control Termination (Non-Change in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Control Termination), such NEO would be entitled to receive under the CIC Plan: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3F3F3F"/>
          <w:u w:val="none"/>
          <w:effect w:val="none"/>
        </w:rPr>
        <w:t>›</w:t>
      </w:r>
      <w:r>
        <w:rPr>
          <w:caps w:val="false"/>
          <w:smallCaps w:val="false"/>
          <w:strike w:val="false"/>
          <w:dstrike w:val="false"/>
          <w:color w:val="EE2724"/>
          <w:u w:val="none"/>
          <w:effect w:val="none"/>
        </w:rPr>
        <w:t>›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 cash payment paid in lump sum or in installments pursuant to our regularly scheduled payroll periods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equal to the NEO’s base salary for (i) 12 months for NEOs (other than the Chief Executive Officers) and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(ii) 18 months for the Chief Executive Officer;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3F3F3F"/>
          <w:u w:val="none"/>
          <w:effect w:val="none"/>
        </w:rPr>
        <w:t>›</w:t>
      </w:r>
      <w:r>
        <w:rPr>
          <w:caps w:val="false"/>
          <w:smallCaps w:val="false"/>
          <w:strike w:val="false"/>
          <w:dstrike w:val="false"/>
          <w:color w:val="EE2724"/>
          <w:u w:val="none"/>
          <w:effect w:val="none"/>
        </w:rPr>
        <w:t>›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 bonus payment equal to the pro-rata portion of the NEO’s annual cash bonus, calculated based on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completed calendar months worked in that fiscal year in which the Non-Change in Control Termination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occurs and the corporate performance determined by the Compensation Committee with respect to that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fiscal year’s Annual Cash Bonus Plan, payable at the same time as such annual cash bonuses are paid to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other NEOs or similarly situated employees;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3F3F3F"/>
          <w:u w:val="none"/>
          <w:effect w:val="none"/>
        </w:rPr>
        <w:t>›</w:t>
      </w:r>
      <w:r>
        <w:rPr>
          <w:caps w:val="false"/>
          <w:smallCaps w:val="false"/>
          <w:strike w:val="false"/>
          <w:dstrike w:val="false"/>
          <w:color w:val="EE2724"/>
          <w:u w:val="none"/>
          <w:effect w:val="none"/>
        </w:rPr>
        <w:t>›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any earned but unpaid annual cash bonuses for the fiscal year ending on or before the termination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date; and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3F3F3F"/>
          <w:u w:val="none"/>
          <w:effect w:val="none"/>
        </w:rPr>
        <w:t>›</w:t>
      </w:r>
      <w:r>
        <w:rPr>
          <w:caps w:val="false"/>
          <w:smallCaps w:val="false"/>
          <w:strike w:val="false"/>
          <w:dstrike w:val="false"/>
          <w:color w:val="EE2724"/>
          <w:u w:val="none"/>
          <w:effect w:val="none"/>
        </w:rPr>
        <w:t>›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payment of COBRA premiums, or the cash equivalent thereof, for any health, dental or vision plan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sponsored by Exelixis for a period of up to (i) 12 months for NEOs (other than the Chief Executive Officer)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and (ii) 18 months for the Chief Executive Officer.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However, in the event of a Non-Change in Control Termination, such NEO would not be entitled to any vesting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acceleration benefits.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The payments and benefits described above are subject to certain reductions and offsets if, for example, the NEO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received other severance benefits from us pursuant to a written employment agreement. In addition, if any of the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severance benefits payable under the CIC Plan would constitute a “parachute payment” subject to the excise tax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imposed by Section 4999 of the Internal Revenue Code, an NEO may receive a reduced amount of the affected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severance benefits. The CIC Plan does not provide for the gross-up of any excise taxes imposed by Section 4999 of the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Code. No NEO would receive benefits under the CIC Plan if (i) the NEO has entered into an individually negotiated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employment agreement that provides for severance or change in control benefits which are more favorable, as a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whole, to such NEO than the severance or change in control benefits available to such NEO under the CIC Plan, (ii) the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NEO voluntarily terminates employment with us to accept employment with another entity that is controlled by us or is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otherwise affiliated with us or (iii) the NEO does not confirm in writing that he or she is subject to agreements with us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relating to proprietary and confidential information. In addition, as a general matter, to be eligible to receive benefits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under the CIC Plan and if requested by Exelixis, an NEO must execute a general waiver and release of claims, and such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release must become effective in accordance with its terms. An NEO’s right to receive payment of benefits under the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CIC Plan will immediately terminate if, as determined by Exelixis in its sole discretion, at any time prior to or during the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period the NEO is receiving such benefits, the NEO, without the prior written approval of Exelixis, (i) willfully breaches a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material provision of a proprietary and confidential information agreement with Exelixis or (ii) willfully encourages or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solicits any of Exelixis’ then-current employees to leave Exelixis’ employ, and the conduct in (i) or (ii), as applicable, is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not timely cured.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</w:pPr>
      <w:r>
        <w:rPr>
          <w:rFonts w:ascii="sans-serif" w:hAnsi="sans-serif"/>
          <w:b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  <w:t>Treatment of Equity Awards under the 2017 Plan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Pursuant to our 2017 Plan, in the event of an asset sale, merger or consolidation in which we are not the surviving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corporation, or a reverse merger in which we are the surviving corporation but our common stock is converted by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virtue of the merger into other property, then any surviving or acquiring corporation may assume outstanding stock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awards or substitute similar stock awards for those under the 2017 Plan. If any surviving or acquiring corporation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refuses to assume such outstanding stock awards or substitute similar stock awards, stock awards held by participants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whose service has not terminated will be accelerated in full. In addition, if any person, entity or group acquires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beneficial ownership of more than 50% of our combined voting power, which was not approved by the Board prior to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the consummation of such transaction (a Control Acquisition), then stock awards held by participants whose service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has not terminated will be accelerated in full.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Treatment of One-Time PSU Awards under the Special Equity Award Program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  <w:t xml:space="preserve">Vesting of the One-Time PSU Awards will generally cease upon termination of continuous service for any reason except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  <w:t xml:space="preserve">for termination due to death or disability, or termination without cause or for good reason in connection with certain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  <w:t xml:space="preserve">change-in-control events of the company. In connection with a change in control that is not a Control Acquisition, the </w:t>
      </w:r>
    </w:p>
    <w:tbl>
      <w:tblPr>
        <w:tblW w:w="256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176"/>
        <w:gridCol w:w="391"/>
      </w:tblGrid>
      <w:tr>
        <w:trPr/>
        <w:tc>
          <w:tcPr>
            <w:tcW w:w="21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7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40404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404040"/>
                <w:sz w:val="18"/>
                <w:u w:val="none"/>
                <w:effect w:val="none"/>
              </w:rPr>
              <w:t>2026 Proxy Statement</w:t>
            </w:r>
          </w:p>
        </w:tc>
        <w:tc>
          <w:tcPr>
            <w:tcW w:w="39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  <w:t>99</w:t>
            </w:r>
          </w:p>
        </w:tc>
      </w:tr>
    </w:tbl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661"/>
        <w:gridCol w:w="8544"/>
      </w:tblGrid>
      <w:tr>
        <w:trPr/>
        <w:tc>
          <w:tcPr>
            <w:tcW w:w="16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4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6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6d44722bfc2543dbbba9716d9e560c58_16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color w:val="0000FF"/>
                  <w:sz w:val="18"/>
                  <w:u w:val="single"/>
                </w:rPr>
                <w:t>Table of Contents</w:t>
              </w:r>
            </w:hyperlink>
          </w:p>
        </w:tc>
        <w:tc>
          <w:tcPr>
            <w:tcW w:w="8544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Compensation of Executive Officers 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C4C02"/>
                <w:sz w:val="18"/>
                <w:u w:val="none"/>
                <w:effect w:val="none"/>
              </w:rPr>
              <w:t>|</w:t>
            </w: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 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Potential Payments Upon Termination or Change in Control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  <w:t xml:space="preserve">Stock-Price Performance Condition of the One-Time PSU Awards, to the extent not satisfied, will be evaluated based on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  <w:t xml:space="preserve">the change-in-control stock price. If the change-in-control stock price equals or exceeds $60, the Stock-Price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  <w:t xml:space="preserve">Performance Condition will be deemed satisfied, but the One-Time PSU Awards will generally remain subject to the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  <w:t xml:space="preserve">Time-Based Service Requirement, unless (i) the surviving corporation does not assume or substitute the awards, in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  <w:t xml:space="preserve">which case the One-Time PSU Awards will vest as of the date of the change in control; or (ii) the participant is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  <w:t xml:space="preserve">terminated without cause (other than due to death or disability) or resigns for good reason within three months before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  <w:t xml:space="preserve">and 15 months after the change in control, in which case the One-Time PSU Awards will vest as of the later of the date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  <w:t>of the change in control and the date of such termination. If the change-in-control stock price is below $60, the One-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  <w:t xml:space="preserve">Time PSU Awards will be forfeited.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If a grantee’s continuous service is terminated as a result of the grantee’s death, the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  <w:t>One-Time PSU Award</w:t>
      </w:r>
      <w:r>
        <w:rPr>
          <w:caps w:val="false"/>
          <w:smallCaps w:val="false"/>
          <w:strike w:val="false"/>
          <w:dstrike w:val="false"/>
          <w:color w:val="3F3F3F"/>
          <w:u w:val="none"/>
          <w:effect w:val="none"/>
        </w:rPr>
        <w:t xml:space="preserve">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will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immediately vest on the date of such termination.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If a grantee’s continuous service is terminated as a result of the grantee’s disability, the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  <w:t>One-Time PSU Award</w:t>
      </w:r>
      <w:r>
        <w:rPr>
          <w:caps w:val="false"/>
          <w:smallCaps w:val="false"/>
          <w:strike w:val="false"/>
          <w:dstrike w:val="false"/>
          <w:color w:val="3F3F3F"/>
          <w:u w:val="none"/>
          <w:effect w:val="none"/>
        </w:rPr>
        <w:t xml:space="preserve">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will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remain outstanding. If the performance condition is satisfied during the performance period, a pro-rata portion of the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One-Time PSU Award will vest and be paid out to the grantee based on the number of days of the grantee’s continuous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service during the performance period. Any remaining portion of the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  <w:t>One-Time PSU Award</w:t>
      </w:r>
      <w:r>
        <w:rPr>
          <w:caps w:val="false"/>
          <w:smallCaps w:val="false"/>
          <w:strike w:val="false"/>
          <w:dstrike w:val="false"/>
          <w:color w:val="3F3F3F"/>
          <w:u w:val="none"/>
          <w:effect w:val="none"/>
        </w:rPr>
        <w:t xml:space="preserve">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will be forfeited.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In the event of a Control Acquisition, the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494949"/>
          <w:sz w:val="20"/>
          <w:u w:val="none"/>
          <w:effect w:val="none"/>
        </w:rPr>
        <w:t>One-Time PSU Awards</w:t>
      </w:r>
      <w:r>
        <w:rPr>
          <w:caps w:val="false"/>
          <w:smallCaps w:val="false"/>
          <w:strike w:val="false"/>
          <w:dstrike w:val="false"/>
          <w:color w:val="3F3F3F"/>
          <w:u w:val="none"/>
          <w:effect w:val="none"/>
        </w:rPr>
        <w:t xml:space="preserve">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will vest in full, in accordance with the terms of the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2017 Plan.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The following table sets forth the potential severance payments and benefits under our CIC Plan to which an NEO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would be entitled in connection with specified termination events, as if such NEO’s employment terminated as of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January 2, 2026, the last day of our last fiscal year, and where applicable, a change in control of the company occurred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on January 2, 2026, and the change in control stock price is $43.58, the closing sale price per share of our common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stock on January 2, 2026.</w:t>
      </w:r>
      <w:r>
        <w:rPr>
          <w:caps w:val="false"/>
          <w:smallCaps w:val="false"/>
          <w:strike w:val="false"/>
          <w:dstrike w:val="false"/>
          <w:color w:val="3F3F3F"/>
          <w:sz w:val="24"/>
          <w:u w:val="none"/>
          <w:effect w:val="none"/>
        </w:rPr>
        <w:t xml:space="preserve">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In addition, the table sets forth the amounts to which such NEOs would be entitled under our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equity plans either (i) in connection with a change in control transaction in which the successor corporation did not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assume or substitute outstanding stock awards (and with respect to PSU awards granted to each NEO, a change in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control transaction in which a successor corporation does assume outstanding stock awards), or (ii) an entity or group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acquired more than 50% of our combined voting power, in each case, as of January 2, 2026. There are no other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agreements, arrangements or plans that entitle any of the above-mentioned NEOs to severance, perquisites or other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enhanced benefits upon termination of employment, other than certain extensions of the termination date to avoid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violation of registration requirements under the Securities Act of 1933, as amended, or for such NEO’s death or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disability.</w:t>
      </w:r>
    </w:p>
    <w:tbl>
      <w:tblPr>
        <w:tblW w:w="186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81"/>
        <w:gridCol w:w="1381"/>
      </w:tblGrid>
      <w:tr>
        <w:trPr/>
        <w:tc>
          <w:tcPr>
            <w:tcW w:w="4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8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  <w:t>100</w:t>
            </w:r>
          </w:p>
        </w:tc>
        <w:tc>
          <w:tcPr>
            <w:tcW w:w="138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Exelixis, Inc.</w:t>
            </w:r>
          </w:p>
        </w:tc>
      </w:tr>
    </w:tbl>
    <w:tbl>
      <w:tblPr>
        <w:tblW w:w="1850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696"/>
        <w:gridCol w:w="154"/>
      </w:tblGrid>
      <w:tr>
        <w:trPr/>
        <w:tc>
          <w:tcPr>
            <w:tcW w:w="16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9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6d44722bfc2543dbbba9716d9e560c58_16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color w:val="0000FF"/>
                  <w:sz w:val="18"/>
                  <w:u w:val="single"/>
                </w:rPr>
                <w:t>Table of Contents</w:t>
              </w:r>
            </w:hyperlink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Potential Payments Table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The following table shows the potential payments upon termination of employment or a change in control event for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the NEOs. The table assumes that the triggering event took place on January 2, 2026, the last day of our 2025</w:t>
      </w:r>
      <w:r>
        <w:rPr>
          <w:caps w:val="false"/>
          <w:smallCaps w:val="false"/>
          <w:strike w:val="false"/>
          <w:dstrike w:val="false"/>
          <w:color w:val="3F3F3F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fiscal year, and the change in control stock price is $43.58, the closing sale price per share of our common stock on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January 2, 2026.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Potential Payments Upon Termination or Change in Control Table </w:t>
      </w: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718"/>
        <w:gridCol w:w="1924"/>
        <w:gridCol w:w="1753"/>
        <w:gridCol w:w="1773"/>
        <w:gridCol w:w="109"/>
        <w:gridCol w:w="1411"/>
        <w:gridCol w:w="1517"/>
      </w:tblGrid>
      <w:tr>
        <w:trPr/>
        <w:tc>
          <w:tcPr>
            <w:tcW w:w="171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5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7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1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18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24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26" w:type="dxa"/>
            <w:gridSpan w:val="2"/>
            <w:tcBorders>
              <w:bottom w:val="single" w:sz="8" w:space="0" w:color="FFFFFF"/>
            </w:tcBorders>
            <w:shd w:fill="F47521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Change in Control and Severance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Benefit Plan</w:t>
            </w:r>
          </w:p>
        </w:tc>
        <w:tc>
          <w:tcPr>
            <w:tcW w:w="109" w:type="dxa"/>
            <w:tcBorders>
              <w:bottom w:val="single" w:sz="8" w:space="0" w:color="FFFFFF"/>
            </w:tcBorders>
            <w:shd w:fill="F47521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11" w:type="dxa"/>
            <w:tcBorders>
              <w:bottom w:val="single" w:sz="8" w:space="0" w:color="FFFFFF"/>
            </w:tcBorders>
            <w:shd w:fill="F47521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Equity Plans</w:t>
            </w:r>
          </w:p>
        </w:tc>
        <w:tc>
          <w:tcPr>
            <w:tcW w:w="1517" w:type="dxa"/>
            <w:tcBorders>
              <w:bottom w:val="single" w:sz="8" w:space="0" w:color="FFFFFF"/>
            </w:tcBorders>
            <w:shd w:fill="F47521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18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Name</w:t>
            </w:r>
          </w:p>
        </w:tc>
        <w:tc>
          <w:tcPr>
            <w:tcW w:w="1924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Benefit</w:t>
            </w:r>
          </w:p>
        </w:tc>
        <w:tc>
          <w:tcPr>
            <w:tcW w:w="1753" w:type="dxa"/>
            <w:tcBorders>
              <w:top w:val="single" w:sz="8" w:space="0" w:color="FFFFFF"/>
            </w:tcBorders>
            <w:shd w:fill="F47521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 xml:space="preserve">Change in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 xml:space="preserve">Control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 xml:space="preserve">Termination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($)(1)</w:t>
            </w:r>
          </w:p>
        </w:tc>
        <w:tc>
          <w:tcPr>
            <w:tcW w:w="1773" w:type="dxa"/>
            <w:tcBorders>
              <w:top w:val="single" w:sz="8" w:space="0" w:color="FFFFFF"/>
            </w:tcBorders>
            <w:shd w:fill="F47521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 xml:space="preserve">Non-Change in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 xml:space="preserve">Control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 xml:space="preserve">Termination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($)(2)</w:t>
            </w:r>
          </w:p>
        </w:tc>
        <w:tc>
          <w:tcPr>
            <w:tcW w:w="109" w:type="dxa"/>
            <w:tcBorders>
              <w:top w:val="single" w:sz="8" w:space="0" w:color="FFFFFF"/>
            </w:tcBorders>
            <w:shd w:fill="F47521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11" w:type="dxa"/>
            <w:tcBorders>
              <w:top w:val="single" w:sz="8" w:space="0" w:color="FFFFFF"/>
            </w:tcBorders>
            <w:shd w:fill="F47521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Certain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Change in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Control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Transactions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without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Termination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($)(3)</w:t>
            </w:r>
          </w:p>
        </w:tc>
        <w:tc>
          <w:tcPr>
            <w:tcW w:w="1517" w:type="dxa"/>
            <w:tcBorders>
              <w:top w:val="single" w:sz="8" w:space="0" w:color="FFFFFF"/>
            </w:tcBorders>
            <w:shd w:fill="F47521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 xml:space="preserve">Control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Acquisition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($)(5)</w:t>
            </w:r>
          </w:p>
        </w:tc>
      </w:tr>
      <w:tr>
        <w:trPr/>
        <w:tc>
          <w:tcPr>
            <w:tcW w:w="1718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Michael M. Morrissey,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Ph.D.</w:t>
            </w:r>
          </w:p>
        </w:tc>
        <w:tc>
          <w:tcPr>
            <w:tcW w:w="1924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Base Salary</w:t>
            </w:r>
          </w:p>
        </w:tc>
        <w:tc>
          <w:tcPr>
            <w:tcW w:w="1753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2,633,506</w:t>
            </w:r>
          </w:p>
        </w:tc>
        <w:tc>
          <w:tcPr>
            <w:tcW w:w="1773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1,975,130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1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1517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171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24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Bonus</w:t>
            </w:r>
          </w:p>
        </w:tc>
        <w:tc>
          <w:tcPr>
            <w:tcW w:w="1753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2,633,506</w:t>
            </w:r>
          </w:p>
        </w:tc>
        <w:tc>
          <w:tcPr>
            <w:tcW w:w="1773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1,382,591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1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1517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171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24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Vesting Acceleration (4)</w:t>
            </w:r>
          </w:p>
        </w:tc>
        <w:tc>
          <w:tcPr>
            <w:tcW w:w="1753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78,514,817</w:t>
            </w:r>
          </w:p>
        </w:tc>
        <w:tc>
          <w:tcPr>
            <w:tcW w:w="1773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1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78,514,817</w:t>
            </w:r>
          </w:p>
        </w:tc>
        <w:tc>
          <w:tcPr>
            <w:tcW w:w="1517" w:type="dxa"/>
            <w:tcBorders/>
            <w:vAlign w:val="center"/>
          </w:tcPr>
          <w:p>
            <w:pPr>
              <w:pStyle w:val="TableContents"/>
              <w:bidi w:val="0"/>
              <w:spacing w:lineRule="atLeast" w:line="192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9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9"/>
                <w:u w:val="none"/>
                <w:effect w:val="none"/>
              </w:rPr>
              <w:t>104,214,771</w:t>
            </w:r>
          </w:p>
        </w:tc>
      </w:tr>
      <w:tr>
        <w:trPr/>
        <w:tc>
          <w:tcPr>
            <w:tcW w:w="171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24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COBRA Payments</w:t>
            </w:r>
          </w:p>
        </w:tc>
        <w:tc>
          <w:tcPr>
            <w:tcW w:w="1753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56,000</w:t>
            </w:r>
          </w:p>
        </w:tc>
        <w:tc>
          <w:tcPr>
            <w:tcW w:w="1773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42,000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1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1517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1718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24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Outplacement Services</w:t>
            </w:r>
          </w:p>
        </w:tc>
        <w:tc>
          <w:tcPr>
            <w:tcW w:w="1753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50,000</w:t>
            </w:r>
          </w:p>
        </w:tc>
        <w:tc>
          <w:tcPr>
            <w:tcW w:w="1773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11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1517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1718" w:type="dxa"/>
            <w:tcBorders>
              <w:top w:val="single" w:sz="4" w:space="0" w:color="B6B6B6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Benefit Total</w:t>
            </w:r>
          </w:p>
        </w:tc>
        <w:tc>
          <w:tcPr>
            <w:tcW w:w="1924" w:type="dxa"/>
            <w:tcBorders>
              <w:top w:val="single" w:sz="4" w:space="0" w:color="B6B6B6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53" w:type="dxa"/>
            <w:tcBorders>
              <w:top w:val="single" w:sz="4" w:space="0" w:color="B6B6B6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83,887,829</w:t>
            </w:r>
          </w:p>
        </w:tc>
        <w:tc>
          <w:tcPr>
            <w:tcW w:w="1773" w:type="dxa"/>
            <w:tcBorders>
              <w:top w:val="single" w:sz="4" w:space="0" w:color="B6B6B6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3,399,721</w:t>
            </w:r>
          </w:p>
        </w:tc>
        <w:tc>
          <w:tcPr>
            <w:tcW w:w="109" w:type="dxa"/>
            <w:tcBorders>
              <w:top w:val="single" w:sz="4" w:space="0" w:color="B6B6B6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11" w:type="dxa"/>
            <w:tcBorders>
              <w:top w:val="single" w:sz="4" w:space="0" w:color="B6B6B6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78,514,817</w:t>
            </w:r>
          </w:p>
        </w:tc>
        <w:tc>
          <w:tcPr>
            <w:tcW w:w="1517" w:type="dxa"/>
            <w:tcBorders>
              <w:top w:val="single" w:sz="4" w:space="0" w:color="B6B6B6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92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9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9"/>
                <w:u w:val="none"/>
                <w:effect w:val="none"/>
              </w:rPr>
              <w:t>104,214,771</w:t>
            </w:r>
          </w:p>
        </w:tc>
      </w:tr>
      <w:tr>
        <w:trPr/>
        <w:tc>
          <w:tcPr>
            <w:tcW w:w="1718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Christopher J. Senner</w:t>
            </w:r>
          </w:p>
        </w:tc>
        <w:tc>
          <w:tcPr>
            <w:tcW w:w="1924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Base Salary</w:t>
            </w:r>
          </w:p>
        </w:tc>
        <w:tc>
          <w:tcPr>
            <w:tcW w:w="1753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1,244,358</w:t>
            </w:r>
          </w:p>
        </w:tc>
        <w:tc>
          <w:tcPr>
            <w:tcW w:w="1773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829,572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11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1517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171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24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Bonus</w:t>
            </w:r>
          </w:p>
        </w:tc>
        <w:tc>
          <w:tcPr>
            <w:tcW w:w="1753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622,179</w:t>
            </w:r>
          </w:p>
        </w:tc>
        <w:tc>
          <w:tcPr>
            <w:tcW w:w="1773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435,525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1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1517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171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24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Vesting Acceleration (4)</w:t>
            </w:r>
          </w:p>
        </w:tc>
        <w:tc>
          <w:tcPr>
            <w:tcW w:w="1753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23,562,573</w:t>
            </w:r>
          </w:p>
        </w:tc>
        <w:tc>
          <w:tcPr>
            <w:tcW w:w="1773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1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23,562,573</w:t>
            </w:r>
          </w:p>
        </w:tc>
        <w:tc>
          <w:tcPr>
            <w:tcW w:w="1517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30,791,565</w:t>
            </w:r>
          </w:p>
        </w:tc>
      </w:tr>
      <w:tr>
        <w:trPr/>
        <w:tc>
          <w:tcPr>
            <w:tcW w:w="171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24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COBRA Payments</w:t>
            </w:r>
          </w:p>
        </w:tc>
        <w:tc>
          <w:tcPr>
            <w:tcW w:w="1753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64,512</w:t>
            </w:r>
          </w:p>
        </w:tc>
        <w:tc>
          <w:tcPr>
            <w:tcW w:w="1773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43,008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1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1517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1718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24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Outplacement Services</w:t>
            </w:r>
          </w:p>
        </w:tc>
        <w:tc>
          <w:tcPr>
            <w:tcW w:w="1753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30,000</w:t>
            </w:r>
          </w:p>
        </w:tc>
        <w:tc>
          <w:tcPr>
            <w:tcW w:w="1773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11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1517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1718" w:type="dxa"/>
            <w:tcBorders>
              <w:top w:val="single" w:sz="4" w:space="0" w:color="B6B6B6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Benefit Total</w:t>
            </w:r>
          </w:p>
        </w:tc>
        <w:tc>
          <w:tcPr>
            <w:tcW w:w="1924" w:type="dxa"/>
            <w:tcBorders>
              <w:top w:val="single" w:sz="4" w:space="0" w:color="B6B6B6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53" w:type="dxa"/>
            <w:tcBorders>
              <w:top w:val="single" w:sz="4" w:space="0" w:color="B6B6B6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25,523,622</w:t>
            </w:r>
          </w:p>
        </w:tc>
        <w:tc>
          <w:tcPr>
            <w:tcW w:w="1773" w:type="dxa"/>
            <w:tcBorders>
              <w:top w:val="single" w:sz="4" w:space="0" w:color="B6B6B6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1,308,105</w:t>
            </w:r>
          </w:p>
        </w:tc>
        <w:tc>
          <w:tcPr>
            <w:tcW w:w="109" w:type="dxa"/>
            <w:tcBorders>
              <w:top w:val="single" w:sz="4" w:space="0" w:color="B6B6B6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11" w:type="dxa"/>
            <w:tcBorders>
              <w:top w:val="single" w:sz="4" w:space="0" w:color="B6B6B6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23,562,573</w:t>
            </w:r>
          </w:p>
        </w:tc>
        <w:tc>
          <w:tcPr>
            <w:tcW w:w="1517" w:type="dxa"/>
            <w:tcBorders>
              <w:top w:val="single" w:sz="4" w:space="0" w:color="B6B6B6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30,791,565</w:t>
            </w:r>
          </w:p>
        </w:tc>
      </w:tr>
      <w:tr>
        <w:trPr/>
        <w:tc>
          <w:tcPr>
            <w:tcW w:w="1718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Dana T. Aftab, Ph.D.</w:t>
            </w:r>
          </w:p>
        </w:tc>
        <w:tc>
          <w:tcPr>
            <w:tcW w:w="1924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Base Salary</w:t>
            </w:r>
          </w:p>
        </w:tc>
        <w:tc>
          <w:tcPr>
            <w:tcW w:w="1753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1,050,000</w:t>
            </w:r>
          </w:p>
        </w:tc>
        <w:tc>
          <w:tcPr>
            <w:tcW w:w="1773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700,000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11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1517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171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24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Bonus</w:t>
            </w:r>
          </w:p>
        </w:tc>
        <w:tc>
          <w:tcPr>
            <w:tcW w:w="1753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525,000</w:t>
            </w:r>
          </w:p>
        </w:tc>
        <w:tc>
          <w:tcPr>
            <w:tcW w:w="1773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367,500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1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1517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171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24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Vesting Acceleration (4)</w:t>
            </w:r>
          </w:p>
        </w:tc>
        <w:tc>
          <w:tcPr>
            <w:tcW w:w="1753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23,124,593</w:t>
            </w:r>
          </w:p>
        </w:tc>
        <w:tc>
          <w:tcPr>
            <w:tcW w:w="1773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1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23,124,593</w:t>
            </w:r>
          </w:p>
        </w:tc>
        <w:tc>
          <w:tcPr>
            <w:tcW w:w="1517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28,912,845</w:t>
            </w:r>
          </w:p>
        </w:tc>
      </w:tr>
      <w:tr>
        <w:trPr/>
        <w:tc>
          <w:tcPr>
            <w:tcW w:w="171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24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COBRA Payments</w:t>
            </w:r>
          </w:p>
        </w:tc>
        <w:tc>
          <w:tcPr>
            <w:tcW w:w="1753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50,269</w:t>
            </w:r>
          </w:p>
        </w:tc>
        <w:tc>
          <w:tcPr>
            <w:tcW w:w="1773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33,513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1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1517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1718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24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Outplacement Services</w:t>
            </w:r>
          </w:p>
        </w:tc>
        <w:tc>
          <w:tcPr>
            <w:tcW w:w="1753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30,000</w:t>
            </w:r>
          </w:p>
        </w:tc>
        <w:tc>
          <w:tcPr>
            <w:tcW w:w="1773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11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1517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1718" w:type="dxa"/>
            <w:tcBorders>
              <w:top w:val="single" w:sz="4" w:space="0" w:color="B6B6B6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Benefit Total</w:t>
            </w:r>
          </w:p>
        </w:tc>
        <w:tc>
          <w:tcPr>
            <w:tcW w:w="1924" w:type="dxa"/>
            <w:tcBorders>
              <w:top w:val="single" w:sz="4" w:space="0" w:color="B6B6B6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53" w:type="dxa"/>
            <w:tcBorders>
              <w:top w:val="single" w:sz="4" w:space="0" w:color="B6B6B6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24,779,862</w:t>
            </w:r>
          </w:p>
        </w:tc>
        <w:tc>
          <w:tcPr>
            <w:tcW w:w="1773" w:type="dxa"/>
            <w:tcBorders>
              <w:top w:val="single" w:sz="4" w:space="0" w:color="B6B6B6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1,101,013</w:t>
            </w:r>
          </w:p>
        </w:tc>
        <w:tc>
          <w:tcPr>
            <w:tcW w:w="109" w:type="dxa"/>
            <w:tcBorders>
              <w:top w:val="single" w:sz="4" w:space="0" w:color="B6B6B6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11" w:type="dxa"/>
            <w:tcBorders>
              <w:top w:val="single" w:sz="4" w:space="0" w:color="B6B6B6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23,124,593</w:t>
            </w:r>
          </w:p>
        </w:tc>
        <w:tc>
          <w:tcPr>
            <w:tcW w:w="1517" w:type="dxa"/>
            <w:tcBorders>
              <w:top w:val="single" w:sz="4" w:space="0" w:color="B6B6B6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28,912,845</w:t>
            </w:r>
          </w:p>
        </w:tc>
      </w:tr>
      <w:tr>
        <w:trPr/>
        <w:tc>
          <w:tcPr>
            <w:tcW w:w="1718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Patrick J. Haley</w:t>
            </w:r>
          </w:p>
        </w:tc>
        <w:tc>
          <w:tcPr>
            <w:tcW w:w="1924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Base Salary</w:t>
            </w:r>
          </w:p>
        </w:tc>
        <w:tc>
          <w:tcPr>
            <w:tcW w:w="1753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939,626</w:t>
            </w:r>
          </w:p>
        </w:tc>
        <w:tc>
          <w:tcPr>
            <w:tcW w:w="1773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626,417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11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1517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171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24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Bonus</w:t>
            </w:r>
          </w:p>
        </w:tc>
        <w:tc>
          <w:tcPr>
            <w:tcW w:w="1753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469,813</w:t>
            </w:r>
          </w:p>
        </w:tc>
        <w:tc>
          <w:tcPr>
            <w:tcW w:w="1773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328,869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1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1517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171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24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Vesting Acceleration (4)</w:t>
            </w:r>
          </w:p>
        </w:tc>
        <w:tc>
          <w:tcPr>
            <w:tcW w:w="1753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20,274,375</w:t>
            </w:r>
          </w:p>
        </w:tc>
        <w:tc>
          <w:tcPr>
            <w:tcW w:w="1773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1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20,274,375</w:t>
            </w:r>
          </w:p>
        </w:tc>
        <w:tc>
          <w:tcPr>
            <w:tcW w:w="1517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27,220,286</w:t>
            </w:r>
          </w:p>
        </w:tc>
      </w:tr>
      <w:tr>
        <w:trPr/>
        <w:tc>
          <w:tcPr>
            <w:tcW w:w="171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24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COBRA Payments</w:t>
            </w:r>
          </w:p>
        </w:tc>
        <w:tc>
          <w:tcPr>
            <w:tcW w:w="1753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116,292</w:t>
            </w:r>
          </w:p>
        </w:tc>
        <w:tc>
          <w:tcPr>
            <w:tcW w:w="1773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77,528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1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1517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1718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24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Outplacement Services</w:t>
            </w:r>
          </w:p>
        </w:tc>
        <w:tc>
          <w:tcPr>
            <w:tcW w:w="1753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30,000</w:t>
            </w:r>
          </w:p>
        </w:tc>
        <w:tc>
          <w:tcPr>
            <w:tcW w:w="1773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11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1517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1718" w:type="dxa"/>
            <w:tcBorders>
              <w:top w:val="single" w:sz="4" w:space="0" w:color="B6B6B6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Benefit Total</w:t>
            </w:r>
          </w:p>
        </w:tc>
        <w:tc>
          <w:tcPr>
            <w:tcW w:w="1924" w:type="dxa"/>
            <w:tcBorders>
              <w:top w:val="single" w:sz="4" w:space="0" w:color="B6B6B6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53" w:type="dxa"/>
            <w:tcBorders>
              <w:top w:val="single" w:sz="4" w:space="0" w:color="B6B6B6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21,830,106</w:t>
            </w:r>
          </w:p>
        </w:tc>
        <w:tc>
          <w:tcPr>
            <w:tcW w:w="1773" w:type="dxa"/>
            <w:tcBorders>
              <w:top w:val="single" w:sz="4" w:space="0" w:color="B6B6B6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1,032,814</w:t>
            </w:r>
          </w:p>
        </w:tc>
        <w:tc>
          <w:tcPr>
            <w:tcW w:w="109" w:type="dxa"/>
            <w:tcBorders>
              <w:top w:val="single" w:sz="4" w:space="0" w:color="B6B6B6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11" w:type="dxa"/>
            <w:tcBorders>
              <w:top w:val="single" w:sz="4" w:space="0" w:color="B6B6B6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20,274,375</w:t>
            </w:r>
          </w:p>
        </w:tc>
        <w:tc>
          <w:tcPr>
            <w:tcW w:w="1517" w:type="dxa"/>
            <w:tcBorders>
              <w:top w:val="single" w:sz="4" w:space="0" w:color="B6B6B6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27,220,286</w:t>
            </w:r>
          </w:p>
        </w:tc>
      </w:tr>
      <w:tr>
        <w:trPr/>
        <w:tc>
          <w:tcPr>
            <w:tcW w:w="1718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 xml:space="preserve">Brenda J. Hefti, J.D.,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Ph.D.</w:t>
            </w:r>
          </w:p>
        </w:tc>
        <w:tc>
          <w:tcPr>
            <w:tcW w:w="1924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Base Salary</w:t>
            </w:r>
          </w:p>
        </w:tc>
        <w:tc>
          <w:tcPr>
            <w:tcW w:w="1753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787,500</w:t>
            </w:r>
          </w:p>
        </w:tc>
        <w:tc>
          <w:tcPr>
            <w:tcW w:w="1773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525,000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11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1517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171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24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Bonus</w:t>
            </w:r>
          </w:p>
        </w:tc>
        <w:tc>
          <w:tcPr>
            <w:tcW w:w="1753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275,625</w:t>
            </w:r>
          </w:p>
        </w:tc>
        <w:tc>
          <w:tcPr>
            <w:tcW w:w="1773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192,938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1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1517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171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24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Vesting Acceleration (4)</w:t>
            </w:r>
          </w:p>
        </w:tc>
        <w:tc>
          <w:tcPr>
            <w:tcW w:w="1753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4,587,145</w:t>
            </w:r>
          </w:p>
        </w:tc>
        <w:tc>
          <w:tcPr>
            <w:tcW w:w="1773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1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4,587,145</w:t>
            </w:r>
          </w:p>
        </w:tc>
        <w:tc>
          <w:tcPr>
            <w:tcW w:w="1517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6,092,093</w:t>
            </w:r>
          </w:p>
        </w:tc>
      </w:tr>
      <w:tr>
        <w:trPr/>
        <w:tc>
          <w:tcPr>
            <w:tcW w:w="171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24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COBRA Payments</w:t>
            </w:r>
          </w:p>
        </w:tc>
        <w:tc>
          <w:tcPr>
            <w:tcW w:w="1753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64,512</w:t>
            </w:r>
          </w:p>
        </w:tc>
        <w:tc>
          <w:tcPr>
            <w:tcW w:w="1773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43,008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1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1517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1718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24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Outplacement Services</w:t>
            </w:r>
          </w:p>
        </w:tc>
        <w:tc>
          <w:tcPr>
            <w:tcW w:w="1753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30,000</w:t>
            </w:r>
          </w:p>
        </w:tc>
        <w:tc>
          <w:tcPr>
            <w:tcW w:w="1773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11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1517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1718" w:type="dxa"/>
            <w:tcBorders>
              <w:top w:val="single" w:sz="4" w:space="0" w:color="B6B6B6"/>
              <w:bottom w:val="single" w:sz="8" w:space="0" w:color="F47521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Benefit Total</w:t>
            </w:r>
          </w:p>
        </w:tc>
        <w:tc>
          <w:tcPr>
            <w:tcW w:w="1924" w:type="dxa"/>
            <w:tcBorders>
              <w:top w:val="single" w:sz="4" w:space="0" w:color="B6B6B6"/>
              <w:bottom w:val="single" w:sz="8" w:space="0" w:color="F47521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53" w:type="dxa"/>
            <w:tcBorders>
              <w:top w:val="single" w:sz="4" w:space="0" w:color="B6B6B6"/>
              <w:bottom w:val="single" w:sz="8" w:space="0" w:color="F47521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5,744,782</w:t>
            </w:r>
          </w:p>
        </w:tc>
        <w:tc>
          <w:tcPr>
            <w:tcW w:w="1773" w:type="dxa"/>
            <w:tcBorders>
              <w:top w:val="single" w:sz="4" w:space="0" w:color="B6B6B6"/>
              <w:bottom w:val="single" w:sz="8" w:space="0" w:color="F47521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760,946</w:t>
            </w:r>
          </w:p>
        </w:tc>
        <w:tc>
          <w:tcPr>
            <w:tcW w:w="109" w:type="dxa"/>
            <w:tcBorders>
              <w:top w:val="single" w:sz="4" w:space="0" w:color="B6B6B6"/>
              <w:bottom w:val="single" w:sz="8" w:space="0" w:color="F47521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11" w:type="dxa"/>
            <w:tcBorders>
              <w:top w:val="single" w:sz="4" w:space="0" w:color="B6B6B6"/>
              <w:bottom w:val="single" w:sz="8" w:space="0" w:color="F47521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4,587,145</w:t>
            </w:r>
          </w:p>
        </w:tc>
        <w:tc>
          <w:tcPr>
            <w:tcW w:w="1517" w:type="dxa"/>
            <w:tcBorders>
              <w:top w:val="single" w:sz="4" w:space="0" w:color="B6B6B6"/>
              <w:bottom w:val="single" w:sz="8" w:space="0" w:color="F47521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6,092,093</w:t>
            </w:r>
          </w:p>
        </w:tc>
      </w:tr>
    </w:tbl>
    <w:tbl>
      <w:tblPr>
        <w:tblW w:w="268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176"/>
        <w:gridCol w:w="511"/>
      </w:tblGrid>
      <w:tr>
        <w:trPr/>
        <w:tc>
          <w:tcPr>
            <w:tcW w:w="21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7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40404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404040"/>
                <w:sz w:val="18"/>
                <w:u w:val="none"/>
                <w:effect w:val="none"/>
              </w:rPr>
              <w:t>2026 Proxy Statement</w:t>
            </w:r>
          </w:p>
        </w:tc>
        <w:tc>
          <w:tcPr>
            <w:tcW w:w="51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  <w:t>101</w:t>
            </w:r>
          </w:p>
        </w:tc>
      </w:tr>
    </w:tbl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661"/>
        <w:gridCol w:w="8544"/>
      </w:tblGrid>
      <w:tr>
        <w:trPr/>
        <w:tc>
          <w:tcPr>
            <w:tcW w:w="16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4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6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6d44722bfc2543dbbba9716d9e560c58_16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color w:val="0000FF"/>
                  <w:sz w:val="18"/>
                  <w:u w:val="single"/>
                </w:rPr>
                <w:t>Table of Contents</w:t>
              </w:r>
            </w:hyperlink>
          </w:p>
        </w:tc>
        <w:tc>
          <w:tcPr>
            <w:tcW w:w="8544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Compensation of Executive Officers 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C4C02"/>
                <w:sz w:val="18"/>
                <w:u w:val="none"/>
                <w:effect w:val="none"/>
              </w:rPr>
              <w:t>|</w:t>
            </w: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 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Potential Payments Upon Termination or Change in Control</w:t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(1)These benefits would be payable under the Change in Control and Severance Benefit Plan if the Covered Termination occurred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within the Change in Control Period, or under the award agreements of the One-Time PSU Awards, if a termination without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cause (other than due to death or disability) or for good reason occurred within the Change in Control Period, in connection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with a change in control that is not a Control Acquisition. The amounts shown in this column do not include any value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associated with the extension, if any, of the post-termination exercise period provided for in the Change in Control and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Severance Benefit Plan. As the change in control is not a Control Acquisition, and the Stock-Price Performance Condition was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not satisfied as of January 2, 2026, the One-Time PSU Awards would be forfeited, and the vesting acceleration benefit for each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>NEO with respect to the One-Time PSU Awards would be $0.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(2)These benefits would be payable under the Change in Control and Severance Benefit Plan if the Covered Termination occurred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outside of the Change in Control Period, or under the award agreements of the One-Time PSU Awards, if a termination without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cause (other than due to death or disability) or for good reason occurred outside of the Change in Control Period. For purposes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of the bonus payments described in this column, the amount for each NEO is calculated based on the Compensation </w:t>
      </w:r>
    </w:p>
    <w:p>
      <w:pPr>
        <w:pStyle w:val="TextBody"/>
        <w:bidi w:val="0"/>
        <w:spacing w:lineRule="atLeast" w:line="180" w:before="0" w:after="0"/>
        <w:jc w:val="left"/>
        <w:rPr>
          <w:sz w:val="24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>Committee’s corporate performance determination of</w:t>
      </w:r>
      <w:r>
        <w:rPr>
          <w:caps w:val="false"/>
          <w:smallCaps w:val="false"/>
          <w:strike w:val="false"/>
          <w:dstrike w:val="false"/>
          <w:color w:val="3F3F3F"/>
          <w:sz w:val="24"/>
          <w:u w:val="none"/>
          <w:effect w:val="none"/>
        </w:rPr>
        <w:t xml:space="preserve">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>105%</w:t>
      </w:r>
      <w:r>
        <w:rPr>
          <w:caps w:val="false"/>
          <w:smallCaps w:val="false"/>
          <w:strike w:val="false"/>
          <w:dstrike w:val="false"/>
          <w:color w:val="3F3F3F"/>
          <w:sz w:val="24"/>
          <w:u w:val="none"/>
          <w:effect w:val="none"/>
        </w:rPr>
        <w:t xml:space="preserve">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achievement with respect to the pre-determined corporate goals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under the Annual Cash Bonus Plan for fiscal 2025, and without regard to any individual performance determination or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discretionary bonus payments.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(3)These benefits would be payable under the 2017 Plan (including the award agreements of the One-Time PSU Awards) if a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successor corporation does not assume outstanding stock awards in a change in control transaction that is not a Control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Acquisition and the NEOs do not terminate employment in connection with such a transaction or event. </w:t>
      </w:r>
    </w:p>
    <w:p>
      <w:pPr>
        <w:pStyle w:val="TextBody"/>
        <w:bidi w:val="0"/>
        <w:spacing w:lineRule="atLeast" w:line="180" w:before="0" w:after="0"/>
        <w:jc w:val="left"/>
        <w:rPr>
          <w:caps w:val="false"/>
          <w:smallCaps w:val="false"/>
          <w:strike w:val="false"/>
          <w:dstrike w:val="false"/>
          <w:color w:val="3F3F3F"/>
          <w:u w:val="none"/>
          <w:effect w:val="none"/>
        </w:rPr>
      </w:pPr>
      <w:r>
        <w:rPr>
          <w:caps w:val="false"/>
          <w:smallCaps w:val="false"/>
          <w:strike w:val="false"/>
          <w:dstrike w:val="false"/>
          <w:color w:val="3F3F3F"/>
          <w:u w:val="none"/>
          <w:effect w:val="none"/>
        </w:rPr>
        <w:t xml:space="preserve">       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In addition, if a successor corporation does assume outstanding stock awards in a change in control transaction and the NEOs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do not terminate employment in connection with such a transaction, then each NEO’s then-outstanding PSU awards (excluding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the One-Time PSU Awards) will be revised in a manner as though the target number of shares subject to such PSUs had been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subject solely to a time-based vesting schedule pursuant to which one third of the target number of shares subject to such PSUs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would have vested on each of the first three anniversaries of the date the PSUs were granted, subject to the NEO’s continuous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service through the applicable vesting date (with any portion that would have vested on or prior to the change in control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transaction under such vesting schedule becoming vested on the date of the change in control transaction and any portion that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is unvested following the date of the change in control transaction vesting in accordance with such vesting schedule). With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respect to PSU awards granted in February 2025, the vesting acceleration benefit for each NEO would be $0 because the first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anniversary of the grant date had not yet occurred as of January 2, 2026. With respect to the One-Time PSU Awards granted in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March 2025, if the Stock-Price Performance Condition was satisfied in connection with such change in control transaction, the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vesting of unvested One-Time PSU Awards would not accelerate, and the One-Time PSU Awards would remain subject to the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Time-Based Service Requirement for the remainder of the One-Time PSU Performance Period, and if the Stock-Price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Performance Condition was not met, the One-Time PSU Awards will be forfeited. For the One-Time PSU Awards granted in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March 2025, the Stock-Price Performance Condition had not been satisfied as of January 2, 2026, assuming the change in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control stock price is $43.58, the closing sale price per share of our common stock on January 2, 2026, the vesting acceleration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benefit for each NEO would be $0 in a change in control that is not a Control Acquisition. With respect to PSU awards granted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>during fiscal 2022, fiscal 2023 and fiscal 2024, the vesting acceleration benefit for each NEO would be as follows:</w:t>
      </w:r>
    </w:p>
    <w:tbl>
      <w:tblPr>
        <w:tblW w:w="9574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791"/>
        <w:gridCol w:w="2206"/>
        <w:gridCol w:w="2206"/>
        <w:gridCol w:w="2371"/>
      </w:tblGrid>
      <w:tr>
        <w:trPr/>
        <w:tc>
          <w:tcPr>
            <w:tcW w:w="27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791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Name</w:t>
            </w:r>
          </w:p>
        </w:tc>
        <w:tc>
          <w:tcPr>
            <w:tcW w:w="2206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Vesting Acceleration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FFFFF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FFFFFF"/>
                <w:u w:val="none"/>
                <w:effect w:val="none"/>
              </w:rPr>
              <w:t> </w:t>
            </w: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 xml:space="preserve">Benefit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for Outstanding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 xml:space="preserve">PSUs Granted in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2022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($)</w:t>
            </w:r>
          </w:p>
        </w:tc>
        <w:tc>
          <w:tcPr>
            <w:tcW w:w="2206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Vesting Acceleration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FFFFF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FFFFFF"/>
                <w:u w:val="none"/>
                <w:effect w:val="none"/>
              </w:rPr>
              <w:t> </w:t>
            </w: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Benefit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for Outstanding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 xml:space="preserve">PSUs Granted in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2023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($)</w:t>
            </w:r>
          </w:p>
        </w:tc>
        <w:tc>
          <w:tcPr>
            <w:tcW w:w="2371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Vesting Acceleration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FFFFF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FFFFFF"/>
                <w:u w:val="none"/>
                <w:effect w:val="none"/>
              </w:rPr>
              <w:t> </w:t>
            </w: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Benefit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for Outstanding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PSUs Granted in 2024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($)</w:t>
            </w:r>
          </w:p>
        </w:tc>
      </w:tr>
      <w:tr>
        <w:trPr/>
        <w:tc>
          <w:tcPr>
            <w:tcW w:w="2791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Michael M. Morrissey, Ph.D.</w:t>
            </w:r>
          </w:p>
        </w:tc>
        <w:tc>
          <w:tcPr>
            <w:tcW w:w="2206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10,311,638</w:t>
            </w:r>
          </w:p>
        </w:tc>
        <w:tc>
          <w:tcPr>
            <w:tcW w:w="2206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15,923,348</w:t>
            </w:r>
          </w:p>
        </w:tc>
        <w:tc>
          <w:tcPr>
            <w:tcW w:w="2371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3,510,630</w:t>
            </w:r>
          </w:p>
        </w:tc>
      </w:tr>
      <w:tr>
        <w:trPr/>
        <w:tc>
          <w:tcPr>
            <w:tcW w:w="279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Christopher J. Senner</w:t>
            </w:r>
          </w:p>
        </w:tc>
        <w:tc>
          <w:tcPr>
            <w:tcW w:w="220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2,897,503</w:t>
            </w:r>
          </w:p>
        </w:tc>
        <w:tc>
          <w:tcPr>
            <w:tcW w:w="220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4,342,703</w:t>
            </w:r>
          </w:p>
        </w:tc>
        <w:tc>
          <w:tcPr>
            <w:tcW w:w="237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1,192,915</w:t>
            </w:r>
          </w:p>
        </w:tc>
      </w:tr>
      <w:tr>
        <w:trPr/>
        <w:tc>
          <w:tcPr>
            <w:tcW w:w="279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Dana T. Aftab, Ph.D.</w:t>
            </w:r>
          </w:p>
        </w:tc>
        <w:tc>
          <w:tcPr>
            <w:tcW w:w="220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2,268,470</w:t>
            </w:r>
          </w:p>
        </w:tc>
        <w:tc>
          <w:tcPr>
            <w:tcW w:w="220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3,474,110</w:t>
            </w:r>
          </w:p>
        </w:tc>
        <w:tc>
          <w:tcPr>
            <w:tcW w:w="237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920,235</w:t>
            </w:r>
          </w:p>
        </w:tc>
      </w:tr>
      <w:tr>
        <w:trPr/>
        <w:tc>
          <w:tcPr>
            <w:tcW w:w="279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Patrick J. Haley</w:t>
            </w:r>
          </w:p>
        </w:tc>
        <w:tc>
          <w:tcPr>
            <w:tcW w:w="220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2,696,556</w:t>
            </w:r>
          </w:p>
        </w:tc>
        <w:tc>
          <w:tcPr>
            <w:tcW w:w="220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4,053,158</w:t>
            </w:r>
          </w:p>
        </w:tc>
        <w:tc>
          <w:tcPr>
            <w:tcW w:w="237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920,235</w:t>
            </w:r>
          </w:p>
        </w:tc>
      </w:tr>
      <w:tr>
        <w:trPr/>
        <w:tc>
          <w:tcPr>
            <w:tcW w:w="2791" w:type="dxa"/>
            <w:tcBorders>
              <w:top w:val="single" w:sz="4" w:space="0" w:color="B6B6B6"/>
              <w:bottom w:val="single" w:sz="8" w:space="0" w:color="F47521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Brenda J. Hefti, J.D., Ph.D.</w:t>
            </w:r>
          </w:p>
        </w:tc>
        <w:tc>
          <w:tcPr>
            <w:tcW w:w="2206" w:type="dxa"/>
            <w:tcBorders>
              <w:top w:val="single" w:sz="4" w:space="0" w:color="B6B6B6"/>
              <w:bottom w:val="single" w:sz="8" w:space="0" w:color="F47521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644,505</w:t>
            </w:r>
          </w:p>
        </w:tc>
        <w:tc>
          <w:tcPr>
            <w:tcW w:w="2206" w:type="dxa"/>
            <w:tcBorders>
              <w:top w:val="single" w:sz="4" w:space="0" w:color="B6B6B6"/>
              <w:bottom w:val="single" w:sz="8" w:space="0" w:color="F47521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2371" w:type="dxa"/>
            <w:tcBorders>
              <w:top w:val="single" w:sz="4" w:space="0" w:color="B6B6B6"/>
              <w:bottom w:val="single" w:sz="8" w:space="0" w:color="F47521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207,310</w:t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(4)Assumes that the triggering event occurred on January 2, 2026, the last business day of our last fiscal year, when the closing </w:t>
      </w:r>
    </w:p>
    <w:p>
      <w:pPr>
        <w:pStyle w:val="TextBody"/>
        <w:bidi w:val="0"/>
        <w:spacing w:lineRule="atLeast" w:line="180" w:before="0" w:after="0"/>
        <w:jc w:val="left"/>
        <w:rPr>
          <w:sz w:val="24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>sale price per share of our common stock was $43.58. The amount of the vesting acceleration is determined by:</w:t>
      </w:r>
      <w:r>
        <w:rPr>
          <w:caps w:val="false"/>
          <w:smallCaps w:val="false"/>
          <w:strike w:val="false"/>
          <w:dstrike w:val="false"/>
          <w:color w:val="3F3F3F"/>
          <w:sz w:val="24"/>
          <w:u w:val="none"/>
          <w:effect w:val="none"/>
        </w:rPr>
        <w:t xml:space="preserve">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(i) aggregating </w:t>
      </w:r>
    </w:p>
    <w:p>
      <w:pPr>
        <w:pStyle w:val="TextBody"/>
        <w:bidi w:val="0"/>
        <w:spacing w:lineRule="atLeast" w:line="180" w:before="0" w:after="0"/>
        <w:jc w:val="left"/>
        <w:rPr>
          <w:sz w:val="24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>for all accelerated options, the amount equal to (A) the excess, if any, of $43.58</w:t>
      </w:r>
      <w:r>
        <w:rPr>
          <w:caps w:val="false"/>
          <w:smallCaps w:val="false"/>
          <w:strike w:val="false"/>
          <w:dstrike w:val="false"/>
          <w:color w:val="3F3F3F"/>
          <w:sz w:val="24"/>
          <w:u w:val="none"/>
          <w:effect w:val="none"/>
        </w:rPr>
        <w:t xml:space="preserve">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over the relevant exercise price of the option,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multiplied by (B) the number of shares underlying unvested options at such exercise price as of January 2, 2026; and (ii) </w:t>
      </w:r>
    </w:p>
    <w:p>
      <w:pPr>
        <w:pStyle w:val="TextBody"/>
        <w:bidi w:val="0"/>
        <w:spacing w:lineRule="atLeast" w:line="180" w:before="0" w:after="0"/>
        <w:jc w:val="left"/>
        <w:rPr>
          <w:sz w:val="24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>aggregating for all accelerated RSUs and PSUs, the amount equal to (X) $43.58</w:t>
      </w:r>
      <w:r>
        <w:rPr>
          <w:caps w:val="false"/>
          <w:smallCaps w:val="false"/>
          <w:strike w:val="false"/>
          <w:dstrike w:val="false"/>
          <w:color w:val="3F3F3F"/>
          <w:sz w:val="24"/>
          <w:u w:val="none"/>
          <w:effect w:val="none"/>
        </w:rPr>
        <w:t xml:space="preserve">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multiplied by (Y) the number of shares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>underlying the unvested RSUs and PSUs at target.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(5)The benefits below would be payable under the 2017 Plan (including the award agreements of the One-Time PSU Awards) if a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Control Acquisition occurred. With respect to One-Time PSU Awards granted to each NEO, which will vest in full in the event of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>a Control Acquisition, the vesting acceleration benefit for each NEO if a Control Acquisition occurred would be as follows:</w:t>
      </w:r>
    </w:p>
    <w:tbl>
      <w:tblPr>
        <w:tblW w:w="186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81"/>
        <w:gridCol w:w="1381"/>
      </w:tblGrid>
      <w:tr>
        <w:trPr/>
        <w:tc>
          <w:tcPr>
            <w:tcW w:w="4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8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  <w:t>102</w:t>
            </w:r>
          </w:p>
        </w:tc>
        <w:tc>
          <w:tcPr>
            <w:tcW w:w="138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Exelixis, Inc.</w:t>
            </w:r>
          </w:p>
        </w:tc>
      </w:tr>
    </w:tbl>
    <w:tbl>
      <w:tblPr>
        <w:tblW w:w="1850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696"/>
        <w:gridCol w:w="154"/>
      </w:tblGrid>
      <w:tr>
        <w:trPr/>
        <w:tc>
          <w:tcPr>
            <w:tcW w:w="16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9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6d44722bfc2543dbbba9716d9e560c58_16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color w:val="0000FF"/>
                  <w:sz w:val="18"/>
                  <w:u w:val="single"/>
                </w:rPr>
                <w:t>Table of Contents</w:t>
              </w:r>
            </w:hyperlink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89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791"/>
        <w:gridCol w:w="3106"/>
      </w:tblGrid>
      <w:tr>
        <w:trPr/>
        <w:tc>
          <w:tcPr>
            <w:tcW w:w="27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791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Name</w:t>
            </w:r>
          </w:p>
        </w:tc>
        <w:tc>
          <w:tcPr>
            <w:tcW w:w="3106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 xml:space="preserve">Vesting Acceleration Benefit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for Outstanding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 xml:space="preserve">One-Time PSU Awards in a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Control Acquisition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($)</w:t>
            </w:r>
          </w:p>
        </w:tc>
      </w:tr>
      <w:tr>
        <w:trPr/>
        <w:tc>
          <w:tcPr>
            <w:tcW w:w="2791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Michael M. Morrissey, Ph.D.</w:t>
            </w:r>
          </w:p>
        </w:tc>
        <w:tc>
          <w:tcPr>
            <w:tcW w:w="3106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25,699,954</w:t>
            </w:r>
          </w:p>
        </w:tc>
      </w:tr>
      <w:tr>
        <w:trPr/>
        <w:tc>
          <w:tcPr>
            <w:tcW w:w="279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Christopher J. Senner</w:t>
            </w:r>
          </w:p>
        </w:tc>
        <w:tc>
          <w:tcPr>
            <w:tcW w:w="310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7,408,992</w:t>
            </w:r>
          </w:p>
        </w:tc>
      </w:tr>
      <w:tr>
        <w:trPr/>
        <w:tc>
          <w:tcPr>
            <w:tcW w:w="279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Dana T. Aftab, Ph.D.</w:t>
            </w:r>
          </w:p>
        </w:tc>
        <w:tc>
          <w:tcPr>
            <w:tcW w:w="310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5,788,252</w:t>
            </w:r>
          </w:p>
        </w:tc>
      </w:tr>
      <w:tr>
        <w:trPr/>
        <w:tc>
          <w:tcPr>
            <w:tcW w:w="279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Patrick J. Haley</w:t>
            </w:r>
          </w:p>
        </w:tc>
        <w:tc>
          <w:tcPr>
            <w:tcW w:w="310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6,945,911</w:t>
            </w:r>
          </w:p>
        </w:tc>
      </w:tr>
      <w:tr>
        <w:trPr/>
        <w:tc>
          <w:tcPr>
            <w:tcW w:w="2791" w:type="dxa"/>
            <w:tcBorders>
              <w:top w:val="single" w:sz="4" w:space="0" w:color="B6B6B6"/>
              <w:bottom w:val="single" w:sz="8" w:space="0" w:color="F47521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Brenda J. Hefti, J.D., Ph.D.</w:t>
            </w:r>
          </w:p>
        </w:tc>
        <w:tc>
          <w:tcPr>
            <w:tcW w:w="3106" w:type="dxa"/>
            <w:tcBorders>
              <w:top w:val="single" w:sz="4" w:space="0" w:color="B6B6B6"/>
              <w:bottom w:val="single" w:sz="8" w:space="0" w:color="F47521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1,504,948</w:t>
            </w:r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F47521"/>
          <w:sz w:val="2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F47521"/>
          <w:sz w:val="28"/>
          <w:u w:val="none"/>
          <w:effect w:val="none"/>
        </w:rPr>
        <w:t>CEO Pay Ratio</w:t>
      </w:r>
    </w:p>
    <w:tbl>
      <w:tblPr>
        <w:tblW w:w="169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69"/>
      </w:tblGrid>
      <w:tr>
        <w:trPr/>
        <w:tc>
          <w:tcPr>
            <w:tcW w:w="16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9" w:type="dxa"/>
            <w:tcBorders>
              <w:top w:val="single" w:sz="8" w:space="0" w:color="F47521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We believe that we provide fair and equitable compensation to our employees through a combination of competitive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base pay, incentives, retirement plans and other benefits. In accordance with Item 402(u) of Regulation S-K,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promulgated by the Dodd Frank Act, we determined the ratio of: (a) the annual total compensation of our Chief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Executive Officer; to (b) the median of the annual total compensation of all of our employees (including employees of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our consolidated subsidiaries), except for our Chief Executive Officer, both calculated in accordance with the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requirements of Item 402(c)(2)(x) of Regulation S-K.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To determine the median of the annual total compensation of all of our employees, we were required to identify the </w:t>
      </w:r>
    </w:p>
    <w:p>
      <w:pPr>
        <w:pStyle w:val="TextBody"/>
        <w:bidi w:val="0"/>
        <w:spacing w:lineRule="atLeast" w:line="200" w:before="0" w:after="0"/>
        <w:jc w:val="left"/>
        <w:rPr>
          <w:caps w:val="false"/>
          <w:smallCaps w:val="false"/>
          <w:strike w:val="false"/>
          <w:dstrike w:val="false"/>
          <w:color w:val="3F3F3F"/>
          <w:u w:val="none"/>
          <w:effect w:val="none"/>
        </w:rPr>
      </w:pPr>
      <w:r>
        <w:rPr>
          <w:caps w:val="false"/>
          <w:smallCaps w:val="false"/>
          <w:strike w:val="false"/>
          <w:dstrike w:val="false"/>
          <w:color w:val="3F3F3F"/>
          <w:u w:val="none"/>
          <w:effect w:val="none"/>
        </w:rPr>
        <w:t>“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median employee” of our workforce, without regard to his or her location or employment status (full-time or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part-time).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Consistent with the process we adopted for prior fiscal years, to determine the median of the annual total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compensation of all our employees, except for our Chief Executive Officer, we used the following methodology: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3F3F3F"/>
          <w:u w:val="none"/>
          <w:effect w:val="none"/>
        </w:rPr>
        <w:t>›</w:t>
      </w:r>
      <w:r>
        <w:rPr>
          <w:caps w:val="false"/>
          <w:smallCaps w:val="false"/>
          <w:strike w:val="false"/>
          <w:dstrike w:val="false"/>
          <w:color w:val="FC7841"/>
          <w:u w:val="none"/>
          <w:effect w:val="none"/>
        </w:rPr>
        <w:t>›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To identify our employee population, we used tax and payroll records to determine all full-time and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part-time employees, excluding our Chief Executive Officer, who were employed as of October 31, 2025.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3F3F3F"/>
          <w:u w:val="none"/>
          <w:effect w:val="none"/>
        </w:rPr>
        <w:t>›</w:t>
      </w:r>
      <w:r>
        <w:rPr>
          <w:caps w:val="false"/>
          <w:smallCaps w:val="false"/>
          <w:strike w:val="false"/>
          <w:dstrike w:val="false"/>
          <w:color w:val="FC7841"/>
          <w:u w:val="none"/>
          <w:effect w:val="none"/>
        </w:rPr>
        <w:t>›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To identify the median employee with respect to annual total compensation of all of our employees, we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calculated each employee’s “target total direct compensation,” which consists of: (i) fiscal 2025</w:t>
      </w:r>
      <w:r>
        <w:rPr>
          <w:caps w:val="false"/>
          <w:smallCaps w:val="false"/>
          <w:strike w:val="false"/>
          <w:dstrike w:val="false"/>
          <w:color w:val="3F3F3F"/>
          <w:sz w:val="24"/>
          <w:u w:val="none"/>
          <w:effect w:val="none"/>
        </w:rPr>
        <w:t xml:space="preserve">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base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salary (using a reasonable estimate of the hours worked and overtime actually paid during fiscal 2025</w:t>
      </w:r>
      <w:r>
        <w:rPr>
          <w:caps w:val="false"/>
          <w:smallCaps w:val="false"/>
          <w:strike w:val="false"/>
          <w:dstrike w:val="false"/>
          <w:color w:val="3F3F3F"/>
          <w:sz w:val="24"/>
          <w:u w:val="none"/>
          <w:effect w:val="none"/>
        </w:rPr>
        <w:t xml:space="preserve">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for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hourly employees); (ii) target cash bonus; and (iii) the grant date fair value of any equity awards granted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during fiscal 2025</w:t>
      </w:r>
      <w:r>
        <w:rPr>
          <w:caps w:val="false"/>
          <w:smallCaps w:val="false"/>
          <w:strike w:val="false"/>
          <w:dstrike w:val="false"/>
          <w:color w:val="3F3F3F"/>
          <w:sz w:val="24"/>
          <w:u w:val="none"/>
          <w:effect w:val="none"/>
        </w:rPr>
        <w:t xml:space="preserve">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(using the same methodology that we use for estimating the value of the equity awards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granted to our NEOs and reported in our Summary Compensation Table).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3F3F3F"/>
          <w:u w:val="none"/>
          <w:effect w:val="none"/>
        </w:rPr>
        <w:t>›</w:t>
      </w:r>
      <w:r>
        <w:rPr>
          <w:caps w:val="false"/>
          <w:smallCaps w:val="false"/>
          <w:strike w:val="false"/>
          <w:dstrike w:val="false"/>
          <w:color w:val="FC7841"/>
          <w:u w:val="none"/>
          <w:effect w:val="none"/>
        </w:rPr>
        <w:t>›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In making this determination, we annualized the base salary and target cash bonus for all full-time and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part-time employees who were employed by us for less than the entirety of fiscal 2025.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Once our representative median employee was identified in the manner described above, we calculated the annual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total compensation of the representative median employee using the same methodology that we used to determine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the annual total compensation of our Chief Executive Officer, as reported in the Summary Compensation Table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included in this Proxy Statement. For fiscal 2025, the median of the annual total compensation of our employees (other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than our Chief Executive Officer) was $410,693 and the annual total compensation of our Chief Executive Officer, as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reported in the Summary Compensation Table included in this Proxy Statement, was $33,239,183. Based on this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information, our CEO Pay Ratio for fiscal 2025</w:t>
      </w:r>
      <w:r>
        <w:rPr>
          <w:caps w:val="false"/>
          <w:smallCaps w:val="false"/>
          <w:strike w:val="false"/>
          <w:dstrike w:val="false"/>
          <w:color w:val="3F3F3F"/>
          <w:sz w:val="24"/>
          <w:u w:val="none"/>
          <w:effect w:val="none"/>
        </w:rPr>
        <w:t xml:space="preserve">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was 81 to 1.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This CEO Pay Ratio represents our reasonable estimate calculated in a manner consistent with Item 402(u) of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Regulation S-K and applicable guidance, which provide significant flexibility in how companies identify the median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employee. Each company may use a different methodology and make different assumptions particular to that company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and apply certain exclusions. As a result, and as explained by the SEC when it adopted these rules, in considering this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CEO Pay Ratio disclosure, stockholders should keep in mind that the rule was not designed to facilitate comparisons of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CEO Pay Ratios among different companies, even companies within the same industry, but rather to allow stockholders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to better understand and assess each particular company’s compensation practices and CEO Pay Ratio disclosures. </w:t>
      </w:r>
    </w:p>
    <w:tbl>
      <w:tblPr>
        <w:tblW w:w="268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176"/>
        <w:gridCol w:w="511"/>
      </w:tblGrid>
      <w:tr>
        <w:trPr/>
        <w:tc>
          <w:tcPr>
            <w:tcW w:w="21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7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40404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404040"/>
                <w:sz w:val="18"/>
                <w:u w:val="none"/>
                <w:effect w:val="none"/>
              </w:rPr>
              <w:t>2026 Proxy Statement</w:t>
            </w:r>
          </w:p>
        </w:tc>
        <w:tc>
          <w:tcPr>
            <w:tcW w:w="51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  <w:t>103</w:t>
            </w:r>
          </w:p>
        </w:tc>
      </w:tr>
    </w:tbl>
    <w:tbl>
      <w:tblPr>
        <w:tblW w:w="747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696"/>
        <w:gridCol w:w="5776"/>
      </w:tblGrid>
      <w:tr>
        <w:trPr/>
        <w:tc>
          <w:tcPr>
            <w:tcW w:w="16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9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6d44722bfc2543dbbba9716d9e560c58_16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color w:val="0000FF"/>
                  <w:sz w:val="18"/>
                  <w:u w:val="single"/>
                </w:rPr>
                <w:t>Table of Contents</w:t>
              </w:r>
            </w:hyperlink>
          </w:p>
        </w:tc>
        <w:tc>
          <w:tcPr>
            <w:tcW w:w="577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Compensation of Executive Officers 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C4C02"/>
                <w:sz w:val="18"/>
                <w:u w:val="none"/>
                <w:effect w:val="none"/>
              </w:rPr>
              <w:t>|</w:t>
            </w: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 xml:space="preserve">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 xml:space="preserve">Pay Versus Performance 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Neither the Compensation Committee nor our management used our fiscal CEO Pay Ratio for fiscal 2025</w:t>
      </w:r>
      <w:r>
        <w:rPr>
          <w:caps w:val="false"/>
          <w:smallCaps w:val="false"/>
          <w:strike w:val="false"/>
          <w:dstrike w:val="false"/>
          <w:color w:val="3F3F3F"/>
          <w:sz w:val="24"/>
          <w:u w:val="none"/>
          <w:effect w:val="none"/>
        </w:rPr>
        <w:t xml:space="preserve">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in making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compensation decisions.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F47521"/>
          <w:sz w:val="2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F47521"/>
          <w:sz w:val="28"/>
          <w:u w:val="none"/>
          <w:effect w:val="none"/>
        </w:rPr>
        <w:t xml:space="preserve">Pay Versus Performance </w:t>
      </w:r>
    </w:p>
    <w:tbl>
      <w:tblPr>
        <w:tblW w:w="169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69"/>
      </w:tblGrid>
      <w:tr>
        <w:trPr/>
        <w:tc>
          <w:tcPr>
            <w:tcW w:w="16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9" w:type="dxa"/>
            <w:tcBorders>
              <w:top w:val="single" w:sz="8" w:space="0" w:color="F47521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As required by Section 953(a) of the Dodd-Frank Wall Street Reform and Consumer Protection Act and Item 402(v) of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Regulation S-K, this section provides information about the relationship between compensation reported in the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Summary Compensation Table and “compensation actually paid,” as calculated under the SEC’s rules, to our principal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executive officer (PEO) and our non-PEO NEOs, as well as certain financial performance measures. The disclosure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covers our five most recent fiscal years. The disclosure included in this section is prescribed by SEC rules and does not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necessarily align with how our company or the Compensation Committee view the link between our company’s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performance and executive compensation for our PEO and our non-PEO NEOs. For additional information about our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pay-for-performance philosophy and how we align executive compensation with company performance, please refer to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the “</w:t>
      </w:r>
      <w:hyperlink w:anchor="i6d44722bfc2543dbbba9716d9e560c58_127">
        <w:r>
          <w:rPr>
            <w:rStyle w:val="InternetLink"/>
            <w:rFonts w:ascii="sans-serif" w:hAnsi="sans-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Compensation Discussion and Analysis</w:t>
        </w:r>
      </w:hyperlink>
      <w:r>
        <w:rPr>
          <w:caps w:val="false"/>
          <w:smallCaps w:val="false"/>
          <w:strike w:val="false"/>
          <w:dstrike w:val="false"/>
          <w:color w:val="3F3F3F"/>
          <w:u w:val="none"/>
          <w:effect w:val="none"/>
        </w:rPr>
        <w:t xml:space="preserve">”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section of this Proxy Statement.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/>
          <w:i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/>
          <w:i/>
          <w:strike w:val="false"/>
          <w:dstrike w:val="false"/>
          <w:color w:val="3F3F3F"/>
          <w:sz w:val="20"/>
          <w:u w:val="none"/>
          <w:effect w:val="none"/>
        </w:rPr>
        <w:t xml:space="preserve">Required Tabular Disclosure of Pay Versus Performance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The amounts set forth below under the headings “Compensation Actually Paid to PEO” and “Average Compensation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Actually Paid to Non-PEO NEOs” have been calculated in a manner consistent with Item 402(v) of Regulation S-K. Use of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the term “compensation actually paid” is required by the SEC’s rules and, as a result of the calculation methodology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required by the SEC, such amounts differ from compensation actually received by the individuals and the compensation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decisions described in the “</w:t>
      </w:r>
      <w:hyperlink w:anchor="i6d44722bfc2543dbbba9716d9e560c58_127">
        <w:r>
          <w:rPr>
            <w:rStyle w:val="InternetLink"/>
            <w:rFonts w:ascii="sans-serif" w:hAnsi="sans-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Compensation Discussion and Analysis</w:t>
        </w:r>
      </w:hyperlink>
      <w:r>
        <w:rPr>
          <w:caps w:val="false"/>
          <w:smallCaps w:val="false"/>
          <w:strike w:val="false"/>
          <w:dstrike w:val="false"/>
          <w:color w:val="3F3F3F"/>
          <w:u w:val="none"/>
          <w:effect w:val="none"/>
        </w:rPr>
        <w:t xml:space="preserve">”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section of this Proxy Statement.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Pay Versus Performance </w:t>
      </w:r>
    </w:p>
    <w:tbl>
      <w:tblPr>
        <w:tblW w:w="11334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01"/>
        <w:gridCol w:w="1486"/>
        <w:gridCol w:w="1441"/>
        <w:gridCol w:w="1486"/>
        <w:gridCol w:w="1441"/>
        <w:gridCol w:w="1231"/>
        <w:gridCol w:w="1231"/>
        <w:gridCol w:w="1156"/>
        <w:gridCol w:w="1261"/>
      </w:tblGrid>
      <w:tr>
        <w:trPr/>
        <w:tc>
          <w:tcPr>
            <w:tcW w:w="6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601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86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41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86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41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62" w:type="dxa"/>
            <w:gridSpan w:val="2"/>
            <w:tcBorders>
              <w:bottom w:val="single" w:sz="8" w:space="0" w:color="FFFFFF"/>
            </w:tcBorders>
            <w:shd w:fill="F47521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Value of Initial Fixed $100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Investment Based On:</w:t>
            </w:r>
          </w:p>
        </w:tc>
        <w:tc>
          <w:tcPr>
            <w:tcW w:w="1156" w:type="dxa"/>
            <w:vMerge w:val="restart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Net Income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(millions)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($)</w:t>
            </w:r>
          </w:p>
        </w:tc>
        <w:tc>
          <w:tcPr>
            <w:tcW w:w="1261" w:type="dxa"/>
            <w:vMerge w:val="restart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Net Product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Revenues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(millions)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($)(5)</w:t>
            </w:r>
          </w:p>
        </w:tc>
      </w:tr>
      <w:tr>
        <w:trPr/>
        <w:tc>
          <w:tcPr>
            <w:tcW w:w="601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Year</w:t>
            </w:r>
          </w:p>
        </w:tc>
        <w:tc>
          <w:tcPr>
            <w:tcW w:w="1486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Summary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Compensation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Table Total for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PEO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($)(1)</w:t>
            </w:r>
          </w:p>
        </w:tc>
        <w:tc>
          <w:tcPr>
            <w:tcW w:w="1441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Compensation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Actually Paid to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PEO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($)(1)(2)</w:t>
            </w:r>
          </w:p>
        </w:tc>
        <w:tc>
          <w:tcPr>
            <w:tcW w:w="1486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Average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Summary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Compensation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Table Total for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Non-PEO NEOs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($)(1)</w:t>
            </w:r>
          </w:p>
        </w:tc>
        <w:tc>
          <w:tcPr>
            <w:tcW w:w="1441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Average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Compensation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Actually Paid to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Non-PEO NEOs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($)(1)(2)</w:t>
            </w:r>
          </w:p>
        </w:tc>
        <w:tc>
          <w:tcPr>
            <w:tcW w:w="1231" w:type="dxa"/>
            <w:tcBorders>
              <w:top w:val="single" w:sz="8" w:space="0" w:color="FFFFFF"/>
            </w:tcBorders>
            <w:shd w:fill="F47521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Total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Stockholder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Return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($)(3)</w:t>
            </w:r>
          </w:p>
        </w:tc>
        <w:tc>
          <w:tcPr>
            <w:tcW w:w="1231" w:type="dxa"/>
            <w:tcBorders>
              <w:top w:val="single" w:sz="8" w:space="0" w:color="FFFFFF"/>
            </w:tcBorders>
            <w:shd w:fill="F47521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Peer Group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Total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Stockholder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Return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($)(4)</w:t>
            </w:r>
          </w:p>
        </w:tc>
        <w:tc>
          <w:tcPr>
            <w:tcW w:w="1156" w:type="dxa"/>
            <w:vMerge w:val="continue"/>
            <w:tcBorders/>
            <w:shd w:fill="F47521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61" w:type="dxa"/>
            <w:vMerge w:val="continue"/>
            <w:tcBorders/>
            <w:shd w:fill="F47521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601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2025</w:t>
            </w:r>
          </w:p>
        </w:tc>
        <w:tc>
          <w:tcPr>
            <w:tcW w:w="1486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33,239,183</w:t>
            </w:r>
          </w:p>
        </w:tc>
        <w:tc>
          <w:tcPr>
            <w:tcW w:w="1441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55,131,172</w:t>
            </w:r>
          </w:p>
        </w:tc>
        <w:tc>
          <w:tcPr>
            <w:tcW w:w="1486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9,093,339</w:t>
            </w:r>
          </w:p>
        </w:tc>
        <w:tc>
          <w:tcPr>
            <w:tcW w:w="1441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5,300,849</w:t>
            </w:r>
          </w:p>
        </w:tc>
        <w:tc>
          <w:tcPr>
            <w:tcW w:w="1231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217</w:t>
            </w:r>
          </w:p>
        </w:tc>
        <w:tc>
          <w:tcPr>
            <w:tcW w:w="1231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125</w:t>
            </w:r>
          </w:p>
        </w:tc>
        <w:tc>
          <w:tcPr>
            <w:tcW w:w="1156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782.6</w:t>
            </w:r>
          </w:p>
        </w:tc>
        <w:tc>
          <w:tcPr>
            <w:tcW w:w="1261" w:type="dxa"/>
            <w:tcBorders>
              <w:bottom w:val="single" w:sz="4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2,122.8</w:t>
            </w:r>
          </w:p>
        </w:tc>
      </w:tr>
      <w:tr>
        <w:trPr/>
        <w:tc>
          <w:tcPr>
            <w:tcW w:w="60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2024</w:t>
            </w:r>
          </w:p>
        </w:tc>
        <w:tc>
          <w:tcPr>
            <w:tcW w:w="148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12,732,048</w:t>
            </w:r>
          </w:p>
        </w:tc>
        <w:tc>
          <w:tcPr>
            <w:tcW w:w="144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39,392,518</w:t>
            </w:r>
          </w:p>
        </w:tc>
        <w:tc>
          <w:tcPr>
            <w:tcW w:w="148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4,119,867</w:t>
            </w:r>
          </w:p>
        </w:tc>
        <w:tc>
          <w:tcPr>
            <w:tcW w:w="144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11,247,723</w:t>
            </w:r>
          </w:p>
        </w:tc>
        <w:tc>
          <w:tcPr>
            <w:tcW w:w="123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200</w:t>
            </w:r>
          </w:p>
        </w:tc>
        <w:tc>
          <w:tcPr>
            <w:tcW w:w="123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122</w:t>
            </w:r>
          </w:p>
        </w:tc>
        <w:tc>
          <w:tcPr>
            <w:tcW w:w="115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521.3</w:t>
            </w:r>
          </w:p>
        </w:tc>
        <w:tc>
          <w:tcPr>
            <w:tcW w:w="126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1,809.4</w:t>
            </w:r>
          </w:p>
        </w:tc>
      </w:tr>
      <w:tr>
        <w:trPr/>
        <w:tc>
          <w:tcPr>
            <w:tcW w:w="60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2023</w:t>
            </w:r>
          </w:p>
        </w:tc>
        <w:tc>
          <w:tcPr>
            <w:tcW w:w="148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16,423,307</w:t>
            </w:r>
          </w:p>
        </w:tc>
        <w:tc>
          <w:tcPr>
            <w:tcW w:w="144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31,702,754</w:t>
            </w:r>
          </w:p>
        </w:tc>
        <w:tc>
          <w:tcPr>
            <w:tcW w:w="148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5,505,198</w:t>
            </w:r>
          </w:p>
        </w:tc>
        <w:tc>
          <w:tcPr>
            <w:tcW w:w="144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7,804,316</w:t>
            </w:r>
          </w:p>
        </w:tc>
        <w:tc>
          <w:tcPr>
            <w:tcW w:w="123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141</w:t>
            </w:r>
          </w:p>
        </w:tc>
        <w:tc>
          <w:tcPr>
            <w:tcW w:w="123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121</w:t>
            </w:r>
          </w:p>
        </w:tc>
        <w:tc>
          <w:tcPr>
            <w:tcW w:w="115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207.8</w:t>
            </w:r>
          </w:p>
        </w:tc>
        <w:tc>
          <w:tcPr>
            <w:tcW w:w="126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1,628.9</w:t>
            </w:r>
          </w:p>
        </w:tc>
      </w:tr>
      <w:tr>
        <w:trPr/>
        <w:tc>
          <w:tcPr>
            <w:tcW w:w="60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2022</w:t>
            </w:r>
          </w:p>
        </w:tc>
        <w:tc>
          <w:tcPr>
            <w:tcW w:w="148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16,877,545</w:t>
            </w:r>
          </w:p>
        </w:tc>
        <w:tc>
          <w:tcPr>
            <w:tcW w:w="144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16,020,538</w:t>
            </w:r>
          </w:p>
        </w:tc>
        <w:tc>
          <w:tcPr>
            <w:tcW w:w="148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5,149,608</w:t>
            </w:r>
          </w:p>
        </w:tc>
        <w:tc>
          <w:tcPr>
            <w:tcW w:w="144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5,038,751</w:t>
            </w:r>
          </w:p>
        </w:tc>
        <w:tc>
          <w:tcPr>
            <w:tcW w:w="123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94</w:t>
            </w:r>
          </w:p>
        </w:tc>
        <w:tc>
          <w:tcPr>
            <w:tcW w:w="123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116</w:t>
            </w:r>
          </w:p>
        </w:tc>
        <w:tc>
          <w:tcPr>
            <w:tcW w:w="1156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182.3</w:t>
            </w:r>
          </w:p>
        </w:tc>
        <w:tc>
          <w:tcPr>
            <w:tcW w:w="1261" w:type="dxa"/>
            <w:tcBorders>
              <w:top w:val="single" w:sz="4" w:space="0" w:color="B6B6B6"/>
              <w:bottom w:val="single" w:sz="4" w:space="0" w:color="B6B6B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1,401.2</w:t>
            </w:r>
          </w:p>
        </w:tc>
      </w:tr>
      <w:tr>
        <w:trPr/>
        <w:tc>
          <w:tcPr>
            <w:tcW w:w="601" w:type="dxa"/>
            <w:tcBorders>
              <w:top w:val="single" w:sz="4" w:space="0" w:color="B6B6B6"/>
              <w:bottom w:val="single" w:sz="8" w:space="0" w:color="F47521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2021</w:t>
            </w:r>
          </w:p>
        </w:tc>
        <w:tc>
          <w:tcPr>
            <w:tcW w:w="1486" w:type="dxa"/>
            <w:tcBorders>
              <w:top w:val="single" w:sz="4" w:space="0" w:color="B6B6B6"/>
              <w:bottom w:val="single" w:sz="8" w:space="0" w:color="F47521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7,530,431</w:t>
            </w:r>
          </w:p>
        </w:tc>
        <w:tc>
          <w:tcPr>
            <w:tcW w:w="1441" w:type="dxa"/>
            <w:tcBorders>
              <w:top w:val="single" w:sz="4" w:space="0" w:color="B6B6B6"/>
              <w:bottom w:val="single" w:sz="8" w:space="0" w:color="F47521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15,297,662</w:t>
            </w:r>
          </w:p>
        </w:tc>
        <w:tc>
          <w:tcPr>
            <w:tcW w:w="1486" w:type="dxa"/>
            <w:tcBorders>
              <w:top w:val="single" w:sz="4" w:space="0" w:color="B6B6B6"/>
              <w:bottom w:val="single" w:sz="8" w:space="0" w:color="F47521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3,510,384</w:t>
            </w:r>
          </w:p>
        </w:tc>
        <w:tc>
          <w:tcPr>
            <w:tcW w:w="1441" w:type="dxa"/>
            <w:tcBorders>
              <w:top w:val="single" w:sz="4" w:space="0" w:color="B6B6B6"/>
              <w:bottom w:val="single" w:sz="8" w:space="0" w:color="F47521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5,612,040</w:t>
            </w:r>
          </w:p>
        </w:tc>
        <w:tc>
          <w:tcPr>
            <w:tcW w:w="1231" w:type="dxa"/>
            <w:tcBorders>
              <w:top w:val="single" w:sz="4" w:space="0" w:color="B6B6B6"/>
              <w:bottom w:val="single" w:sz="8" w:space="0" w:color="F47521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107</w:t>
            </w:r>
          </w:p>
        </w:tc>
        <w:tc>
          <w:tcPr>
            <w:tcW w:w="1231" w:type="dxa"/>
            <w:tcBorders>
              <w:top w:val="single" w:sz="4" w:space="0" w:color="B6B6B6"/>
              <w:bottom w:val="single" w:sz="8" w:space="0" w:color="F47521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129</w:t>
            </w:r>
          </w:p>
        </w:tc>
        <w:tc>
          <w:tcPr>
            <w:tcW w:w="1156" w:type="dxa"/>
            <w:tcBorders>
              <w:top w:val="single" w:sz="4" w:space="0" w:color="B6B6B6"/>
              <w:bottom w:val="single" w:sz="8" w:space="0" w:color="F47521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231.1</w:t>
            </w:r>
          </w:p>
        </w:tc>
        <w:tc>
          <w:tcPr>
            <w:tcW w:w="1261" w:type="dxa"/>
            <w:tcBorders>
              <w:top w:val="single" w:sz="4" w:space="0" w:color="B6B6B6"/>
              <w:bottom w:val="single" w:sz="8" w:space="0" w:color="F47521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1,077.3</w:t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sz w:val="24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>(1)  Dr. Morrissey</w:t>
      </w:r>
      <w:r>
        <w:rPr>
          <w:caps w:val="false"/>
          <w:smallCaps w:val="false"/>
          <w:strike w:val="false"/>
          <w:dstrike w:val="false"/>
          <w:color w:val="3F3F3F"/>
          <w:sz w:val="24"/>
          <w:u w:val="none"/>
          <w:effect w:val="none"/>
        </w:rPr>
        <w:t xml:space="preserve">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was our PEO for each year presented. The individuals comprising the non-PEO NEOs for each year presented are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as follows: (i) for 2025 Mr. Senner, Dr. Aftab, Mr. Haley, Dr. Hefti, Mr. Hessekiel and Dr. Peterson (ii) for 2024, Mr. Senner, Dr.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Aftab, Dr. Peterson and Mr. Hessekiel; (iii) for 2023, Mr. Senner, Dr. Aftab, Dr. Peterson, Mr. Hessekiel and Dr. Goodman; (iv) for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2022, Mr. Senner, Dr. Goodman, Mr. Haley and Mr. Hessekiel; (iv) for 2021, Mr. Senner, Mr. Haley, Mr. Hessekiel, Dr. Peter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Lamb and Dr. Gisela M. Schwab.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(2)  Compensation actually paid, as calculated under the SEC’s rules, requires making certain adjustments to the “Total” column of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the Summary Compensation Table to reflect the exclusion and inclusion of certain amounts for the PEO and the Non-PEO NEOs;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the tables set forth below reflect those adjustments. Equity values in the tables below are calculated in accordance with FASB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ASC Topic 718. Amounts in the “Exclusion of Stock Awards and Options Awards” column of the tables below are the totals from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the “Stock Awards” and “Option Awards” columns set forth in the Summary Compensation Table. The differences between the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amounts in the “Total” column of the Summary Compensation Table and the “compensation actually paid” are primarily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attributable to the appreciation in the price of our common stock and the annual vesting of RSU and earned PSU awards, as well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as the value recognized upon or following achievement of performance targets for the PSU awards during the year. </w:t>
      </w:r>
    </w:p>
    <w:tbl>
      <w:tblPr>
        <w:tblW w:w="10610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01"/>
        <w:gridCol w:w="2356"/>
        <w:gridCol w:w="2761"/>
        <w:gridCol w:w="2581"/>
        <w:gridCol w:w="2311"/>
      </w:tblGrid>
      <w:tr>
        <w:trPr/>
        <w:tc>
          <w:tcPr>
            <w:tcW w:w="6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601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Year</w:t>
            </w:r>
          </w:p>
        </w:tc>
        <w:tc>
          <w:tcPr>
            <w:tcW w:w="2356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Summary Compensation Table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Total for PEO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($)</w:t>
            </w:r>
          </w:p>
        </w:tc>
        <w:tc>
          <w:tcPr>
            <w:tcW w:w="2761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Exclusion of Stock Awards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and Options Awards for PEO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($)</w:t>
            </w:r>
          </w:p>
        </w:tc>
        <w:tc>
          <w:tcPr>
            <w:tcW w:w="2581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Inclusion of Equity Values for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PEO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($)</w:t>
            </w:r>
          </w:p>
        </w:tc>
        <w:tc>
          <w:tcPr>
            <w:tcW w:w="2311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Compensation Actually Paid to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PEO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($)</w:t>
            </w:r>
          </w:p>
        </w:tc>
      </w:tr>
      <w:tr>
        <w:trPr/>
        <w:tc>
          <w:tcPr>
            <w:tcW w:w="601" w:type="dxa"/>
            <w:tcBorders>
              <w:bottom w:val="single" w:sz="8" w:space="0" w:color="F47521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2025</w:t>
            </w:r>
          </w:p>
        </w:tc>
        <w:tc>
          <w:tcPr>
            <w:tcW w:w="2356" w:type="dxa"/>
            <w:tcBorders>
              <w:bottom w:val="single" w:sz="8" w:space="0" w:color="F47521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33,239,183</w:t>
            </w:r>
          </w:p>
        </w:tc>
        <w:tc>
          <w:tcPr>
            <w:tcW w:w="2761" w:type="dxa"/>
            <w:tcBorders>
              <w:bottom w:val="single" w:sz="8" w:space="0" w:color="F47521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(30,539,552)</w:t>
            </w:r>
          </w:p>
        </w:tc>
        <w:tc>
          <w:tcPr>
            <w:tcW w:w="2581" w:type="dxa"/>
            <w:tcBorders>
              <w:bottom w:val="single" w:sz="8" w:space="0" w:color="F47521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52,431,541</w:t>
            </w:r>
          </w:p>
        </w:tc>
        <w:tc>
          <w:tcPr>
            <w:tcW w:w="2311" w:type="dxa"/>
            <w:tcBorders>
              <w:bottom w:val="single" w:sz="8" w:space="0" w:color="F47521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55,131,172</w:t>
            </w:r>
          </w:p>
        </w:tc>
      </w:tr>
    </w:tbl>
    <w:tbl>
      <w:tblPr>
        <w:tblW w:w="186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81"/>
        <w:gridCol w:w="1381"/>
      </w:tblGrid>
      <w:tr>
        <w:trPr/>
        <w:tc>
          <w:tcPr>
            <w:tcW w:w="4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8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  <w:t>104</w:t>
            </w:r>
          </w:p>
        </w:tc>
        <w:tc>
          <w:tcPr>
            <w:tcW w:w="138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Exelixis, Inc.</w:t>
            </w:r>
          </w:p>
        </w:tc>
      </w:tr>
    </w:tbl>
    <w:tbl>
      <w:tblPr>
        <w:tblW w:w="1741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741"/>
      </w:tblGrid>
      <w:tr>
        <w:trPr/>
        <w:tc>
          <w:tcPr>
            <w:tcW w:w="17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4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6d44722bfc2543dbbba9716d9e560c58_16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color w:val="0000FF"/>
                  <w:sz w:val="18"/>
                  <w:u w:val="single"/>
                </w:rPr>
                <w:t>Table of Contents</w:t>
              </w:r>
            </w:hyperlink>
          </w:p>
        </w:tc>
      </w:tr>
    </w:tbl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01"/>
        <w:gridCol w:w="2414"/>
        <w:gridCol w:w="2436"/>
        <w:gridCol w:w="2166"/>
        <w:gridCol w:w="2588"/>
      </w:tblGrid>
      <w:tr>
        <w:trPr/>
        <w:tc>
          <w:tcPr>
            <w:tcW w:w="6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1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601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Year</w:t>
            </w:r>
          </w:p>
        </w:tc>
        <w:tc>
          <w:tcPr>
            <w:tcW w:w="2414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Average Summary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Compensation Table Total for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Non-PEO NEOs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($)</w:t>
            </w:r>
          </w:p>
        </w:tc>
        <w:tc>
          <w:tcPr>
            <w:tcW w:w="2436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Average Exclusion of Stock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Awards and Options Awards for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Non-PEO NEOs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($)</w:t>
            </w:r>
          </w:p>
        </w:tc>
        <w:tc>
          <w:tcPr>
            <w:tcW w:w="2166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Average Inclusion of Equity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Values for Non-PEO NEOs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($)</w:t>
            </w:r>
          </w:p>
        </w:tc>
        <w:tc>
          <w:tcPr>
            <w:tcW w:w="2588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Average Compensation Actually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Paid to Non-PEO NEOs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($)</w:t>
            </w:r>
          </w:p>
        </w:tc>
      </w:tr>
      <w:tr>
        <w:trPr/>
        <w:tc>
          <w:tcPr>
            <w:tcW w:w="601" w:type="dxa"/>
            <w:tcBorders>
              <w:bottom w:val="single" w:sz="8" w:space="0" w:color="F47521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2025</w:t>
            </w:r>
          </w:p>
        </w:tc>
        <w:tc>
          <w:tcPr>
            <w:tcW w:w="2414" w:type="dxa"/>
            <w:tcBorders>
              <w:bottom w:val="single" w:sz="8" w:space="0" w:color="F47521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9,093,339</w:t>
            </w:r>
          </w:p>
        </w:tc>
        <w:tc>
          <w:tcPr>
            <w:tcW w:w="2436" w:type="dxa"/>
            <w:tcBorders>
              <w:bottom w:val="single" w:sz="8" w:space="0" w:color="F47521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(7,848,228)</w:t>
            </w:r>
          </w:p>
        </w:tc>
        <w:tc>
          <w:tcPr>
            <w:tcW w:w="2166" w:type="dxa"/>
            <w:tcBorders>
              <w:bottom w:val="single" w:sz="8" w:space="0" w:color="F47521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4,055,738</w:t>
            </w:r>
          </w:p>
        </w:tc>
        <w:tc>
          <w:tcPr>
            <w:tcW w:w="2588" w:type="dxa"/>
            <w:tcBorders>
              <w:bottom w:val="single" w:sz="8" w:space="0" w:color="F47521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5,300,849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The amounts in the “Inclusion of Equity Values” columns in the tables above are derived from the amounts set forth in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the following tables: </w:t>
      </w:r>
    </w:p>
    <w:tbl>
      <w:tblPr>
        <w:tblW w:w="1080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01"/>
        <w:gridCol w:w="1681"/>
        <w:gridCol w:w="1696"/>
        <w:gridCol w:w="1576"/>
        <w:gridCol w:w="1801"/>
        <w:gridCol w:w="1741"/>
        <w:gridCol w:w="1711"/>
      </w:tblGrid>
      <w:tr>
        <w:trPr/>
        <w:tc>
          <w:tcPr>
            <w:tcW w:w="6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601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Year</w:t>
            </w:r>
          </w:p>
        </w:tc>
        <w:tc>
          <w:tcPr>
            <w:tcW w:w="1681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Year End Fair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Value of Equity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Awards Granted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During Year That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Remained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Outstanding and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Unvested as of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Last Day of Year for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PEO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($)</w:t>
            </w:r>
          </w:p>
        </w:tc>
        <w:tc>
          <w:tcPr>
            <w:tcW w:w="1696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Year over Year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Change in Fair Value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of Outstanding and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Unvested Equity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Awards Granted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in Prior Years for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PEO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($)</w:t>
            </w:r>
          </w:p>
        </w:tc>
        <w:tc>
          <w:tcPr>
            <w:tcW w:w="1576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Fair Value as of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Vesting Date of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Equity Awards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Granted and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Vested During Year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for PEO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($)</w:t>
            </w:r>
          </w:p>
        </w:tc>
        <w:tc>
          <w:tcPr>
            <w:tcW w:w="1801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Year over Year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Change in Fair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Value of Equity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Awards Granted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in Prior Years that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Vested During Year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for PEO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($)</w:t>
            </w:r>
          </w:p>
        </w:tc>
        <w:tc>
          <w:tcPr>
            <w:tcW w:w="1741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Fair Value at Last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Day of Prior Year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of Equity Awards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Forfeited During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Year for PEO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($)</w:t>
            </w:r>
          </w:p>
        </w:tc>
        <w:tc>
          <w:tcPr>
            <w:tcW w:w="1711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Total – Inclusion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of Equity Values for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PEO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($)</w:t>
            </w:r>
          </w:p>
        </w:tc>
      </w:tr>
      <w:tr>
        <w:trPr/>
        <w:tc>
          <w:tcPr>
            <w:tcW w:w="601" w:type="dxa"/>
            <w:tcBorders>
              <w:bottom w:val="single" w:sz="8" w:space="0" w:color="F47521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2025</w:t>
            </w:r>
          </w:p>
        </w:tc>
        <w:tc>
          <w:tcPr>
            <w:tcW w:w="1681" w:type="dxa"/>
            <w:tcBorders>
              <w:bottom w:val="single" w:sz="8" w:space="0" w:color="F47521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35,083,767</w:t>
            </w:r>
          </w:p>
        </w:tc>
        <w:tc>
          <w:tcPr>
            <w:tcW w:w="1696" w:type="dxa"/>
            <w:tcBorders>
              <w:bottom w:val="single" w:sz="8" w:space="0" w:color="F47521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14,039,301</w:t>
            </w:r>
          </w:p>
        </w:tc>
        <w:tc>
          <w:tcPr>
            <w:tcW w:w="1576" w:type="dxa"/>
            <w:tcBorders>
              <w:bottom w:val="single" w:sz="8" w:space="0" w:color="F47521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1801" w:type="dxa"/>
            <w:tcBorders>
              <w:bottom w:val="single" w:sz="8" w:space="0" w:color="F47521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3,308,473</w:t>
            </w:r>
          </w:p>
        </w:tc>
        <w:tc>
          <w:tcPr>
            <w:tcW w:w="1741" w:type="dxa"/>
            <w:tcBorders>
              <w:bottom w:val="single" w:sz="8" w:space="0" w:color="F47521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1711" w:type="dxa"/>
            <w:tcBorders>
              <w:bottom w:val="single" w:sz="8" w:space="0" w:color="F47521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52,431,541</w:t>
            </w:r>
          </w:p>
        </w:tc>
      </w:tr>
    </w:tbl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01"/>
        <w:gridCol w:w="1612"/>
        <w:gridCol w:w="1674"/>
        <w:gridCol w:w="1448"/>
        <w:gridCol w:w="1770"/>
        <w:gridCol w:w="1554"/>
        <w:gridCol w:w="1546"/>
      </w:tblGrid>
      <w:tr>
        <w:trPr/>
        <w:tc>
          <w:tcPr>
            <w:tcW w:w="6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1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7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4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7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601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Year</w:t>
            </w:r>
          </w:p>
        </w:tc>
        <w:tc>
          <w:tcPr>
            <w:tcW w:w="1612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Average Year End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Fair Value of Equity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Awards Granted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During Year That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Remained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Outstanding and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Unvested as of Last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Day of Year for Non-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PEO NEOs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($)</w:t>
            </w:r>
          </w:p>
        </w:tc>
        <w:tc>
          <w:tcPr>
            <w:tcW w:w="1674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Average Year over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Year Change in Fair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Value of Outstanding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and Unvested Equity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Awards Granted in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Prior Years for Non-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PEO NEOs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($)</w:t>
            </w:r>
          </w:p>
        </w:tc>
        <w:tc>
          <w:tcPr>
            <w:tcW w:w="1448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Average Fair Value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as of Vesting Date of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Equity Awards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Granted and Vested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During Year for Non-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PEO NEOs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($)</w:t>
            </w:r>
          </w:p>
        </w:tc>
        <w:tc>
          <w:tcPr>
            <w:tcW w:w="1770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Average Year over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Year Change in Fair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Value of Equity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Awards Granted in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Prior Years that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Vested During Year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for Non-PEO NEOs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($)</w:t>
            </w:r>
          </w:p>
        </w:tc>
        <w:tc>
          <w:tcPr>
            <w:tcW w:w="1554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Average Fair Value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at Last Day of Prior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Year of Equity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Awards Forfeited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During Year for Non-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PEO NEOs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($) </w:t>
            </w:r>
          </w:p>
        </w:tc>
        <w:tc>
          <w:tcPr>
            <w:tcW w:w="1546" w:type="dxa"/>
            <w:tcBorders/>
            <w:shd w:fill="F47521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Total – Average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Inclusion of Equity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Values for Non-PEO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NEOs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($)</w:t>
            </w:r>
          </w:p>
        </w:tc>
      </w:tr>
      <w:tr>
        <w:trPr/>
        <w:tc>
          <w:tcPr>
            <w:tcW w:w="601" w:type="dxa"/>
            <w:tcBorders>
              <w:bottom w:val="single" w:sz="8" w:space="0" w:color="F47521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2025</w:t>
            </w:r>
          </w:p>
        </w:tc>
        <w:tc>
          <w:tcPr>
            <w:tcW w:w="1612" w:type="dxa"/>
            <w:tcBorders>
              <w:bottom w:val="single" w:sz="8" w:space="0" w:color="F47521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5,747,017</w:t>
            </w:r>
          </w:p>
        </w:tc>
        <w:tc>
          <w:tcPr>
            <w:tcW w:w="1674" w:type="dxa"/>
            <w:tcBorders>
              <w:bottom w:val="single" w:sz="8" w:space="0" w:color="F47521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1,974,796</w:t>
            </w:r>
          </w:p>
        </w:tc>
        <w:tc>
          <w:tcPr>
            <w:tcW w:w="1448" w:type="dxa"/>
            <w:tcBorders>
              <w:bottom w:val="single" w:sz="8" w:space="0" w:color="F47521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>—</w:t>
            </w:r>
          </w:p>
        </w:tc>
        <w:tc>
          <w:tcPr>
            <w:tcW w:w="1770" w:type="dxa"/>
            <w:tcBorders>
              <w:bottom w:val="single" w:sz="8" w:space="0" w:color="F47521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787,702</w:t>
            </w:r>
          </w:p>
        </w:tc>
        <w:tc>
          <w:tcPr>
            <w:tcW w:w="1554" w:type="dxa"/>
            <w:tcBorders>
              <w:bottom w:val="single" w:sz="8" w:space="0" w:color="F47521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(4,453,777)</w:t>
            </w:r>
          </w:p>
        </w:tc>
        <w:tc>
          <w:tcPr>
            <w:tcW w:w="1546" w:type="dxa"/>
            <w:tcBorders>
              <w:bottom w:val="single" w:sz="8" w:space="0" w:color="F47521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4,055,738</w:t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(3)  Represents the company’s cumulative TSR. Cumulative TSR is calculated by dividing (i) the sum of (a) the cumulative amount of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dividends for the measurement period, assuming dividend reinvestment, and (b) the difference between our share price at the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end and the beginning of the measurement period, by (ii) our share price at the beginning of the measurement period. The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beginning of the measurement period for each year in the table is January 1, 2021. Cumulative TSR is calculated assuming an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investment of $100 in our common stock on January 1, 2021.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(4)  Represents the cumulative peer group TSR, weighted according to the respective companies’ stock market capitalization at the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beginning of each period for which a return is indicated. The peer group used for this purpose is the Nasdaq Biotechnology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Index, which we also utilize in the stock performance graph required by Item 201(e) of Regulation S-K included in our annual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>reports for each of the years in the table.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(5)  SEC rules require us to designate a “Company-Selected Measure” that in our assessment represents the most important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financial performance measure used by us to link the compensation actually paid to our PEO and non-PEO NEOs, for the most </w:t>
      </w:r>
    </w:p>
    <w:p>
      <w:pPr>
        <w:pStyle w:val="TextBody"/>
        <w:bidi w:val="0"/>
        <w:spacing w:lineRule="atLeast" w:line="18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18"/>
          <w:u w:val="none"/>
          <w:effect w:val="none"/>
        </w:rPr>
        <w:t xml:space="preserve">recently completed fiscal year, to our performance. We have selected net product revenues as this measure. </w:t>
      </w:r>
    </w:p>
    <w:tbl>
      <w:tblPr>
        <w:tblW w:w="268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176"/>
        <w:gridCol w:w="511"/>
      </w:tblGrid>
      <w:tr>
        <w:trPr/>
        <w:tc>
          <w:tcPr>
            <w:tcW w:w="21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7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40404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404040"/>
                <w:sz w:val="18"/>
                <w:u w:val="none"/>
                <w:effect w:val="none"/>
              </w:rPr>
              <w:t>2026 Proxy Statement</w:t>
            </w:r>
          </w:p>
        </w:tc>
        <w:tc>
          <w:tcPr>
            <w:tcW w:w="51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  <w:t>105</w:t>
            </w:r>
          </w:p>
        </w:tc>
      </w:tr>
    </w:tbl>
    <w:tbl>
      <w:tblPr>
        <w:tblW w:w="747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696"/>
        <w:gridCol w:w="5776"/>
      </w:tblGrid>
      <w:tr>
        <w:trPr/>
        <w:tc>
          <w:tcPr>
            <w:tcW w:w="16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9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6d44722bfc2543dbbba9716d9e560c58_16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color w:val="0000FF"/>
                  <w:sz w:val="18"/>
                  <w:u w:val="single"/>
                </w:rPr>
                <w:t>Table of Contents</w:t>
              </w:r>
            </w:hyperlink>
          </w:p>
        </w:tc>
        <w:tc>
          <w:tcPr>
            <w:tcW w:w="577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Compensation of Executive Officers 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C4C02"/>
                <w:sz w:val="18"/>
                <w:u w:val="none"/>
                <w:effect w:val="none"/>
              </w:rPr>
              <w:t>|</w:t>
            </w:r>
            <w:r>
              <w:rPr>
                <w:caps w:val="false"/>
                <w:smallCaps w:val="false"/>
                <w:strike w:val="false"/>
                <w:dstrike w:val="false"/>
                <w:color w:val="3F3F3F"/>
                <w:u w:val="none"/>
                <w:effect w:val="none"/>
              </w:rPr>
              <w:t xml:space="preserve">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 xml:space="preserve">Pay Versus Performance 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/>
          <w:i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/>
          <w:i/>
          <w:strike w:val="false"/>
          <w:dstrike w:val="false"/>
          <w:color w:val="3F3F3F"/>
          <w:sz w:val="20"/>
          <w:u w:val="none"/>
          <w:effect w:val="none"/>
        </w:rPr>
        <w:t xml:space="preserve">Required Disclosure of the Relationship Between Compensation Actually Paid and Financial Performance Measures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As required by Item 402(v) of Regulation S-K, we are providing the following graphs to illustrate the relationship of the </w:t>
      </w:r>
    </w:p>
    <w:p>
      <w:pPr>
        <w:pStyle w:val="TextBody"/>
        <w:bidi w:val="0"/>
        <w:spacing w:lineRule="atLeast" w:line="200" w:before="0" w:after="0"/>
        <w:jc w:val="left"/>
        <w:rPr>
          <w:caps w:val="false"/>
          <w:smallCaps w:val="false"/>
          <w:strike w:val="false"/>
          <w:dstrike w:val="false"/>
          <w:color w:val="3F3F3F"/>
          <w:u w:val="none"/>
          <w:effect w:val="none"/>
        </w:rPr>
      </w:pPr>
      <w:r>
        <w:rPr>
          <w:caps w:val="false"/>
          <w:smallCaps w:val="false"/>
          <w:strike w:val="false"/>
          <w:dstrike w:val="false"/>
          <w:color w:val="3F3F3F"/>
          <w:u w:val="none"/>
          <w:effect w:val="none"/>
        </w:rPr>
        <w:t>“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compensation actually paid” figures that are included in the pay versus performance tabular disclosure above, to (1)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our cumulative TSR and that of the Nasdaq Biotechnology index, (2) our net income, and (3) our net product revenues,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which is our company-selected measure. In addition, the first graph below further illustrates the relationship between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our TSR and that of the Nasdaq Biotechnology Index. As noted above, “compensation actually paid” for purposes of the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tabular disclosure and the following graphs was calculated in accordance with SEC rules and does not fully represent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the actual final amount of compensation earned by or actually paid to our NEOs during the applicable years. The graph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assumes that $100 was invested on January 1, 2021</w:t>
      </w:r>
      <w:r>
        <w:rPr>
          <w:caps w:val="false"/>
          <w:smallCaps w:val="false"/>
          <w:strike w:val="false"/>
          <w:dstrike w:val="false"/>
          <w:color w:val="3F3F3F"/>
          <w:sz w:val="24"/>
          <w:u w:val="none"/>
          <w:effect w:val="none"/>
        </w:rPr>
        <w:t xml:space="preserve">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in each of our common stock and the Nasdaq Biotechnology Total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Return Index and assumes reinvestment of any dividends.</w:t>
      </w: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6400800" cy="3840480"/>
            <wp:effectExtent l="0" t="0" r="0" b="0"/>
            <wp:docPr id="81" name="Image8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" name="Image81" descr=""/>
                    <pic:cNvPicPr>
                      <a:picLocks noChangeAspect="1" noChangeArrowheads="1"/>
                    </pic:cNvPicPr>
                  </pic:nvPicPr>
                  <pic:blipFill>
                    <a:blip r:embed="rId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0" cy="3840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91" w:name="i-81"/>
      <w:bookmarkEnd w:id="91"/>
    </w:p>
    <w:tbl>
      <w:tblPr>
        <w:tblW w:w="186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81"/>
        <w:gridCol w:w="1381"/>
      </w:tblGrid>
      <w:tr>
        <w:trPr/>
        <w:tc>
          <w:tcPr>
            <w:tcW w:w="4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8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  <w:t>106</w:t>
            </w:r>
          </w:p>
        </w:tc>
        <w:tc>
          <w:tcPr>
            <w:tcW w:w="138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Exelixis, Inc.</w:t>
            </w:r>
          </w:p>
        </w:tc>
      </w:tr>
    </w:tbl>
    <w:tbl>
      <w:tblPr>
        <w:tblW w:w="1741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741"/>
      </w:tblGrid>
      <w:tr>
        <w:trPr/>
        <w:tc>
          <w:tcPr>
            <w:tcW w:w="17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4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6d44722bfc2543dbbba9716d9e560c58_16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color w:val="0000FF"/>
                  <w:sz w:val="18"/>
                  <w:u w:val="single"/>
                </w:rPr>
                <w:t>Table of Contents</w:t>
              </w:r>
            </w:hyperlink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6400800" cy="3657600"/>
            <wp:effectExtent l="0" t="0" r="0" b="0"/>
            <wp:docPr id="82" name="Image8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" name="Image82" descr=""/>
                    <pic:cNvPicPr>
                      <a:picLocks noChangeAspect="1" noChangeArrowheads="1"/>
                    </pic:cNvPicPr>
                  </pic:nvPicPr>
                  <pic:blipFill>
                    <a:blip r:embed="rId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92" w:name="i-82"/>
      <w:bookmarkEnd w:id="92"/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6400800" cy="3657600"/>
            <wp:effectExtent l="0" t="0" r="0" b="0"/>
            <wp:docPr id="83" name="Image8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" name="Image83" descr=""/>
                    <pic:cNvPicPr>
                      <a:picLocks noChangeAspect="1" noChangeArrowheads="1"/>
                    </pic:cNvPicPr>
                  </pic:nvPicPr>
                  <pic:blipFill>
                    <a:blip r:embed="rId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93" w:name="i-83"/>
      <w:bookmarkEnd w:id="93"/>
    </w:p>
    <w:tbl>
      <w:tblPr>
        <w:tblW w:w="268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176"/>
        <w:gridCol w:w="511"/>
      </w:tblGrid>
      <w:tr>
        <w:trPr/>
        <w:tc>
          <w:tcPr>
            <w:tcW w:w="21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7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40404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404040"/>
                <w:sz w:val="18"/>
                <w:u w:val="none"/>
                <w:effect w:val="none"/>
              </w:rPr>
              <w:t>2026 Proxy Statement</w:t>
            </w:r>
          </w:p>
        </w:tc>
        <w:tc>
          <w:tcPr>
            <w:tcW w:w="51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  <w:t>107</w:t>
            </w:r>
          </w:p>
        </w:tc>
      </w:tr>
    </w:tbl>
    <w:tbl>
      <w:tblPr>
        <w:tblW w:w="799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696"/>
        <w:gridCol w:w="6301"/>
      </w:tblGrid>
      <w:tr>
        <w:trPr/>
        <w:tc>
          <w:tcPr>
            <w:tcW w:w="16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9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6d44722bfc2543dbbba9716d9e560c58_16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color w:val="0000FF"/>
                  <w:sz w:val="18"/>
                  <w:u w:val="single"/>
                </w:rPr>
                <w:t>Table of Contents</w:t>
              </w:r>
            </w:hyperlink>
          </w:p>
        </w:tc>
        <w:tc>
          <w:tcPr>
            <w:tcW w:w="630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Compensation Committee Interlocks and Related Party Transactions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/>
          <w:i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/>
          <w:i/>
          <w:strike w:val="false"/>
          <w:dstrike w:val="false"/>
          <w:color w:val="3F3F3F"/>
          <w:sz w:val="20"/>
          <w:u w:val="none"/>
          <w:effect w:val="none"/>
        </w:rPr>
        <w:t xml:space="preserve">Required Tabular Disclosure of Most Important Performance Measures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The most important performance measures used to link “compensation actually paid” to our NEOs for 2025</w:t>
      </w:r>
      <w:r>
        <w:rPr>
          <w:caps w:val="false"/>
          <w:smallCaps w:val="false"/>
          <w:strike w:val="false"/>
          <w:dstrike w:val="false"/>
          <w:color w:val="3F3F3F"/>
          <w:sz w:val="24"/>
          <w:u w:val="none"/>
          <w:effect w:val="none"/>
        </w:rPr>
        <w:t xml:space="preserve">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to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company performance are set forth below. For 2025, the company used fewer than three financial performance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measures to link “compensation actually paid” to our NEOs to company performance. For further information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regarding these performance metrics and their function in our executive compensation program, please refer to the </w:t>
      </w:r>
    </w:p>
    <w:p>
      <w:pPr>
        <w:pStyle w:val="TextBody"/>
        <w:bidi w:val="0"/>
        <w:spacing w:lineRule="atLeast" w:line="200" w:before="0" w:after="0"/>
        <w:jc w:val="left"/>
        <w:rPr>
          <w:caps w:val="false"/>
          <w:smallCaps w:val="false"/>
          <w:strike w:val="false"/>
          <w:dstrike w:val="false"/>
          <w:color w:val="3F3F3F"/>
          <w:u w:val="none"/>
          <w:effect w:val="none"/>
        </w:rPr>
      </w:pPr>
      <w:r>
        <w:rPr>
          <w:caps w:val="false"/>
          <w:smallCaps w:val="false"/>
          <w:strike w:val="false"/>
          <w:dstrike w:val="false"/>
          <w:color w:val="3F3F3F"/>
          <w:u w:val="none"/>
          <w:effect w:val="none"/>
        </w:rPr>
        <w:t>“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Compensation Discussion and Analysis” section of this Proxy Statement. </w:t>
      </w:r>
    </w:p>
    <w:tbl>
      <w:tblPr>
        <w:tblW w:w="232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326"/>
      </w:tblGrid>
      <w:tr>
        <w:trPr/>
        <w:tc>
          <w:tcPr>
            <w:tcW w:w="23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26" w:type="dxa"/>
            <w:tcBorders>
              <w:bottom w:val="single" w:sz="8" w:space="0" w:color="B6B6B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Relative TSR</w:t>
            </w:r>
          </w:p>
        </w:tc>
      </w:tr>
      <w:tr>
        <w:trPr/>
        <w:tc>
          <w:tcPr>
            <w:tcW w:w="2326" w:type="dxa"/>
            <w:tcBorders>
              <w:top w:val="single" w:sz="8" w:space="0" w:color="B6B6B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Net Product Revenues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  <w:t xml:space="preserve">All information provided above under the “Pay Versus Performance” heading will not be deemed to be incorporated by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  <w:t xml:space="preserve">reference into any filing of Exelixis under the Securities Act of 1933, as amended, or the Securities Exchange Act of 1934,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  <w:t xml:space="preserve">as amended, whether made before or after the date hereof and irrespective of any general incorporation language in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/>
          <w:strike w:val="false"/>
          <w:dstrike w:val="false"/>
          <w:color w:val="3F3F3F"/>
          <w:sz w:val="20"/>
          <w:u w:val="none"/>
          <w:effect w:val="none"/>
        </w:rPr>
        <w:t xml:space="preserve">any such filing, except to the extent we specifically incorporate such information by reference.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36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F47521"/>
          <w:sz w:val="36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F47521"/>
          <w:sz w:val="36"/>
          <w:u w:val="none"/>
          <w:effect w:val="none"/>
        </w:rPr>
        <w:t xml:space="preserve">COMPENSATION COMMITTEE INTERLOCKS AND </w:t>
      </w:r>
    </w:p>
    <w:p>
      <w:pPr>
        <w:pStyle w:val="TextBody"/>
        <w:bidi w:val="0"/>
        <w:spacing w:lineRule="atLeast" w:line="36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F47521"/>
          <w:sz w:val="36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F47521"/>
          <w:sz w:val="36"/>
          <w:u w:val="none"/>
          <w:effect w:val="none"/>
        </w:rPr>
        <w:t>INSIDER PARTICIPATION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During 2025, the Compensation Committee comprised Ms. Smith, Mr. Oliver and Drs. Eckhardt and Papadopoulos.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None of the members of the Compensation Committee during 2025</w:t>
      </w:r>
      <w:r>
        <w:rPr>
          <w:caps w:val="false"/>
          <w:smallCaps w:val="false"/>
          <w:strike w:val="false"/>
          <w:dstrike w:val="false"/>
          <w:color w:val="3F3F3F"/>
          <w:sz w:val="24"/>
          <w:u w:val="none"/>
          <w:effect w:val="none"/>
        </w:rPr>
        <w:t xml:space="preserve">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has at any time been an officer or employee of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Exelixis. No interlocking relationship exists between the Board or Compensation Committee and the board of directors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or compensation committee of any other company, nor has any interlocking relationship existed in the past.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36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F47521"/>
          <w:sz w:val="36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F47521"/>
          <w:sz w:val="36"/>
          <w:u w:val="none"/>
          <w:effect w:val="none"/>
        </w:rPr>
        <w:t>CERTAIN RELATIONSHIPS AND RELATED PARTY TRANSACTIONS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The Board recognizes that related party transactions can present a heightened risk of potential or actual conflicts of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interests. The Board adopted a written Statement of Policy with respect to Related Person Transactions entered into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with related parties. Under this policy, the Audit Committee has been tasked with responsibility to review and approve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related party transactions. The policy provides that management shall present related party transactions to the Audit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Committee for approval. The policy does not prevent management from entering into any related party transaction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without prior approval of the Audit Committee, so long as such related party transaction is thereafter presented to the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Audit Committee for ratification. If ratification is not forthcoming, then management shall make all reasonable efforts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to cancel or annul such transaction.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Under the policy, a “related party” includes: any senior officer (including each executive officer or officer subject to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Section 16 of the Exchange Act) or director of Exelixis; a person who is an immediate family member of a senior officer,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director or director nominee; a security holder who is known to own of record or beneficially more than 5% of any class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of our securities; a person who is an immediate family member of such security holder; or an entity which is owned or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controlled by one of the aforementioned persons, or an entity in which one of the aforementioned persons has a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substantial ownership interest in or control over such entity.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All related party transactions shall be disclosed in our applicable filings with the SEC as required under SEC rules. There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were no related party transactions reportable under the SEC rules during fiscal 2025, other than as follows: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During 2025, BlackRock, Inc. (BlackRock), a global provider of investment, advisory and risk management solutions and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 greater than 5% holder of our common stock, managed a portion of our cash and investments portfolio. As of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>January 2, 2026</w:t>
      </w:r>
      <w:r>
        <w:rPr>
          <w:caps w:val="false"/>
          <w:smallCaps w:val="false"/>
          <w:strike w:val="false"/>
          <w:dstrike w:val="false"/>
          <w:color w:val="3F3F3F"/>
          <w:sz w:val="24"/>
          <w:u w:val="none"/>
          <w:effect w:val="none"/>
        </w:rPr>
        <w:t xml:space="preserve"> </w:t>
      </w: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and January 3, 2025, the fair value of cash and investments managed by BlackRock was $481.8 million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and $568.0 million, respectively, which included $16.5 million and $5.5 million invested in the BlackRock Liquidity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Money Market Fund. We incurred $0.3 million in fees for BlackRock advisory services performed during the year ended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January 2, 2026.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tbl>
      <w:tblPr>
        <w:tblW w:w="186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81"/>
        <w:gridCol w:w="1381"/>
      </w:tblGrid>
      <w:tr>
        <w:trPr/>
        <w:tc>
          <w:tcPr>
            <w:tcW w:w="4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8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47521"/>
                <w:sz w:val="18"/>
                <w:u w:val="none"/>
                <w:effect w:val="none"/>
              </w:rPr>
              <w:t>108</w:t>
            </w:r>
          </w:p>
        </w:tc>
        <w:tc>
          <w:tcPr>
            <w:tcW w:w="138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20"/>
                <w:u w:val="none"/>
                <w:effect w:val="none"/>
              </w:rPr>
              <w:t>Exelixis, Inc.</w:t>
            </w:r>
          </w:p>
        </w:tc>
      </w:tr>
    </w:tbl>
    <w:tbl>
      <w:tblPr>
        <w:tblW w:w="471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696"/>
        <w:gridCol w:w="3016"/>
      </w:tblGrid>
      <w:tr>
        <w:trPr/>
        <w:tc>
          <w:tcPr>
            <w:tcW w:w="16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9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6d44722bfc2543dbbba9716d9e560c58_16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color w:val="0000FF"/>
                  <w:sz w:val="18"/>
                  <w:u w:val="single"/>
                </w:rPr>
                <w:t>Table of Contents</w:t>
              </w:r>
            </w:hyperlink>
          </w:p>
        </w:tc>
        <w:tc>
          <w:tcPr>
            <w:tcW w:w="301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Householding of Proxy Materials</w:t>
            </w:r>
          </w:p>
        </w:tc>
      </w:tr>
    </w:tbl>
    <w:p>
      <w:pPr>
        <w:pStyle w:val="TextBody"/>
        <w:bidi w:val="0"/>
        <w:spacing w:lineRule="atLeast" w:line="36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F47521"/>
          <w:sz w:val="36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F47521"/>
          <w:sz w:val="36"/>
          <w:u w:val="none"/>
          <w:effect w:val="none"/>
        </w:rPr>
        <w:t>HOUSEHOLDING OF PROXY MATERIALS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The SEC has adopted rules that permit companies and intermediaries (e.g., brokers, banks and other fiduciaries) to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satisfy the delivery requirements for Proxy Materials or other Annual Meeting materials with respect to two or more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stockholders sharing the same address by delivering a single set of the proxy materials or other Annual Meeting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materials addressed to those stockholders. This process, which is commonly referred to as “householding,” potentially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means extra convenience for stockholders and cost savings for companies.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This year, a number of brokers with account holders who are our stockholders will be householding proxy materials. A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single set of the proxy materials will be delivered to multiple stockholders sharing an address unless contrary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instructions have been received from the affected stockholders. Once you have received notice from your broker that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they will be householding communications to your address, householding will continue until you are notified otherwise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or until you revoke your consent. If, at any time, you no longer wish to participate in householding and would prefer to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receive a separate set of proxy materials, please notify your broker or direct your written request to Investor Relations,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Exelixis, Inc., 1851 Harbor Bay Parkway, Alameda, California 94502 or contact Exelixis, Inc., Investor Relations at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(650) 837-7000. Stockholders who currently receive multiple copies of the proxy materials at their address and would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like to request householding of their communications should contact their broker.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36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F47521"/>
          <w:sz w:val="36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F47521"/>
          <w:sz w:val="36"/>
          <w:u w:val="none"/>
          <w:effect w:val="none"/>
        </w:rPr>
        <w:t>ANNUAL REPORT ON FORM 10-K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A copy of our Annual Report on Form 10-K for the fiscal year ended January 2, 2026, including the consolidated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financial statements, schedules and list of exhibits, and any particular exhibit specifically requested, is available without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charge upon written request to: Investor Relations, Exelixis, Inc., 1851 Harbor Bay Parkway, Alameda, California 94502.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36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F47521"/>
          <w:sz w:val="36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F47521"/>
          <w:sz w:val="36"/>
          <w:u w:val="none"/>
          <w:effect w:val="none"/>
        </w:rPr>
        <w:t>OTHER MATTERS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The Board knows of no other matters that will be presented for consideration at the Annual Meeting. If any other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matters are properly brought before the meeting, it is the intention of the persons named in the accompanying proxy </w:t>
      </w:r>
    </w:p>
    <w:p>
      <w:pPr>
        <w:pStyle w:val="TextBody"/>
        <w:bidi w:val="0"/>
        <w:spacing w:lineRule="atLeast" w:line="200" w:before="0" w:after="0"/>
        <w:jc w:val="left"/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</w:pPr>
      <w:r>
        <w:rPr>
          <w:rFonts w:ascii="sans-serif" w:hAnsi="sans-serif"/>
          <w:b w:val="false"/>
          <w:i w:val="false"/>
          <w:caps w:val="false"/>
          <w:smallCaps w:val="false"/>
          <w:strike w:val="false"/>
          <w:dstrike w:val="false"/>
          <w:color w:val="3F3F3F"/>
          <w:sz w:val="20"/>
          <w:u w:val="none"/>
          <w:effect w:val="none"/>
        </w:rPr>
        <w:t xml:space="preserve">to vote on such matters in accordance with their best judgment. </w:t>
      </w:r>
    </w:p>
    <w:tbl>
      <w:tblPr>
        <w:tblW w:w="588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906"/>
        <w:gridCol w:w="3976"/>
      </w:tblGrid>
      <w:tr>
        <w:trPr/>
        <w:tc>
          <w:tcPr>
            <w:tcW w:w="19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7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 xml:space="preserve">By Order of the Board of Directors </w:t>
            </w:r>
          </w:p>
        </w:tc>
      </w:tr>
      <w:tr>
        <w:trPr/>
        <w:tc>
          <w:tcPr>
            <w:tcW w:w="19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7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554480" cy="688975"/>
                  <wp:effectExtent l="0" t="0" r="0" b="0"/>
                  <wp:docPr id="84" name="Image8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" name="Image8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4480" cy="688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94" w:name="i-84"/>
            <w:bookmarkEnd w:id="94"/>
          </w:p>
        </w:tc>
      </w:tr>
      <w:tr>
        <w:trPr/>
        <w:tc>
          <w:tcPr>
            <w:tcW w:w="19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7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Brenda J. Hefti, J.D., Ph.D.</w:t>
            </w:r>
          </w:p>
        </w:tc>
      </w:tr>
      <w:tr>
        <w:trPr/>
        <w:tc>
          <w:tcPr>
            <w:tcW w:w="19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7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Senior Vice President and General Counsel</w:t>
            </w:r>
          </w:p>
        </w:tc>
      </w:tr>
      <w:tr>
        <w:trPr/>
        <w:tc>
          <w:tcPr>
            <w:tcW w:w="19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0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 xml:space="preserve">Alameda, California </w:t>
            </w:r>
          </w:p>
        </w:tc>
        <w:tc>
          <w:tcPr>
            <w:tcW w:w="39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0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3F3F3F"/>
                <w:sz w:val="18"/>
                <w:u w:val="none"/>
                <w:effect w:val="none"/>
              </w:rPr>
              <w:t>April 15, 2026</w:t>
            </w:r>
          </w:p>
        </w:tc>
        <w:tc>
          <w:tcPr>
            <w:tcW w:w="39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850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696"/>
        <w:gridCol w:w="154"/>
      </w:tblGrid>
      <w:tr>
        <w:trPr/>
        <w:tc>
          <w:tcPr>
            <w:tcW w:w="16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9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6d44722bfc2543dbbba9716d9e560c58_16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color w:val="0000FF"/>
                  <w:sz w:val="18"/>
                  <w:u w:val="single"/>
                </w:rPr>
                <w:t>Table of Contents</w:t>
              </w:r>
            </w:hyperlink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6583680" cy="8519795"/>
            <wp:effectExtent l="0" t="0" r="0" b="0"/>
            <wp:docPr id="85" name="Image8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" name="Image85" descr=""/>
                    <pic:cNvPicPr>
                      <a:picLocks noChangeAspect="1" noChangeArrowheads="1"/>
                    </pic:cNvPicPr>
                  </pic:nvPicPr>
                  <pic:blipFill>
                    <a:blip r:embed="rId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3680" cy="8519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95" w:name="i-85"/>
      <w:bookmarkEnd w:id="95"/>
    </w:p>
    <w:tbl>
      <w:tblPr>
        <w:tblW w:w="1850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696"/>
        <w:gridCol w:w="154"/>
      </w:tblGrid>
      <w:tr>
        <w:trPr/>
        <w:tc>
          <w:tcPr>
            <w:tcW w:w="16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9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6d44722bfc2543dbbba9716d9e560c58_16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color w:val="0000FF"/>
                  <w:sz w:val="18"/>
                  <w:u w:val="single"/>
                </w:rPr>
                <w:t>Table of Contents</w:t>
              </w:r>
            </w:hyperlink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  <w:drawing>
          <wp:inline distT="0" distB="0" distL="0" distR="0">
            <wp:extent cx="6675120" cy="8638540"/>
            <wp:effectExtent l="0" t="0" r="0" b="0"/>
            <wp:docPr id="86" name="Image8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Image86" descr=""/>
                    <pic:cNvPicPr>
                      <a:picLocks noChangeAspect="1" noChangeArrowheads="1"/>
                    </pic:cNvPicPr>
                  </pic:nvPicPr>
                  <pic:blipFill>
                    <a:blip r:embed="rId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75120" cy="8638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96" w:name="i-86"/>
      <w:bookmarkEnd w:id="96"/>
    </w:p>
    <w:sectPr>
      <w:type w:val="continuous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sans-serif">
    <w:altName w:val="Arial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1.jpeg"/><Relationship Id="rId4" Type="http://schemas.openxmlformats.org/officeDocument/2006/relationships/image" Target="media/image2.jpeg"/><Relationship Id="rId5" Type="http://schemas.openxmlformats.org/officeDocument/2006/relationships/image" Target="media/image3.jpeg"/><Relationship Id="rId6" Type="http://schemas.openxmlformats.org/officeDocument/2006/relationships/image" Target="media/image1.jpeg"/><Relationship Id="rId7" Type="http://schemas.openxmlformats.org/officeDocument/2006/relationships/image" Target="media/image4.jpeg"/><Relationship Id="rId8" Type="http://schemas.openxmlformats.org/officeDocument/2006/relationships/image" Target="media/image5.jpeg"/><Relationship Id="rId9" Type="http://schemas.openxmlformats.org/officeDocument/2006/relationships/image" Target="media/image6.jpeg"/><Relationship Id="rId10" Type="http://schemas.openxmlformats.org/officeDocument/2006/relationships/image" Target="media/image7.jpeg"/><Relationship Id="rId11" Type="http://schemas.openxmlformats.org/officeDocument/2006/relationships/image" Target="media/image8.jpeg"/><Relationship Id="rId12" Type="http://schemas.openxmlformats.org/officeDocument/2006/relationships/image" Target="media/image9.jpeg"/><Relationship Id="rId13" Type="http://schemas.openxmlformats.org/officeDocument/2006/relationships/image" Target="media/image10.gif"/><Relationship Id="rId14" Type="http://schemas.openxmlformats.org/officeDocument/2006/relationships/image" Target="media/image11.jpeg"/><Relationship Id="rId15" Type="http://schemas.openxmlformats.org/officeDocument/2006/relationships/image" Target="media/image12.jpeg"/><Relationship Id="rId16" Type="http://schemas.openxmlformats.org/officeDocument/2006/relationships/image" Target="media/image12.jpeg"/><Relationship Id="rId17" Type="http://schemas.openxmlformats.org/officeDocument/2006/relationships/image" Target="media/image12.jpeg"/><Relationship Id="rId18" Type="http://schemas.openxmlformats.org/officeDocument/2006/relationships/image" Target="media/image12.jpeg"/><Relationship Id="rId19" Type="http://schemas.openxmlformats.org/officeDocument/2006/relationships/image" Target="media/image12.jpeg"/><Relationship Id="rId20" Type="http://schemas.openxmlformats.org/officeDocument/2006/relationships/image" Target="media/image12.jpeg"/><Relationship Id="rId21" Type="http://schemas.openxmlformats.org/officeDocument/2006/relationships/image" Target="media/image12.jpeg"/><Relationship Id="rId22" Type="http://schemas.openxmlformats.org/officeDocument/2006/relationships/image" Target="media/image12.jpeg"/><Relationship Id="rId23" Type="http://schemas.openxmlformats.org/officeDocument/2006/relationships/image" Target="media/image12.jpeg"/><Relationship Id="rId24" Type="http://schemas.openxmlformats.org/officeDocument/2006/relationships/image" Target="media/image12.jpeg"/><Relationship Id="rId25" Type="http://schemas.openxmlformats.org/officeDocument/2006/relationships/image" Target="media/image13.jpeg"/><Relationship Id="rId26" Type="http://schemas.openxmlformats.org/officeDocument/2006/relationships/image" Target="media/image12.jpeg"/><Relationship Id="rId27" Type="http://schemas.openxmlformats.org/officeDocument/2006/relationships/image" Target="media/image12.jpeg"/><Relationship Id="rId28" Type="http://schemas.openxmlformats.org/officeDocument/2006/relationships/image" Target="media/image12.jpeg"/><Relationship Id="rId29" Type="http://schemas.openxmlformats.org/officeDocument/2006/relationships/image" Target="media/image12.jpeg"/><Relationship Id="rId30" Type="http://schemas.openxmlformats.org/officeDocument/2006/relationships/image" Target="media/image12.jpeg"/><Relationship Id="rId31" Type="http://schemas.openxmlformats.org/officeDocument/2006/relationships/image" Target="media/image12.jpeg"/><Relationship Id="rId32" Type="http://schemas.openxmlformats.org/officeDocument/2006/relationships/image" Target="media/image12.jpeg"/><Relationship Id="rId33" Type="http://schemas.openxmlformats.org/officeDocument/2006/relationships/image" Target="media/image14.jpeg"/><Relationship Id="rId34" Type="http://schemas.openxmlformats.org/officeDocument/2006/relationships/image" Target="media/image12.jpeg"/><Relationship Id="rId35" Type="http://schemas.openxmlformats.org/officeDocument/2006/relationships/image" Target="media/image12.jpeg"/><Relationship Id="rId36" Type="http://schemas.openxmlformats.org/officeDocument/2006/relationships/image" Target="media/image12.jpeg"/><Relationship Id="rId37" Type="http://schemas.openxmlformats.org/officeDocument/2006/relationships/image" Target="media/image12.jpeg"/><Relationship Id="rId38" Type="http://schemas.openxmlformats.org/officeDocument/2006/relationships/image" Target="media/image12.jpeg"/><Relationship Id="rId39" Type="http://schemas.openxmlformats.org/officeDocument/2006/relationships/image" Target="media/image12.jpeg"/><Relationship Id="rId40" Type="http://schemas.openxmlformats.org/officeDocument/2006/relationships/image" Target="media/image12.jpeg"/><Relationship Id="rId41" Type="http://schemas.openxmlformats.org/officeDocument/2006/relationships/image" Target="media/image12.jpeg"/><Relationship Id="rId42" Type="http://schemas.openxmlformats.org/officeDocument/2006/relationships/image" Target="media/image12.jpeg"/><Relationship Id="rId43" Type="http://schemas.openxmlformats.org/officeDocument/2006/relationships/image" Target="media/image12.jpeg"/><Relationship Id="rId44" Type="http://schemas.openxmlformats.org/officeDocument/2006/relationships/image" Target="media/image12.jpeg"/><Relationship Id="rId45" Type="http://schemas.openxmlformats.org/officeDocument/2006/relationships/image" Target="media/image15.jpeg"/><Relationship Id="rId46" Type="http://schemas.openxmlformats.org/officeDocument/2006/relationships/image" Target="media/image12.jpeg"/><Relationship Id="rId47" Type="http://schemas.openxmlformats.org/officeDocument/2006/relationships/image" Target="media/image12.jpeg"/><Relationship Id="rId48" Type="http://schemas.openxmlformats.org/officeDocument/2006/relationships/image" Target="media/image12.jpeg"/><Relationship Id="rId49" Type="http://schemas.openxmlformats.org/officeDocument/2006/relationships/image" Target="media/image12.jpeg"/><Relationship Id="rId50" Type="http://schemas.openxmlformats.org/officeDocument/2006/relationships/image" Target="media/image12.jpeg"/><Relationship Id="rId51" Type="http://schemas.openxmlformats.org/officeDocument/2006/relationships/image" Target="media/image12.jpeg"/><Relationship Id="rId52" Type="http://schemas.openxmlformats.org/officeDocument/2006/relationships/image" Target="media/image12.jpeg"/><Relationship Id="rId53" Type="http://schemas.openxmlformats.org/officeDocument/2006/relationships/image" Target="media/image16.jpeg"/><Relationship Id="rId54" Type="http://schemas.openxmlformats.org/officeDocument/2006/relationships/image" Target="media/image12.jpeg"/><Relationship Id="rId55" Type="http://schemas.openxmlformats.org/officeDocument/2006/relationships/image" Target="media/image12.jpeg"/><Relationship Id="rId56" Type="http://schemas.openxmlformats.org/officeDocument/2006/relationships/image" Target="media/image12.jpeg"/><Relationship Id="rId57" Type="http://schemas.openxmlformats.org/officeDocument/2006/relationships/image" Target="media/image12.jpeg"/><Relationship Id="rId58" Type="http://schemas.openxmlformats.org/officeDocument/2006/relationships/image" Target="media/image12.jpeg"/><Relationship Id="rId59" Type="http://schemas.openxmlformats.org/officeDocument/2006/relationships/image" Target="media/image12.jpeg"/><Relationship Id="rId60" Type="http://schemas.openxmlformats.org/officeDocument/2006/relationships/image" Target="media/image17.jpeg"/><Relationship Id="rId61" Type="http://schemas.openxmlformats.org/officeDocument/2006/relationships/image" Target="media/image12.jpeg"/><Relationship Id="rId62" Type="http://schemas.openxmlformats.org/officeDocument/2006/relationships/image" Target="media/image12.jpeg"/><Relationship Id="rId63" Type="http://schemas.openxmlformats.org/officeDocument/2006/relationships/image" Target="media/image12.jpeg"/><Relationship Id="rId64" Type="http://schemas.openxmlformats.org/officeDocument/2006/relationships/image" Target="media/image12.jpeg"/><Relationship Id="rId65" Type="http://schemas.openxmlformats.org/officeDocument/2006/relationships/image" Target="media/image12.jpeg"/><Relationship Id="rId66" Type="http://schemas.openxmlformats.org/officeDocument/2006/relationships/image" Target="media/image12.jpeg"/><Relationship Id="rId67" Type="http://schemas.openxmlformats.org/officeDocument/2006/relationships/image" Target="media/image12.jpeg"/><Relationship Id="rId68" Type="http://schemas.openxmlformats.org/officeDocument/2006/relationships/image" Target="media/image12.jpeg"/><Relationship Id="rId69" Type="http://schemas.openxmlformats.org/officeDocument/2006/relationships/image" Target="media/image12.jpeg"/><Relationship Id="rId70" Type="http://schemas.openxmlformats.org/officeDocument/2006/relationships/image" Target="media/image18.jpeg"/><Relationship Id="rId71" Type="http://schemas.openxmlformats.org/officeDocument/2006/relationships/image" Target="media/image19.jpeg"/><Relationship Id="rId72" Type="http://schemas.openxmlformats.org/officeDocument/2006/relationships/image" Target="media/image20.jpeg"/><Relationship Id="rId73" Type="http://schemas.openxmlformats.org/officeDocument/2006/relationships/image" Target="media/image21.jpeg"/><Relationship Id="rId74" Type="http://schemas.openxmlformats.org/officeDocument/2006/relationships/image" Target="media/image22.gif"/><Relationship Id="rId75" Type="http://schemas.openxmlformats.org/officeDocument/2006/relationships/image" Target="media/image23.gif"/><Relationship Id="rId76" Type="http://schemas.openxmlformats.org/officeDocument/2006/relationships/image" Target="media/image24.gif"/><Relationship Id="rId77" Type="http://schemas.openxmlformats.org/officeDocument/2006/relationships/image" Target="media/image25.gif"/><Relationship Id="rId78" Type="http://schemas.openxmlformats.org/officeDocument/2006/relationships/image" Target="media/image26.gif"/><Relationship Id="rId79" Type="http://schemas.openxmlformats.org/officeDocument/2006/relationships/image" Target="media/image26.gif"/><Relationship Id="rId80" Type="http://schemas.openxmlformats.org/officeDocument/2006/relationships/image" Target="media/image27.gif"/><Relationship Id="rId81" Type="http://schemas.openxmlformats.org/officeDocument/2006/relationships/image" Target="media/image28.gif"/><Relationship Id="rId82" Type="http://schemas.openxmlformats.org/officeDocument/2006/relationships/image" Target="media/image29.gif"/><Relationship Id="rId83" Type="http://schemas.openxmlformats.org/officeDocument/2006/relationships/image" Target="media/image30.gif"/><Relationship Id="rId84" Type="http://schemas.openxmlformats.org/officeDocument/2006/relationships/image" Target="media/image31.gif"/><Relationship Id="rId85" Type="http://schemas.openxmlformats.org/officeDocument/2006/relationships/image" Target="media/image32.jpeg"/><Relationship Id="rId86" Type="http://schemas.openxmlformats.org/officeDocument/2006/relationships/image" Target="media/image33.jpeg"/><Relationship Id="rId87" Type="http://schemas.openxmlformats.org/officeDocument/2006/relationships/image" Target="media/image34.jpeg"/><Relationship Id="rId88" Type="http://schemas.openxmlformats.org/officeDocument/2006/relationships/fontTable" Target="fontTable.xml"/><Relationship Id="rId8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14</Pages>
  <Words>61931</Words>
  <Characters>339682</Characters>
  <CharactersWithSpaces>399322</CharactersWithSpaces>
  <Paragraphs>7413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