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13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FORM 4</w:t>
            </w:r>
          </w:p>
        </w:tc>
        <w:tc>
          <w:tcPr>
            <w:tcW w:w="6220" w:type="dxa"/>
            <w:vAlign w:val="bottom"/>
            <w:gridSpan w:val="1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6220" w:type="dxa"/>
            <w:vAlign w:val="bottom"/>
            <w:gridSpan w:val="19"/>
            <w:vMerge w:val="restart"/>
          </w:tcPr>
          <w:p>
            <w:pPr>
              <w:jc w:val="center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2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5640" w:type="dxa"/>
            <w:vAlign w:val="bottom"/>
            <w:gridSpan w:val="18"/>
            <w:vMerge w:val="restart"/>
          </w:tcPr>
          <w:p>
            <w:pPr>
              <w:jc w:val="center"/>
              <w:ind w:left="4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24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Instruction 1(b).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40" w:type="dxa"/>
            <w:vAlign w:val="bottom"/>
            <w:gridSpan w:val="1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40" w:type="dxa"/>
            <w:vAlign w:val="bottom"/>
            <w:gridSpan w:val="1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80" w:type="dxa"/>
            <w:vAlign w:val="bottom"/>
            <w:gridSpan w:val="10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or Section 30(h) of the Investment Company Act of 1940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</w:tcPr>
          <w:p>
            <w:pPr>
              <w:ind w:left="6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Smith Julie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8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EXELIXIS,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EXEL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restart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20" w:type="dxa"/>
            <w:vAlign w:val="bottom"/>
            <w:gridSpan w:val="7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06/01/2023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EXELIXIS,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1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2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1851 HARBOR BAY PARKWAY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3"/>
          </w:tcPr>
          <w:p>
            <w:pPr>
              <w:ind w:left="2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gridSpan w:val="11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2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ALAMEDA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94502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2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  <w:w w:val="99"/>
              </w:rPr>
              <w:t>Rule 10b5-1(c) Transaction Indication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0" w:type="dxa"/>
            <w:vAlign w:val="bottom"/>
            <w:gridSpan w:val="2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to indicate that a transaction was made pursuant to a contract, instruction or written plan that is intended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0" w:type="dxa"/>
            <w:vAlign w:val="bottom"/>
            <w:gridSpan w:val="2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40" w:type="dxa"/>
            <w:vAlign w:val="bottom"/>
            <w:gridSpan w:val="13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satisfy the affirmative defense conditions of Rule 10b5-1(c). See Instruction 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7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7"/>
          </w:tcPr>
          <w:p>
            <w:pPr>
              <w:ind w:left="8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8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06/01/2023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44,087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19.39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ind w:right="115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06/01/2023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gridSpan w:val="4"/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44,087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05/31/2030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44,087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-9525</wp:posOffset>
            </wp:positionH>
            <wp:positionV relativeFrom="paragraph">
              <wp:posOffset>-5678170</wp:posOffset>
            </wp:positionV>
            <wp:extent cx="7045960" cy="56915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691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 w:right="280" w:firstLine="3"/>
        <w:spacing w:after="0" w:line="251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 granted pursuant to the Exelixis, Inc. 2017 Equity Incentive Plan. The option is exercisable immediately, subject to repurchase provisions, and will vest as to 100% of the shares subject to the option on the first anniversary of the date of grant, subject to the Reporting Person's continuous service through such date.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Nina Ayer, Attorney in Fact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06/02/2023</w:t>
            </w:r>
          </w:p>
        </w:tc>
      </w:tr>
      <w:tr>
        <w:trPr>
          <w:trHeight w:val="226"/>
        </w:trPr>
        <w:tc>
          <w:tcPr>
            <w:tcW w:w="20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60" w:firstLine="3"/>
        <w:spacing w:after="0" w:line="336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557928" TargetMode="External"/><Relationship Id="rId9" Type="http://schemas.openxmlformats.org/officeDocument/2006/relationships/hyperlink" Target="http://www.sec.gov/cgi-bin/browse-edgar?action=getcompany&amp;CIK=0000939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2023-06-02T20:25:02Z</dcterms:created>
  <dcterms:modified xsi:type="dcterms:W3CDTF">2023-06-02T20:25:02Z</dcterms:modified>
</cp:coreProperties>
</file>