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Registration No. 333-182018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STATEMENT OF ELIGIBILITY</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TRUST INDENTURE ACT OF 1939 OF A</w:t>
      </w:r>
    </w:p>
    <w:p>
      <w:pPr>
        <w:jc w:val="center"/>
        <w:spacing w:after="0"/>
        <w:rPr>
          <w:sz w:val="20"/>
          <w:szCs w:val="20"/>
          <w:color w:val="auto"/>
        </w:rPr>
      </w:pPr>
      <w:r>
        <w:rPr>
          <w:rFonts w:ascii="Arial" w:cs="Arial" w:eastAsia="Arial" w:hAnsi="Arial"/>
          <w:sz w:val="22"/>
          <w:szCs w:val="22"/>
          <w:b w:val="1"/>
          <w:bCs w:val="1"/>
          <w:color w:val="auto"/>
        </w:rPr>
        <w:t>CORPORATION DESIGNATED TO ACT AS TRUSTEE</w:t>
      </w:r>
    </w:p>
    <w:p>
      <w:pPr>
        <w:spacing w:after="0" w:line="128" w:lineRule="exact"/>
        <w:rPr>
          <w:sz w:val="24"/>
          <w:szCs w:val="24"/>
          <w:color w:val="auto"/>
        </w:rPr>
      </w:pPr>
    </w:p>
    <w:p>
      <w:pPr>
        <w:ind w:left="460" w:right="5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CHECK IF AN APPLICATION TO DETERMINE ELIGIBILITY OF A TRUSTEE PURSUANT TO SECTION 305(b)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86360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WELLS FARGO BANK, NATIONAL ASSOCIATION</w:t>
      </w: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7840" w:type="dxa"/>
            <w:vAlign w:val="bottom"/>
            <w:gridSpan w:val="3"/>
          </w:tcPr>
          <w:p>
            <w:pPr>
              <w:jc w:val="center"/>
              <w:ind w:left="3502"/>
              <w:spacing w:after="0"/>
              <w:rPr>
                <w:sz w:val="20"/>
                <w:szCs w:val="20"/>
                <w:color w:val="auto"/>
              </w:rPr>
            </w:pPr>
            <w:r>
              <w:rPr>
                <w:rFonts w:ascii="Arial" w:cs="Arial" w:eastAsia="Arial" w:hAnsi="Arial"/>
                <w:sz w:val="18"/>
                <w:szCs w:val="18"/>
                <w:b w:val="1"/>
                <w:bCs w:val="1"/>
                <w:color w:val="auto"/>
                <w:w w:val="87"/>
              </w:rPr>
              <w:t>(Exact name of trustee as specified in its charter)</w:t>
            </w:r>
          </w:p>
        </w:tc>
        <w:tc>
          <w:tcPr>
            <w:tcW w:w="3580" w:type="dxa"/>
            <w:vAlign w:val="bottom"/>
          </w:tcPr>
          <w:p>
            <w:pPr>
              <w:spacing w:after="0"/>
              <w:rPr>
                <w:sz w:val="19"/>
                <w:szCs w:val="19"/>
                <w:color w:val="auto"/>
              </w:rPr>
            </w:pPr>
          </w:p>
        </w:tc>
      </w:tr>
      <w:tr>
        <w:trPr>
          <w:trHeight w:val="158"/>
        </w:trPr>
        <w:tc>
          <w:tcPr>
            <w:tcW w:w="4520" w:type="dxa"/>
            <w:vAlign w:val="bottom"/>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3580" w:type="dxa"/>
            <w:vAlign w:val="bottom"/>
          </w:tcPr>
          <w:p>
            <w:pPr>
              <w:spacing w:after="0"/>
              <w:rPr>
                <w:sz w:val="13"/>
                <w:szCs w:val="13"/>
                <w:color w:val="auto"/>
              </w:rPr>
            </w:pPr>
          </w:p>
        </w:tc>
      </w:tr>
      <w:tr>
        <w:trPr>
          <w:trHeight w:val="305"/>
        </w:trPr>
        <w:tc>
          <w:tcPr>
            <w:tcW w:w="7840" w:type="dxa"/>
            <w:vAlign w:val="bottom"/>
            <w:gridSpan w:val="3"/>
          </w:tcPr>
          <w:p>
            <w:pPr>
              <w:jc w:val="center"/>
              <w:ind w:right="2060"/>
              <w:spacing w:after="0"/>
              <w:rPr>
                <w:sz w:val="20"/>
                <w:szCs w:val="20"/>
                <w:color w:val="auto"/>
              </w:rPr>
            </w:pPr>
            <w:r>
              <w:rPr>
                <w:rFonts w:ascii="Arial" w:cs="Arial" w:eastAsia="Arial" w:hAnsi="Arial"/>
                <w:sz w:val="18"/>
                <w:szCs w:val="18"/>
                <w:b w:val="1"/>
                <w:bCs w:val="1"/>
                <w:color w:val="auto"/>
                <w:w w:val="87"/>
              </w:rPr>
              <w:t>A National Banking Association</w:t>
            </w:r>
          </w:p>
        </w:tc>
        <w:tc>
          <w:tcPr>
            <w:tcW w:w="3580" w:type="dxa"/>
            <w:vAlign w:val="bottom"/>
          </w:tcPr>
          <w:p>
            <w:pPr>
              <w:jc w:val="center"/>
              <w:ind w:right="1884"/>
              <w:spacing w:after="0"/>
              <w:rPr>
                <w:sz w:val="20"/>
                <w:szCs w:val="20"/>
                <w:color w:val="auto"/>
              </w:rPr>
            </w:pPr>
            <w:r>
              <w:rPr>
                <w:rFonts w:ascii="Arial" w:cs="Arial" w:eastAsia="Arial" w:hAnsi="Arial"/>
                <w:sz w:val="18"/>
                <w:szCs w:val="18"/>
                <w:b w:val="1"/>
                <w:bCs w:val="1"/>
                <w:color w:val="auto"/>
                <w:w w:val="89"/>
              </w:rPr>
              <w:t>94-1347393</w:t>
            </w:r>
          </w:p>
        </w:tc>
      </w:tr>
      <w:tr>
        <w:trPr>
          <w:trHeight w:val="149"/>
        </w:trPr>
        <w:tc>
          <w:tcPr>
            <w:tcW w:w="7840" w:type="dxa"/>
            <w:vAlign w:val="bottom"/>
            <w:gridSpan w:val="3"/>
          </w:tcPr>
          <w:p>
            <w:pPr>
              <w:jc w:val="center"/>
              <w:ind w:right="2060"/>
              <w:spacing w:after="0" w:line="149" w:lineRule="exact"/>
              <w:rPr>
                <w:sz w:val="20"/>
                <w:szCs w:val="20"/>
                <w:color w:val="auto"/>
              </w:rPr>
            </w:pPr>
            <w:r>
              <w:rPr>
                <w:rFonts w:ascii="Arial" w:cs="Arial" w:eastAsia="Arial" w:hAnsi="Arial"/>
                <w:sz w:val="14"/>
                <w:szCs w:val="14"/>
                <w:b w:val="1"/>
                <w:bCs w:val="1"/>
                <w:color w:val="auto"/>
                <w:w w:val="87"/>
              </w:rPr>
              <w:t>(Jurisdiction of incorporation or</w:t>
            </w:r>
          </w:p>
        </w:tc>
        <w:tc>
          <w:tcPr>
            <w:tcW w:w="3580" w:type="dxa"/>
            <w:vAlign w:val="bottom"/>
          </w:tcPr>
          <w:p>
            <w:pPr>
              <w:jc w:val="center"/>
              <w:ind w:right="18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7840" w:type="dxa"/>
            <w:vAlign w:val="bottom"/>
            <w:gridSpan w:val="3"/>
          </w:tcPr>
          <w:p>
            <w:pPr>
              <w:jc w:val="center"/>
              <w:ind w:right="2040"/>
              <w:spacing w:after="0"/>
              <w:rPr>
                <w:sz w:val="20"/>
                <w:szCs w:val="20"/>
                <w:color w:val="auto"/>
              </w:rPr>
            </w:pPr>
            <w:r>
              <w:rPr>
                <w:rFonts w:ascii="Arial" w:cs="Arial" w:eastAsia="Arial" w:hAnsi="Arial"/>
                <w:sz w:val="14"/>
                <w:szCs w:val="14"/>
                <w:b w:val="1"/>
                <w:bCs w:val="1"/>
                <w:color w:val="auto"/>
                <w:w w:val="88"/>
              </w:rPr>
              <w:t>organization if not a U.S. national bank)</w:t>
            </w:r>
          </w:p>
        </w:tc>
        <w:tc>
          <w:tcPr>
            <w:tcW w:w="3580" w:type="dxa"/>
            <w:vAlign w:val="bottom"/>
          </w:tcPr>
          <w:p>
            <w:pPr>
              <w:jc w:val="center"/>
              <w:ind w:right="188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7840" w:type="dxa"/>
            <w:vAlign w:val="bottom"/>
            <w:gridSpan w:val="3"/>
          </w:tcPr>
          <w:p>
            <w:pPr>
              <w:jc w:val="center"/>
              <w:ind w:right="2040"/>
              <w:spacing w:after="0"/>
              <w:rPr>
                <w:sz w:val="20"/>
                <w:szCs w:val="20"/>
                <w:color w:val="auto"/>
              </w:rPr>
            </w:pPr>
            <w:r>
              <w:rPr>
                <w:rFonts w:ascii="Arial" w:cs="Arial" w:eastAsia="Arial" w:hAnsi="Arial"/>
                <w:sz w:val="18"/>
                <w:szCs w:val="18"/>
                <w:b w:val="1"/>
                <w:bCs w:val="1"/>
                <w:color w:val="auto"/>
                <w:w w:val="88"/>
              </w:rPr>
              <w:t>101 North Phillips Avenue</w:t>
            </w:r>
          </w:p>
        </w:tc>
        <w:tc>
          <w:tcPr>
            <w:tcW w:w="3580" w:type="dxa"/>
            <w:vAlign w:val="bottom"/>
          </w:tcPr>
          <w:p>
            <w:pPr>
              <w:spacing w:after="0"/>
              <w:rPr>
                <w:sz w:val="24"/>
                <w:szCs w:val="24"/>
                <w:color w:val="auto"/>
              </w:rPr>
            </w:pPr>
          </w:p>
        </w:tc>
      </w:tr>
      <w:tr>
        <w:trPr>
          <w:trHeight w:val="218"/>
        </w:trPr>
        <w:tc>
          <w:tcPr>
            <w:tcW w:w="7840" w:type="dxa"/>
            <w:vAlign w:val="bottom"/>
            <w:gridSpan w:val="3"/>
          </w:tcPr>
          <w:p>
            <w:pPr>
              <w:jc w:val="center"/>
              <w:ind w:right="2060"/>
              <w:spacing w:after="0"/>
              <w:rPr>
                <w:sz w:val="20"/>
                <w:szCs w:val="20"/>
                <w:color w:val="auto"/>
              </w:rPr>
            </w:pPr>
            <w:r>
              <w:rPr>
                <w:rFonts w:ascii="Arial" w:cs="Arial" w:eastAsia="Arial" w:hAnsi="Arial"/>
                <w:sz w:val="18"/>
                <w:szCs w:val="18"/>
                <w:b w:val="1"/>
                <w:bCs w:val="1"/>
                <w:color w:val="auto"/>
                <w:w w:val="87"/>
              </w:rPr>
              <w:t>Sioux Falls, South Dakota</w:t>
            </w:r>
          </w:p>
        </w:tc>
        <w:tc>
          <w:tcPr>
            <w:tcW w:w="3580" w:type="dxa"/>
            <w:vAlign w:val="bottom"/>
          </w:tcPr>
          <w:p>
            <w:pPr>
              <w:jc w:val="center"/>
              <w:ind w:right="1864"/>
              <w:spacing w:after="0"/>
              <w:rPr>
                <w:sz w:val="20"/>
                <w:szCs w:val="20"/>
                <w:color w:val="auto"/>
              </w:rPr>
            </w:pPr>
            <w:r>
              <w:rPr>
                <w:rFonts w:ascii="Arial" w:cs="Arial" w:eastAsia="Arial" w:hAnsi="Arial"/>
                <w:sz w:val="18"/>
                <w:szCs w:val="18"/>
                <w:b w:val="1"/>
                <w:bCs w:val="1"/>
                <w:color w:val="auto"/>
                <w:w w:val="87"/>
              </w:rPr>
              <w:t>57104</w:t>
            </w:r>
          </w:p>
        </w:tc>
      </w:tr>
      <w:tr>
        <w:trPr>
          <w:trHeight w:val="174"/>
        </w:trPr>
        <w:tc>
          <w:tcPr>
            <w:tcW w:w="7840" w:type="dxa"/>
            <w:vAlign w:val="bottom"/>
            <w:gridSpan w:val="3"/>
          </w:tcPr>
          <w:p>
            <w:pPr>
              <w:jc w:val="center"/>
              <w:ind w:right="2060"/>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3580" w:type="dxa"/>
            <w:vAlign w:val="bottom"/>
          </w:tcPr>
          <w:p>
            <w:pPr>
              <w:jc w:val="center"/>
              <w:ind w:right="1884"/>
              <w:spacing w:after="0"/>
              <w:rPr>
                <w:sz w:val="20"/>
                <w:szCs w:val="20"/>
                <w:color w:val="auto"/>
              </w:rPr>
            </w:pPr>
            <w:r>
              <w:rPr>
                <w:rFonts w:ascii="Arial" w:cs="Arial" w:eastAsia="Arial" w:hAnsi="Arial"/>
                <w:sz w:val="14"/>
                <w:szCs w:val="14"/>
                <w:b w:val="1"/>
                <w:bCs w:val="1"/>
                <w:color w:val="auto"/>
                <w:w w:val="86"/>
              </w:rPr>
              <w:t>(Zip code)</w:t>
            </w:r>
          </w:p>
        </w:tc>
      </w:tr>
      <w:tr>
        <w:trPr>
          <w:trHeight w:val="351"/>
        </w:trPr>
        <w:tc>
          <w:tcPr>
            <w:tcW w:w="4520" w:type="dxa"/>
            <w:vAlign w:val="bottom"/>
          </w:tcPr>
          <w:p>
            <w:pPr>
              <w:spacing w:after="0"/>
              <w:rPr>
                <w:sz w:val="24"/>
                <w:szCs w:val="24"/>
                <w:color w:val="auto"/>
              </w:rPr>
            </w:pPr>
          </w:p>
        </w:tc>
        <w:tc>
          <w:tcPr>
            <w:tcW w:w="332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89"/>
              </w:rPr>
              <w:t>Wells Fargo &amp; Company</w:t>
            </w:r>
          </w:p>
        </w:tc>
        <w:tc>
          <w:tcPr>
            <w:tcW w:w="3580" w:type="dxa"/>
            <w:vAlign w:val="bottom"/>
          </w:tcPr>
          <w:p>
            <w:pPr>
              <w:spacing w:after="0"/>
              <w:rPr>
                <w:sz w:val="24"/>
                <w:szCs w:val="24"/>
                <w:color w:val="auto"/>
              </w:rPr>
            </w:pPr>
          </w:p>
        </w:tc>
      </w:tr>
      <w:tr>
        <w:trPr>
          <w:trHeight w:val="216"/>
        </w:trPr>
        <w:tc>
          <w:tcPr>
            <w:tcW w:w="4520" w:type="dxa"/>
            <w:vAlign w:val="bottom"/>
          </w:tcPr>
          <w:p>
            <w:pPr>
              <w:spacing w:after="0"/>
              <w:rPr>
                <w:sz w:val="18"/>
                <w:szCs w:val="18"/>
                <w:color w:val="auto"/>
              </w:rPr>
            </w:pPr>
          </w:p>
        </w:tc>
        <w:tc>
          <w:tcPr>
            <w:tcW w:w="332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89"/>
              </w:rPr>
              <w:t>Law Department, Trust Section</w:t>
            </w:r>
          </w:p>
        </w:tc>
        <w:tc>
          <w:tcPr>
            <w:tcW w:w="358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332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93"/>
              </w:rPr>
              <w:t>MAC N9305-175</w:t>
            </w:r>
          </w:p>
        </w:tc>
        <w:tc>
          <w:tcPr>
            <w:tcW w:w="3580" w:type="dxa"/>
            <w:vAlign w:val="bottom"/>
          </w:tcPr>
          <w:p>
            <w:pPr>
              <w:spacing w:after="0"/>
              <w:rPr>
                <w:sz w:val="18"/>
                <w:szCs w:val="18"/>
                <w:color w:val="auto"/>
              </w:rPr>
            </w:pPr>
          </w:p>
        </w:tc>
      </w:tr>
      <w:tr>
        <w:trPr>
          <w:trHeight w:val="216"/>
        </w:trPr>
        <w:tc>
          <w:tcPr>
            <w:tcW w:w="7840" w:type="dxa"/>
            <w:vAlign w:val="bottom"/>
            <w:gridSpan w:val="3"/>
          </w:tcPr>
          <w:p>
            <w:pPr>
              <w:jc w:val="center"/>
              <w:ind w:left="3502"/>
              <w:spacing w:after="0"/>
              <w:rPr>
                <w:sz w:val="20"/>
                <w:szCs w:val="20"/>
                <w:color w:val="auto"/>
              </w:rPr>
            </w:pPr>
            <w:r>
              <w:rPr>
                <w:rFonts w:ascii="Arial" w:cs="Arial" w:eastAsia="Arial" w:hAnsi="Arial"/>
                <w:sz w:val="18"/>
                <w:szCs w:val="18"/>
                <w:b w:val="1"/>
                <w:bCs w:val="1"/>
                <w:color w:val="auto"/>
                <w:w w:val="89"/>
              </w:rPr>
              <w:t>Sixth Street and Marquette Avenue, 17</w:t>
            </w:r>
            <w:r>
              <w:rPr>
                <w:rFonts w:ascii="Arial" w:cs="Arial" w:eastAsia="Arial" w:hAnsi="Arial"/>
                <w:sz w:val="11"/>
                <w:szCs w:val="11"/>
                <w:b w:val="1"/>
                <w:bCs w:val="1"/>
                <w:color w:val="auto"/>
                <w:w w:val="89"/>
              </w:rPr>
              <w:t>th</w:t>
            </w:r>
            <w:r>
              <w:rPr>
                <w:rFonts w:ascii="Arial" w:cs="Arial" w:eastAsia="Arial" w:hAnsi="Arial"/>
                <w:sz w:val="18"/>
                <w:szCs w:val="18"/>
                <w:b w:val="1"/>
                <w:bCs w:val="1"/>
                <w:color w:val="auto"/>
                <w:w w:val="89"/>
              </w:rPr>
              <w:t xml:space="preserve"> Floor</w:t>
            </w:r>
          </w:p>
        </w:tc>
        <w:tc>
          <w:tcPr>
            <w:tcW w:w="358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332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88"/>
              </w:rPr>
              <w:t>Minneapolis, Minnesota 55479</w:t>
            </w:r>
          </w:p>
        </w:tc>
        <w:tc>
          <w:tcPr>
            <w:tcW w:w="3580" w:type="dxa"/>
            <w:vAlign w:val="bottom"/>
          </w:tcPr>
          <w:p>
            <w:pPr>
              <w:spacing w:after="0"/>
              <w:rPr>
                <w:sz w:val="18"/>
                <w:szCs w:val="18"/>
                <w:color w:val="auto"/>
              </w:rPr>
            </w:pPr>
          </w:p>
        </w:tc>
      </w:tr>
      <w:tr>
        <w:trPr>
          <w:trHeight w:val="218"/>
        </w:trPr>
        <w:tc>
          <w:tcPr>
            <w:tcW w:w="6900" w:type="dxa"/>
            <w:vAlign w:val="bottom"/>
            <w:gridSpan w:val="2"/>
          </w:tcPr>
          <w:p>
            <w:pPr>
              <w:jc w:val="center"/>
              <w:ind w:left="4442"/>
              <w:spacing w:after="0"/>
              <w:rPr>
                <w:sz w:val="20"/>
                <w:szCs w:val="20"/>
                <w:color w:val="auto"/>
              </w:rPr>
            </w:pPr>
            <w:r>
              <w:rPr>
                <w:rFonts w:ascii="Arial" w:cs="Arial" w:eastAsia="Arial" w:hAnsi="Arial"/>
                <w:sz w:val="18"/>
                <w:szCs w:val="18"/>
                <w:b w:val="1"/>
                <w:bCs w:val="1"/>
                <w:color w:val="auto"/>
                <w:w w:val="89"/>
              </w:rPr>
              <w:t>(612) 667-4608</w:t>
            </w:r>
          </w:p>
        </w:tc>
        <w:tc>
          <w:tcPr>
            <w:tcW w:w="94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174"/>
        </w:trPr>
        <w:tc>
          <w:tcPr>
            <w:tcW w:w="7840" w:type="dxa"/>
            <w:vAlign w:val="bottom"/>
            <w:gridSpan w:val="3"/>
          </w:tcPr>
          <w:p>
            <w:pPr>
              <w:jc w:val="center"/>
              <w:ind w:left="3522"/>
              <w:spacing w:after="0"/>
              <w:rPr>
                <w:sz w:val="20"/>
                <w:szCs w:val="20"/>
                <w:color w:val="auto"/>
              </w:rPr>
            </w:pPr>
            <w:r>
              <w:rPr>
                <w:rFonts w:ascii="Arial" w:cs="Arial" w:eastAsia="Arial" w:hAnsi="Arial"/>
                <w:sz w:val="14"/>
                <w:szCs w:val="14"/>
                <w:b w:val="1"/>
                <w:bCs w:val="1"/>
                <w:color w:val="auto"/>
                <w:w w:val="85"/>
              </w:rPr>
              <w:t>(Name, address and telephone number of agent for service)</w:t>
            </w:r>
          </w:p>
        </w:tc>
        <w:tc>
          <w:tcPr>
            <w:tcW w:w="3580" w:type="dxa"/>
            <w:vAlign w:val="bottom"/>
          </w:tcPr>
          <w:p>
            <w:pPr>
              <w:spacing w:after="0"/>
              <w:rPr>
                <w:sz w:val="15"/>
                <w:szCs w:val="15"/>
                <w:color w:val="auto"/>
              </w:rPr>
            </w:pPr>
          </w:p>
        </w:tc>
      </w:tr>
      <w:tr>
        <w:trPr>
          <w:trHeight w:val="149"/>
        </w:trPr>
        <w:tc>
          <w:tcPr>
            <w:tcW w:w="452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3580" w:type="dxa"/>
            <w:vAlign w:val="bottom"/>
          </w:tcPr>
          <w:p>
            <w:pPr>
              <w:spacing w:after="0"/>
              <w:rPr>
                <w:sz w:val="12"/>
                <w:szCs w:val="12"/>
                <w:color w:val="auto"/>
              </w:rPr>
            </w:pPr>
          </w:p>
        </w:tc>
      </w:tr>
      <w:tr>
        <w:trPr>
          <w:trHeight w:val="278"/>
        </w:trPr>
        <w:tc>
          <w:tcPr>
            <w:tcW w:w="4520" w:type="dxa"/>
            <w:vAlign w:val="bottom"/>
          </w:tcPr>
          <w:p>
            <w:pPr>
              <w:spacing w:after="0"/>
              <w:rPr>
                <w:sz w:val="24"/>
                <w:szCs w:val="24"/>
                <w:color w:val="auto"/>
              </w:rPr>
            </w:pPr>
          </w:p>
        </w:tc>
        <w:tc>
          <w:tcPr>
            <w:tcW w:w="332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rPr>
              <w:t>EXELIXIS, INC.</w:t>
            </w:r>
          </w:p>
        </w:tc>
        <w:tc>
          <w:tcPr>
            <w:tcW w:w="3580" w:type="dxa"/>
            <w:vAlign w:val="bottom"/>
          </w:tcPr>
          <w:p>
            <w:pPr>
              <w:spacing w:after="0"/>
              <w:rPr>
                <w:sz w:val="24"/>
                <w:szCs w:val="24"/>
                <w:color w:val="auto"/>
              </w:rPr>
            </w:pPr>
          </w:p>
        </w:tc>
      </w:tr>
      <w:tr>
        <w:trPr>
          <w:trHeight w:val="174"/>
        </w:trPr>
        <w:tc>
          <w:tcPr>
            <w:tcW w:w="7840" w:type="dxa"/>
            <w:vAlign w:val="bottom"/>
            <w:gridSpan w:val="3"/>
          </w:tcPr>
          <w:p>
            <w:pPr>
              <w:jc w:val="center"/>
              <w:ind w:left="3502"/>
              <w:spacing w:after="0"/>
              <w:rPr>
                <w:sz w:val="20"/>
                <w:szCs w:val="20"/>
                <w:color w:val="auto"/>
              </w:rPr>
            </w:pPr>
            <w:r>
              <w:rPr>
                <w:rFonts w:ascii="Arial" w:cs="Arial" w:eastAsia="Arial" w:hAnsi="Arial"/>
                <w:sz w:val="14"/>
                <w:szCs w:val="14"/>
                <w:b w:val="1"/>
                <w:bCs w:val="1"/>
                <w:color w:val="auto"/>
                <w:w w:val="86"/>
              </w:rPr>
              <w:t>(Exact name of obligor as specified in its charter)</w:t>
            </w:r>
          </w:p>
        </w:tc>
        <w:tc>
          <w:tcPr>
            <w:tcW w:w="3580" w:type="dxa"/>
            <w:vAlign w:val="bottom"/>
          </w:tcPr>
          <w:p>
            <w:pPr>
              <w:spacing w:after="0"/>
              <w:rPr>
                <w:sz w:val="15"/>
                <w:szCs w:val="15"/>
                <w:color w:val="auto"/>
              </w:rPr>
            </w:pPr>
          </w:p>
        </w:tc>
      </w:tr>
      <w:tr>
        <w:trPr>
          <w:trHeight w:val="149"/>
        </w:trPr>
        <w:tc>
          <w:tcPr>
            <w:tcW w:w="452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3580" w:type="dxa"/>
            <w:vAlign w:val="bottom"/>
          </w:tcPr>
          <w:p>
            <w:pPr>
              <w:spacing w:after="0"/>
              <w:rPr>
                <w:sz w:val="12"/>
                <w:szCs w:val="12"/>
                <w:color w:val="auto"/>
              </w:rPr>
            </w:pPr>
          </w:p>
        </w:tc>
      </w:tr>
      <w:tr>
        <w:trPr>
          <w:trHeight w:val="305"/>
        </w:trPr>
        <w:tc>
          <w:tcPr>
            <w:tcW w:w="7840" w:type="dxa"/>
            <w:vAlign w:val="bottom"/>
            <w:gridSpan w:val="3"/>
          </w:tcPr>
          <w:p>
            <w:pPr>
              <w:jc w:val="center"/>
              <w:ind w:right="2060"/>
              <w:spacing w:after="0"/>
              <w:rPr>
                <w:sz w:val="20"/>
                <w:szCs w:val="20"/>
                <w:color w:val="auto"/>
              </w:rPr>
            </w:pPr>
            <w:r>
              <w:rPr>
                <w:rFonts w:ascii="Arial" w:cs="Arial" w:eastAsia="Arial" w:hAnsi="Arial"/>
                <w:sz w:val="18"/>
                <w:szCs w:val="18"/>
                <w:b w:val="1"/>
                <w:bCs w:val="1"/>
                <w:color w:val="auto"/>
                <w:w w:val="88"/>
              </w:rPr>
              <w:t>Delaware</w:t>
            </w:r>
          </w:p>
        </w:tc>
        <w:tc>
          <w:tcPr>
            <w:tcW w:w="3580" w:type="dxa"/>
            <w:vAlign w:val="bottom"/>
          </w:tcPr>
          <w:p>
            <w:pPr>
              <w:jc w:val="center"/>
              <w:ind w:right="1884"/>
              <w:spacing w:after="0"/>
              <w:rPr>
                <w:sz w:val="20"/>
                <w:szCs w:val="20"/>
                <w:color w:val="auto"/>
              </w:rPr>
            </w:pPr>
            <w:r>
              <w:rPr>
                <w:rFonts w:ascii="Arial" w:cs="Arial" w:eastAsia="Arial" w:hAnsi="Arial"/>
                <w:sz w:val="18"/>
                <w:szCs w:val="18"/>
                <w:b w:val="1"/>
                <w:bCs w:val="1"/>
                <w:color w:val="auto"/>
                <w:w w:val="89"/>
              </w:rPr>
              <w:t>04-3257395</w:t>
            </w:r>
          </w:p>
        </w:tc>
      </w:tr>
      <w:tr>
        <w:trPr>
          <w:trHeight w:val="149"/>
        </w:trPr>
        <w:tc>
          <w:tcPr>
            <w:tcW w:w="7840" w:type="dxa"/>
            <w:vAlign w:val="bottom"/>
            <w:gridSpan w:val="3"/>
          </w:tcPr>
          <w:p>
            <w:pPr>
              <w:jc w:val="center"/>
              <w:ind w:right="206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580" w:type="dxa"/>
            <w:vAlign w:val="bottom"/>
          </w:tcPr>
          <w:p>
            <w:pPr>
              <w:jc w:val="center"/>
              <w:ind w:right="18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7840" w:type="dxa"/>
            <w:vAlign w:val="bottom"/>
            <w:gridSpan w:val="3"/>
          </w:tcPr>
          <w:p>
            <w:pPr>
              <w:jc w:val="center"/>
              <w:ind w:right="2040"/>
              <w:spacing w:after="0"/>
              <w:rPr>
                <w:sz w:val="20"/>
                <w:szCs w:val="20"/>
                <w:color w:val="auto"/>
              </w:rPr>
            </w:pPr>
            <w:r>
              <w:rPr>
                <w:rFonts w:ascii="Arial" w:cs="Arial" w:eastAsia="Arial" w:hAnsi="Arial"/>
                <w:sz w:val="14"/>
                <w:szCs w:val="14"/>
                <w:b w:val="1"/>
                <w:bCs w:val="1"/>
                <w:color w:val="auto"/>
                <w:w w:val="88"/>
              </w:rPr>
              <w:t>incorporation or organization)</w:t>
            </w:r>
          </w:p>
        </w:tc>
        <w:tc>
          <w:tcPr>
            <w:tcW w:w="3580" w:type="dxa"/>
            <w:vAlign w:val="bottom"/>
          </w:tcPr>
          <w:p>
            <w:pPr>
              <w:jc w:val="center"/>
              <w:ind w:right="188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7840" w:type="dxa"/>
            <w:vAlign w:val="bottom"/>
            <w:gridSpan w:val="3"/>
          </w:tcPr>
          <w:p>
            <w:pPr>
              <w:jc w:val="center"/>
              <w:ind w:right="2060"/>
              <w:spacing w:after="0"/>
              <w:rPr>
                <w:sz w:val="20"/>
                <w:szCs w:val="20"/>
                <w:color w:val="auto"/>
              </w:rPr>
            </w:pPr>
            <w:r>
              <w:rPr>
                <w:rFonts w:ascii="Arial" w:cs="Arial" w:eastAsia="Arial" w:hAnsi="Arial"/>
                <w:sz w:val="18"/>
                <w:szCs w:val="18"/>
                <w:b w:val="1"/>
                <w:bCs w:val="1"/>
                <w:color w:val="auto"/>
                <w:w w:val="88"/>
              </w:rPr>
              <w:t>210 East Grand Ave</w:t>
            </w:r>
          </w:p>
        </w:tc>
        <w:tc>
          <w:tcPr>
            <w:tcW w:w="3580" w:type="dxa"/>
            <w:vAlign w:val="bottom"/>
          </w:tcPr>
          <w:p>
            <w:pPr>
              <w:spacing w:after="0"/>
              <w:rPr>
                <w:sz w:val="24"/>
                <w:szCs w:val="24"/>
                <w:color w:val="auto"/>
              </w:rPr>
            </w:pPr>
          </w:p>
        </w:tc>
      </w:tr>
      <w:tr>
        <w:trPr>
          <w:trHeight w:val="231"/>
        </w:trPr>
        <w:tc>
          <w:tcPr>
            <w:tcW w:w="7840" w:type="dxa"/>
            <w:vAlign w:val="bottom"/>
            <w:gridSpan w:val="3"/>
          </w:tcPr>
          <w:p>
            <w:pPr>
              <w:jc w:val="center"/>
              <w:ind w:right="2040"/>
              <w:spacing w:after="0"/>
              <w:rPr>
                <w:sz w:val="20"/>
                <w:szCs w:val="20"/>
                <w:color w:val="auto"/>
              </w:rPr>
            </w:pPr>
            <w:r>
              <w:rPr>
                <w:rFonts w:ascii="Arial" w:cs="Arial" w:eastAsia="Arial" w:hAnsi="Arial"/>
                <w:sz w:val="18"/>
                <w:szCs w:val="18"/>
                <w:b w:val="1"/>
                <w:bCs w:val="1"/>
                <w:color w:val="auto"/>
                <w:w w:val="87"/>
              </w:rPr>
              <w:t>South San Francisco, CA</w:t>
            </w:r>
          </w:p>
        </w:tc>
        <w:tc>
          <w:tcPr>
            <w:tcW w:w="3580" w:type="dxa"/>
            <w:vAlign w:val="bottom"/>
          </w:tcPr>
          <w:p>
            <w:pPr>
              <w:jc w:val="center"/>
              <w:ind w:right="1864"/>
              <w:spacing w:after="0"/>
              <w:rPr>
                <w:sz w:val="20"/>
                <w:szCs w:val="20"/>
                <w:color w:val="auto"/>
              </w:rPr>
            </w:pPr>
            <w:r>
              <w:rPr>
                <w:rFonts w:ascii="Arial" w:cs="Arial" w:eastAsia="Arial" w:hAnsi="Arial"/>
                <w:sz w:val="18"/>
                <w:szCs w:val="18"/>
                <w:b w:val="1"/>
                <w:bCs w:val="1"/>
                <w:color w:val="auto"/>
                <w:w w:val="87"/>
              </w:rPr>
              <w:t>94080</w:t>
            </w:r>
          </w:p>
        </w:tc>
      </w:tr>
      <w:tr>
        <w:trPr>
          <w:trHeight w:val="174"/>
        </w:trPr>
        <w:tc>
          <w:tcPr>
            <w:tcW w:w="7840" w:type="dxa"/>
            <w:vAlign w:val="bottom"/>
            <w:gridSpan w:val="3"/>
          </w:tcPr>
          <w:p>
            <w:pPr>
              <w:jc w:val="center"/>
              <w:ind w:right="2060"/>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3580" w:type="dxa"/>
            <w:vAlign w:val="bottom"/>
          </w:tcPr>
          <w:p>
            <w:pPr>
              <w:jc w:val="center"/>
              <w:ind w:right="1884"/>
              <w:spacing w:after="0"/>
              <w:rPr>
                <w:sz w:val="20"/>
                <w:szCs w:val="20"/>
                <w:color w:val="auto"/>
              </w:rPr>
            </w:pPr>
            <w:r>
              <w:rPr>
                <w:rFonts w:ascii="Arial" w:cs="Arial" w:eastAsia="Arial" w:hAnsi="Arial"/>
                <w:sz w:val="14"/>
                <w:szCs w:val="14"/>
                <w:b w:val="1"/>
                <w:bCs w:val="1"/>
                <w:color w:val="auto"/>
                <w:w w:val="86"/>
              </w:rPr>
              <w:t>(Zip code)</w:t>
            </w:r>
          </w:p>
        </w:tc>
      </w:tr>
      <w:tr>
        <w:trPr>
          <w:trHeight w:val="163"/>
        </w:trPr>
        <w:tc>
          <w:tcPr>
            <w:tcW w:w="452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940" w:type="dxa"/>
            <w:vAlign w:val="bottom"/>
          </w:tcPr>
          <w:p>
            <w:pPr>
              <w:spacing w:after="0"/>
              <w:rPr>
                <w:sz w:val="14"/>
                <w:szCs w:val="14"/>
                <w:color w:val="auto"/>
              </w:rPr>
            </w:pPr>
          </w:p>
        </w:tc>
        <w:tc>
          <w:tcPr>
            <w:tcW w:w="3580" w:type="dxa"/>
            <w:vAlign w:val="bottom"/>
          </w:tcPr>
          <w:p>
            <w:pPr>
              <w:spacing w:after="0"/>
              <w:rPr>
                <w:sz w:val="14"/>
                <w:szCs w:val="14"/>
                <w:color w:val="auto"/>
              </w:rPr>
            </w:pPr>
          </w:p>
        </w:tc>
      </w:tr>
      <w:tr>
        <w:trPr>
          <w:trHeight w:val="282"/>
        </w:trPr>
        <w:tc>
          <w:tcPr>
            <w:tcW w:w="4520" w:type="dxa"/>
            <w:vAlign w:val="bottom"/>
          </w:tcPr>
          <w:p>
            <w:pPr>
              <w:spacing w:after="0"/>
              <w:rPr>
                <w:sz w:val="24"/>
                <w:szCs w:val="24"/>
                <w:color w:val="auto"/>
              </w:rPr>
            </w:pPr>
          </w:p>
        </w:tc>
        <w:tc>
          <w:tcPr>
            <w:tcW w:w="332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86"/>
              </w:rPr>
              <w:t>Debt Securities</w:t>
            </w:r>
          </w:p>
        </w:tc>
        <w:tc>
          <w:tcPr>
            <w:tcW w:w="3580" w:type="dxa"/>
            <w:vAlign w:val="bottom"/>
          </w:tcPr>
          <w:p>
            <w:pPr>
              <w:spacing w:after="0"/>
              <w:rPr>
                <w:sz w:val="24"/>
                <w:szCs w:val="24"/>
                <w:color w:val="auto"/>
              </w:rPr>
            </w:pPr>
          </w:p>
        </w:tc>
      </w:tr>
      <w:tr>
        <w:trPr>
          <w:trHeight w:val="222"/>
        </w:trPr>
        <w:tc>
          <w:tcPr>
            <w:tcW w:w="4520" w:type="dxa"/>
            <w:vAlign w:val="bottom"/>
          </w:tcPr>
          <w:p>
            <w:pPr>
              <w:spacing w:after="0"/>
              <w:rPr>
                <w:sz w:val="19"/>
                <w:szCs w:val="19"/>
                <w:color w:val="auto"/>
              </w:rPr>
            </w:pPr>
          </w:p>
        </w:tc>
        <w:tc>
          <w:tcPr>
            <w:tcW w:w="3320" w:type="dxa"/>
            <w:vAlign w:val="bottom"/>
            <w:gridSpan w:val="2"/>
          </w:tcPr>
          <w:p>
            <w:pPr>
              <w:jc w:val="center"/>
              <w:ind w:right="940"/>
              <w:spacing w:after="0"/>
              <w:rPr>
                <w:sz w:val="20"/>
                <w:szCs w:val="20"/>
                <w:color w:val="auto"/>
              </w:rPr>
            </w:pPr>
            <w:r>
              <w:rPr>
                <w:rFonts w:ascii="Arial" w:cs="Arial" w:eastAsia="Arial" w:hAnsi="Arial"/>
                <w:sz w:val="18"/>
                <w:szCs w:val="18"/>
                <w:color w:val="auto"/>
                <w:w w:val="89"/>
              </w:rPr>
              <w:t>(Title of the indenture securities)</w:t>
            </w:r>
          </w:p>
        </w:tc>
        <w:tc>
          <w:tcPr>
            <w:tcW w:w="3580" w:type="dxa"/>
            <w:vAlign w:val="bottom"/>
          </w:tcPr>
          <w:p>
            <w:pPr>
              <w:spacing w:after="0"/>
              <w:rPr>
                <w:sz w:val="19"/>
                <w:szCs w:val="19"/>
                <w:color w:val="auto"/>
              </w:rPr>
            </w:pPr>
          </w:p>
        </w:tc>
      </w:tr>
      <w:tr>
        <w:trPr>
          <w:trHeight w:val="164"/>
        </w:trPr>
        <w:tc>
          <w:tcPr>
            <w:tcW w:w="45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tcPr>
          <w:p>
            <w:pPr>
              <w:spacing w:after="0"/>
              <w:rPr>
                <w:sz w:val="14"/>
                <w:szCs w:val="14"/>
                <w:color w:val="auto"/>
              </w:rPr>
            </w:pPr>
          </w:p>
        </w:tc>
      </w:tr>
    </w:tbl>
    <w:p>
      <w:pPr>
        <w:sectPr>
          <w:pgSz w:w="11900" w:h="16838" w:orient="portrait"/>
          <w:cols w:equalWidth="0" w:num="1">
            <w:col w:w="11420"/>
          </w:cols>
          <w:pgMar w:left="240" w:top="23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Item 1. </w:t>
      </w:r>
      <w:r>
        <w:rPr>
          <w:rFonts w:ascii="Arial" w:cs="Arial" w:eastAsia="Arial" w:hAnsi="Arial"/>
          <w:sz w:val="18"/>
          <w:szCs w:val="18"/>
          <w:u w:val="single" w:color="auto"/>
          <w:color w:val="auto"/>
        </w:rPr>
        <w:t>General Information.</w:t>
      </w:r>
      <w:r>
        <w:rPr>
          <w:rFonts w:ascii="Arial" w:cs="Arial" w:eastAsia="Arial" w:hAnsi="Arial"/>
          <w:sz w:val="18"/>
          <w:szCs w:val="18"/>
          <w:color w:val="auto"/>
        </w:rPr>
        <w:t xml:space="preserve"> Furnish the following information as to the trustee:</w:t>
      </w:r>
    </w:p>
    <w:p>
      <w:pPr>
        <w:spacing w:after="0" w:line="90" w:lineRule="exact"/>
        <w:rPr>
          <w:sz w:val="20"/>
          <w:szCs w:val="20"/>
          <w:color w:val="auto"/>
        </w:rPr>
      </w:pPr>
    </w:p>
    <w:p>
      <w:pPr>
        <w:ind w:left="1480" w:hanging="567"/>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and address of each examining or supervising authority to which it is subject.</w:t>
      </w:r>
    </w:p>
    <w:p>
      <w:pPr>
        <w:spacing w:after="0" w:line="90" w:lineRule="exact"/>
        <w:rPr>
          <w:rFonts w:ascii="Arial" w:cs="Arial" w:eastAsia="Arial" w:hAnsi="Arial"/>
          <w:sz w:val="18"/>
          <w:szCs w:val="18"/>
          <w:color w:val="auto"/>
        </w:rPr>
      </w:pPr>
    </w:p>
    <w:p>
      <w:pPr>
        <w:ind w:left="1500" w:right="7720"/>
        <w:spacing w:after="0" w:line="306" w:lineRule="auto"/>
        <w:rPr>
          <w:rFonts w:ascii="Arial" w:cs="Arial" w:eastAsia="Arial" w:hAnsi="Arial"/>
          <w:sz w:val="18"/>
          <w:szCs w:val="18"/>
          <w:color w:val="auto"/>
        </w:rPr>
      </w:pPr>
      <w:r>
        <w:rPr>
          <w:rFonts w:ascii="Arial" w:cs="Arial" w:eastAsia="Arial" w:hAnsi="Arial"/>
          <w:sz w:val="16"/>
          <w:szCs w:val="16"/>
          <w:color w:val="auto"/>
        </w:rPr>
        <w:t>Comptroller of the Currency Treasury Department Washington, D.C.</w:t>
      </w:r>
    </w:p>
    <w:p>
      <w:pPr>
        <w:spacing w:after="0" w:line="25" w:lineRule="exact"/>
        <w:rPr>
          <w:rFonts w:ascii="Arial" w:cs="Arial" w:eastAsia="Arial" w:hAnsi="Arial"/>
          <w:sz w:val="18"/>
          <w:szCs w:val="18"/>
          <w:color w:val="auto"/>
        </w:rPr>
      </w:pPr>
    </w:p>
    <w:p>
      <w:pPr>
        <w:ind w:left="1500" w:right="7000"/>
        <w:spacing w:after="0" w:line="268" w:lineRule="auto"/>
        <w:rPr>
          <w:rFonts w:ascii="Arial" w:cs="Arial" w:eastAsia="Arial" w:hAnsi="Arial"/>
          <w:sz w:val="18"/>
          <w:szCs w:val="18"/>
          <w:color w:val="auto"/>
        </w:rPr>
      </w:pPr>
      <w:r>
        <w:rPr>
          <w:rFonts w:ascii="Arial" w:cs="Arial" w:eastAsia="Arial" w:hAnsi="Arial"/>
          <w:sz w:val="18"/>
          <w:szCs w:val="18"/>
          <w:color w:val="auto"/>
        </w:rPr>
        <w:t>Federal Deposit Insurance Corporation Washington, D.C.</w:t>
      </w:r>
    </w:p>
    <w:p>
      <w:pPr>
        <w:spacing w:after="0" w:line="50" w:lineRule="exact"/>
        <w:rPr>
          <w:rFonts w:ascii="Arial" w:cs="Arial" w:eastAsia="Arial" w:hAnsi="Arial"/>
          <w:sz w:val="18"/>
          <w:szCs w:val="18"/>
          <w:color w:val="auto"/>
        </w:rPr>
      </w:pPr>
    </w:p>
    <w:p>
      <w:pPr>
        <w:ind w:left="1500" w:right="6960"/>
        <w:spacing w:after="0" w:line="357" w:lineRule="auto"/>
        <w:rPr>
          <w:rFonts w:ascii="Arial" w:cs="Arial" w:eastAsia="Arial" w:hAnsi="Arial"/>
          <w:sz w:val="18"/>
          <w:szCs w:val="18"/>
          <w:color w:val="auto"/>
        </w:rPr>
      </w:pPr>
      <w:r>
        <w:rPr>
          <w:rFonts w:ascii="Arial" w:cs="Arial" w:eastAsia="Arial" w:hAnsi="Arial"/>
          <w:sz w:val="15"/>
          <w:szCs w:val="15"/>
          <w:color w:val="auto"/>
        </w:rPr>
        <w:t>Federal Reserve Bank of San Francisco San Francisco, California 94120</w:t>
      </w:r>
    </w:p>
    <w:p>
      <w:pPr>
        <w:jc w:val="both"/>
        <w:ind w:left="1500" w:right="5540" w:hanging="587"/>
        <w:spacing w:after="0" w:line="482" w:lineRule="auto"/>
        <w:tabs>
          <w:tab w:leader="none" w:pos="1489" w:val="left"/>
        </w:tabs>
        <w:numPr>
          <w:ilvl w:val="0"/>
          <w:numId w:val="2"/>
        </w:numPr>
        <w:rPr>
          <w:rFonts w:ascii="Arial" w:cs="Arial" w:eastAsia="Arial" w:hAnsi="Arial"/>
          <w:sz w:val="15"/>
          <w:szCs w:val="15"/>
          <w:color w:val="auto"/>
        </w:rPr>
      </w:pPr>
      <w:r>
        <w:rPr>
          <w:rFonts w:ascii="Arial" w:cs="Arial" w:eastAsia="Arial" w:hAnsi="Arial"/>
          <w:sz w:val="15"/>
          <w:szCs w:val="15"/>
          <w:color w:val="auto"/>
        </w:rPr>
        <w:t>Whether it is authorized to exercise corporate trust powers. The trustee is authorized to exercise corporate trust powers.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u w:val="single" w:color="auto"/>
          <w:color w:val="auto"/>
        </w:rPr>
        <w:t>Affiliations with Obligor.</w:t>
      </w:r>
      <w:r>
        <w:rPr>
          <w:rFonts w:ascii="Arial" w:cs="Arial" w:eastAsia="Arial" w:hAnsi="Arial"/>
          <w:sz w:val="18"/>
          <w:szCs w:val="18"/>
          <w:color w:val="auto"/>
        </w:rPr>
        <w:t xml:space="preserve"> If the obligor is an affiliate of the trustee, describe each such affiliation.</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 with respect to the trustee.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 responses are included for Items 3-14 of this Form T-1 because the obligor is not in default as provided under Item 13.</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gridSpan w:val="3"/>
          </w:tcPr>
          <w:p>
            <w:pPr>
              <w:spacing w:after="0"/>
              <w:rPr>
                <w:sz w:val="20"/>
                <w:szCs w:val="20"/>
                <w:color w:val="auto"/>
              </w:rPr>
            </w:pPr>
            <w:r>
              <w:rPr>
                <w:rFonts w:ascii="Arial" w:cs="Arial" w:eastAsia="Arial" w:hAnsi="Arial"/>
                <w:sz w:val="18"/>
                <w:szCs w:val="18"/>
                <w:color w:val="auto"/>
                <w:w w:val="92"/>
              </w:rPr>
              <w:t>Item 15. Foreign Trustee.</w:t>
            </w:r>
          </w:p>
        </w:tc>
        <w:tc>
          <w:tcPr>
            <w:tcW w:w="9340" w:type="dxa"/>
            <w:vAlign w:val="bottom"/>
          </w:tcPr>
          <w:p>
            <w:pPr>
              <w:ind w:left="300"/>
              <w:spacing w:after="0"/>
              <w:rPr>
                <w:sz w:val="20"/>
                <w:szCs w:val="20"/>
                <w:color w:val="auto"/>
              </w:rPr>
            </w:pPr>
            <w:r>
              <w:rPr>
                <w:rFonts w:ascii="Arial" w:cs="Arial" w:eastAsia="Arial" w:hAnsi="Arial"/>
                <w:sz w:val="18"/>
                <w:szCs w:val="18"/>
                <w:color w:val="auto"/>
              </w:rPr>
              <w:t>Not applicable.</w:t>
            </w:r>
          </w:p>
        </w:tc>
      </w:tr>
      <w:tr>
        <w:trPr>
          <w:trHeight w:val="20"/>
        </w:trPr>
        <w:tc>
          <w:tcPr>
            <w:tcW w:w="6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r>
      <w:tr>
        <w:trPr>
          <w:trHeight w:val="277"/>
        </w:trPr>
        <w:tc>
          <w:tcPr>
            <w:tcW w:w="1880" w:type="dxa"/>
            <w:vAlign w:val="bottom"/>
            <w:gridSpan w:val="3"/>
          </w:tcPr>
          <w:p>
            <w:pPr>
              <w:spacing w:after="0"/>
              <w:rPr>
                <w:sz w:val="20"/>
                <w:szCs w:val="20"/>
                <w:color w:val="auto"/>
              </w:rPr>
            </w:pPr>
            <w:r>
              <w:rPr>
                <w:rFonts w:ascii="Arial" w:cs="Arial" w:eastAsia="Arial" w:hAnsi="Arial"/>
                <w:sz w:val="18"/>
                <w:szCs w:val="18"/>
                <w:color w:val="auto"/>
                <w:w w:val="97"/>
              </w:rPr>
              <w:t>Item 16. List of Exhibits.</w:t>
            </w:r>
          </w:p>
        </w:tc>
        <w:tc>
          <w:tcPr>
            <w:tcW w:w="9340" w:type="dxa"/>
            <w:vAlign w:val="bottom"/>
          </w:tcPr>
          <w:p>
            <w:pPr>
              <w:ind w:left="280"/>
              <w:spacing w:after="0"/>
              <w:rPr>
                <w:sz w:val="20"/>
                <w:szCs w:val="20"/>
                <w:color w:val="auto"/>
              </w:rPr>
            </w:pPr>
            <w:r>
              <w:rPr>
                <w:rFonts w:ascii="Arial" w:cs="Arial" w:eastAsia="Arial" w:hAnsi="Arial"/>
                <w:sz w:val="18"/>
                <w:szCs w:val="18"/>
                <w:color w:val="auto"/>
              </w:rPr>
              <w:t>List below all exhibits filed as a part of this Statement of Eligibility.</w:t>
            </w:r>
          </w:p>
        </w:tc>
      </w:tr>
      <w:tr>
        <w:trPr>
          <w:trHeight w:val="20"/>
        </w:trPr>
        <w:tc>
          <w:tcPr>
            <w:tcW w:w="6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r>
      <w:tr>
        <w:trPr>
          <w:trHeight w:val="437"/>
        </w:trPr>
        <w:tc>
          <w:tcPr>
            <w:tcW w:w="1880" w:type="dxa"/>
            <w:vAlign w:val="bottom"/>
            <w:gridSpan w:val="3"/>
          </w:tcPr>
          <w:p>
            <w:pPr>
              <w:ind w:left="620"/>
              <w:spacing w:after="0"/>
              <w:rPr>
                <w:sz w:val="20"/>
                <w:szCs w:val="20"/>
                <w:color w:val="auto"/>
              </w:rPr>
            </w:pPr>
            <w:r>
              <w:rPr>
                <w:rFonts w:ascii="Arial" w:cs="Arial" w:eastAsia="Arial" w:hAnsi="Arial"/>
                <w:sz w:val="18"/>
                <w:szCs w:val="18"/>
                <w:color w:val="auto"/>
              </w:rPr>
              <w:t>Exhibit 1.</w:t>
            </w:r>
          </w:p>
        </w:tc>
        <w:tc>
          <w:tcPr>
            <w:tcW w:w="9340" w:type="dxa"/>
            <w:vAlign w:val="bottom"/>
          </w:tcPr>
          <w:p>
            <w:pPr>
              <w:ind w:left="80"/>
              <w:spacing w:after="0"/>
              <w:rPr>
                <w:sz w:val="20"/>
                <w:szCs w:val="20"/>
                <w:color w:val="auto"/>
              </w:rPr>
            </w:pPr>
            <w:r>
              <w:rPr>
                <w:rFonts w:ascii="Arial" w:cs="Arial" w:eastAsia="Arial" w:hAnsi="Arial"/>
                <w:sz w:val="18"/>
                <w:szCs w:val="18"/>
                <w:color w:val="auto"/>
              </w:rPr>
              <w:t>A copy of the Articles of Association of the trustee now in effect.*</w:t>
            </w:r>
          </w:p>
        </w:tc>
      </w:tr>
      <w:tr>
        <w:trPr>
          <w:trHeight w:val="318"/>
        </w:trPr>
        <w:tc>
          <w:tcPr>
            <w:tcW w:w="1880" w:type="dxa"/>
            <w:vAlign w:val="bottom"/>
            <w:gridSpan w:val="3"/>
          </w:tcPr>
          <w:p>
            <w:pPr>
              <w:ind w:left="620"/>
              <w:spacing w:after="0"/>
              <w:rPr>
                <w:sz w:val="20"/>
                <w:szCs w:val="20"/>
                <w:color w:val="auto"/>
              </w:rPr>
            </w:pPr>
            <w:r>
              <w:rPr>
                <w:rFonts w:ascii="Arial" w:cs="Arial" w:eastAsia="Arial" w:hAnsi="Arial"/>
                <w:sz w:val="18"/>
                <w:szCs w:val="18"/>
                <w:color w:val="auto"/>
              </w:rPr>
              <w:t>Exhibit 2.</w:t>
            </w:r>
          </w:p>
        </w:tc>
        <w:tc>
          <w:tcPr>
            <w:tcW w:w="9340" w:type="dxa"/>
            <w:vAlign w:val="bottom"/>
          </w:tcPr>
          <w:p>
            <w:pPr>
              <w:ind w:left="80"/>
              <w:spacing w:after="0"/>
              <w:rPr>
                <w:sz w:val="20"/>
                <w:szCs w:val="20"/>
                <w:color w:val="auto"/>
              </w:rPr>
            </w:pPr>
            <w:r>
              <w:rPr>
                <w:rFonts w:ascii="Arial" w:cs="Arial" w:eastAsia="Arial" w:hAnsi="Arial"/>
                <w:sz w:val="18"/>
                <w:szCs w:val="18"/>
                <w:color w:val="auto"/>
                <w:w w:val="89"/>
              </w:rPr>
              <w:t>A copy of the Comptroller of the Currency Certificate of Corporate Existence and Fiduciary Powers for Wells Fargo Bank, National</w:t>
            </w:r>
          </w:p>
        </w:tc>
      </w:tr>
      <w:tr>
        <w:trPr>
          <w:trHeight w:val="222"/>
        </w:trPr>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340" w:type="dxa"/>
            <w:vAlign w:val="bottom"/>
          </w:tcPr>
          <w:p>
            <w:pPr>
              <w:ind w:left="80"/>
              <w:spacing w:after="0"/>
              <w:rPr>
                <w:sz w:val="20"/>
                <w:szCs w:val="20"/>
                <w:color w:val="auto"/>
              </w:rPr>
            </w:pPr>
            <w:r>
              <w:rPr>
                <w:rFonts w:ascii="Arial" w:cs="Arial" w:eastAsia="Arial" w:hAnsi="Arial"/>
                <w:sz w:val="18"/>
                <w:szCs w:val="18"/>
                <w:color w:val="auto"/>
              </w:rPr>
              <w:t>Association, dated February 4, 2004.**</w:t>
            </w:r>
          </w:p>
        </w:tc>
      </w:tr>
      <w:tr>
        <w:trPr>
          <w:trHeight w:val="324"/>
        </w:trPr>
        <w:tc>
          <w:tcPr>
            <w:tcW w:w="1880" w:type="dxa"/>
            <w:vAlign w:val="bottom"/>
            <w:gridSpan w:val="3"/>
          </w:tcPr>
          <w:p>
            <w:pPr>
              <w:ind w:left="620"/>
              <w:spacing w:after="0"/>
              <w:rPr>
                <w:sz w:val="20"/>
                <w:szCs w:val="20"/>
                <w:color w:val="auto"/>
              </w:rPr>
            </w:pPr>
            <w:r>
              <w:rPr>
                <w:rFonts w:ascii="Arial" w:cs="Arial" w:eastAsia="Arial" w:hAnsi="Arial"/>
                <w:sz w:val="18"/>
                <w:szCs w:val="18"/>
                <w:color w:val="auto"/>
              </w:rPr>
              <w:t>Exhibit 3.</w:t>
            </w:r>
          </w:p>
        </w:tc>
        <w:tc>
          <w:tcPr>
            <w:tcW w:w="9340" w:type="dxa"/>
            <w:vAlign w:val="bottom"/>
          </w:tcPr>
          <w:p>
            <w:pPr>
              <w:ind w:left="80"/>
              <w:spacing w:after="0"/>
              <w:rPr>
                <w:sz w:val="20"/>
                <w:szCs w:val="20"/>
                <w:color w:val="auto"/>
              </w:rPr>
            </w:pPr>
            <w:r>
              <w:rPr>
                <w:rFonts w:ascii="Arial" w:cs="Arial" w:eastAsia="Arial" w:hAnsi="Arial"/>
                <w:sz w:val="18"/>
                <w:szCs w:val="18"/>
                <w:color w:val="auto"/>
              </w:rPr>
              <w:t>See Exhibit 2</w:t>
            </w:r>
          </w:p>
        </w:tc>
      </w:tr>
      <w:tr>
        <w:trPr>
          <w:trHeight w:val="324"/>
        </w:trPr>
        <w:tc>
          <w:tcPr>
            <w:tcW w:w="1880" w:type="dxa"/>
            <w:vAlign w:val="bottom"/>
            <w:gridSpan w:val="3"/>
          </w:tcPr>
          <w:p>
            <w:pPr>
              <w:ind w:left="620"/>
              <w:spacing w:after="0"/>
              <w:rPr>
                <w:sz w:val="20"/>
                <w:szCs w:val="20"/>
                <w:color w:val="auto"/>
              </w:rPr>
            </w:pPr>
            <w:r>
              <w:rPr>
                <w:rFonts w:ascii="Arial" w:cs="Arial" w:eastAsia="Arial" w:hAnsi="Arial"/>
                <w:sz w:val="18"/>
                <w:szCs w:val="18"/>
                <w:color w:val="auto"/>
              </w:rPr>
              <w:t>Exhibit 4.</w:t>
            </w:r>
          </w:p>
        </w:tc>
        <w:tc>
          <w:tcPr>
            <w:tcW w:w="9340" w:type="dxa"/>
            <w:vAlign w:val="bottom"/>
          </w:tcPr>
          <w:p>
            <w:pPr>
              <w:ind w:left="80"/>
              <w:spacing w:after="0"/>
              <w:rPr>
                <w:sz w:val="20"/>
                <w:szCs w:val="20"/>
                <w:color w:val="auto"/>
              </w:rPr>
            </w:pPr>
            <w:r>
              <w:rPr>
                <w:rFonts w:ascii="Arial" w:cs="Arial" w:eastAsia="Arial" w:hAnsi="Arial"/>
                <w:sz w:val="18"/>
                <w:szCs w:val="18"/>
                <w:color w:val="auto"/>
              </w:rPr>
              <w:t>Copy of By-laws of the trustee as now in effect.***</w:t>
            </w:r>
          </w:p>
        </w:tc>
      </w:tr>
      <w:tr>
        <w:trPr>
          <w:trHeight w:val="324"/>
        </w:trPr>
        <w:tc>
          <w:tcPr>
            <w:tcW w:w="1880" w:type="dxa"/>
            <w:vAlign w:val="bottom"/>
            <w:gridSpan w:val="3"/>
          </w:tcPr>
          <w:p>
            <w:pPr>
              <w:ind w:left="620"/>
              <w:spacing w:after="0"/>
              <w:rPr>
                <w:sz w:val="20"/>
                <w:szCs w:val="20"/>
                <w:color w:val="auto"/>
              </w:rPr>
            </w:pPr>
            <w:r>
              <w:rPr>
                <w:rFonts w:ascii="Arial" w:cs="Arial" w:eastAsia="Arial" w:hAnsi="Arial"/>
                <w:sz w:val="18"/>
                <w:szCs w:val="18"/>
                <w:color w:val="auto"/>
              </w:rPr>
              <w:t>Exhibit 5.</w:t>
            </w:r>
          </w:p>
        </w:tc>
        <w:tc>
          <w:tcPr>
            <w:tcW w:w="9340" w:type="dxa"/>
            <w:vAlign w:val="bottom"/>
          </w:tcPr>
          <w:p>
            <w:pPr>
              <w:ind w:left="80"/>
              <w:spacing w:after="0"/>
              <w:rPr>
                <w:sz w:val="20"/>
                <w:szCs w:val="20"/>
                <w:color w:val="auto"/>
              </w:rPr>
            </w:pPr>
            <w:r>
              <w:rPr>
                <w:rFonts w:ascii="Arial" w:cs="Arial" w:eastAsia="Arial" w:hAnsi="Arial"/>
                <w:sz w:val="18"/>
                <w:szCs w:val="18"/>
                <w:color w:val="auto"/>
              </w:rPr>
              <w:t>Not applicable.</w:t>
            </w:r>
          </w:p>
        </w:tc>
      </w:tr>
      <w:tr>
        <w:trPr>
          <w:trHeight w:val="324"/>
        </w:trPr>
        <w:tc>
          <w:tcPr>
            <w:tcW w:w="1880" w:type="dxa"/>
            <w:vAlign w:val="bottom"/>
            <w:gridSpan w:val="3"/>
          </w:tcPr>
          <w:p>
            <w:pPr>
              <w:ind w:left="620"/>
              <w:spacing w:after="0"/>
              <w:rPr>
                <w:sz w:val="20"/>
                <w:szCs w:val="20"/>
                <w:color w:val="auto"/>
              </w:rPr>
            </w:pPr>
            <w:r>
              <w:rPr>
                <w:rFonts w:ascii="Arial" w:cs="Arial" w:eastAsia="Arial" w:hAnsi="Arial"/>
                <w:sz w:val="18"/>
                <w:szCs w:val="18"/>
                <w:color w:val="auto"/>
              </w:rPr>
              <w:t>Exhibit 6.</w:t>
            </w:r>
          </w:p>
        </w:tc>
        <w:tc>
          <w:tcPr>
            <w:tcW w:w="9340" w:type="dxa"/>
            <w:vAlign w:val="bottom"/>
          </w:tcPr>
          <w:p>
            <w:pPr>
              <w:ind w:left="80"/>
              <w:spacing w:after="0"/>
              <w:rPr>
                <w:sz w:val="20"/>
                <w:szCs w:val="20"/>
                <w:color w:val="auto"/>
              </w:rPr>
            </w:pPr>
            <w:r>
              <w:rPr>
                <w:rFonts w:ascii="Arial" w:cs="Arial" w:eastAsia="Arial" w:hAnsi="Arial"/>
                <w:sz w:val="18"/>
                <w:szCs w:val="18"/>
                <w:color w:val="auto"/>
              </w:rPr>
              <w:t>The consent of the trustee required by Section 321(b) of the Act.</w:t>
            </w:r>
          </w:p>
        </w:tc>
      </w:tr>
      <w:tr>
        <w:trPr>
          <w:trHeight w:val="318"/>
        </w:trPr>
        <w:tc>
          <w:tcPr>
            <w:tcW w:w="1880" w:type="dxa"/>
            <w:vAlign w:val="bottom"/>
            <w:gridSpan w:val="3"/>
          </w:tcPr>
          <w:p>
            <w:pPr>
              <w:ind w:left="620"/>
              <w:spacing w:after="0"/>
              <w:rPr>
                <w:sz w:val="20"/>
                <w:szCs w:val="20"/>
                <w:color w:val="auto"/>
              </w:rPr>
            </w:pPr>
            <w:r>
              <w:rPr>
                <w:rFonts w:ascii="Arial" w:cs="Arial" w:eastAsia="Arial" w:hAnsi="Arial"/>
                <w:sz w:val="18"/>
                <w:szCs w:val="18"/>
                <w:color w:val="auto"/>
              </w:rPr>
              <w:t>Exhibit 7.</w:t>
            </w:r>
          </w:p>
        </w:tc>
        <w:tc>
          <w:tcPr>
            <w:tcW w:w="9340" w:type="dxa"/>
            <w:vAlign w:val="bottom"/>
          </w:tcPr>
          <w:p>
            <w:pPr>
              <w:ind w:left="80"/>
              <w:spacing w:after="0"/>
              <w:rPr>
                <w:sz w:val="20"/>
                <w:szCs w:val="20"/>
                <w:color w:val="auto"/>
              </w:rPr>
            </w:pPr>
            <w:r>
              <w:rPr>
                <w:rFonts w:ascii="Arial" w:cs="Arial" w:eastAsia="Arial" w:hAnsi="Arial"/>
                <w:sz w:val="18"/>
                <w:szCs w:val="18"/>
                <w:color w:val="auto"/>
                <w:w w:val="89"/>
              </w:rPr>
              <w:t>A copy of the latest report of condition of the trustee published pursuant to law or the requirements of its supervising or examining</w:t>
            </w:r>
          </w:p>
        </w:tc>
      </w:tr>
      <w:tr>
        <w:trPr>
          <w:trHeight w:val="222"/>
        </w:trPr>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340" w:type="dxa"/>
            <w:vAlign w:val="bottom"/>
          </w:tcPr>
          <w:p>
            <w:pPr>
              <w:ind w:left="80"/>
              <w:spacing w:after="0"/>
              <w:rPr>
                <w:sz w:val="20"/>
                <w:szCs w:val="20"/>
                <w:color w:val="auto"/>
              </w:rPr>
            </w:pPr>
            <w:r>
              <w:rPr>
                <w:rFonts w:ascii="Arial" w:cs="Arial" w:eastAsia="Arial" w:hAnsi="Arial"/>
                <w:sz w:val="18"/>
                <w:szCs w:val="18"/>
                <w:color w:val="auto"/>
              </w:rPr>
              <w:t>authority.</w:t>
            </w:r>
          </w:p>
        </w:tc>
      </w:tr>
      <w:tr>
        <w:trPr>
          <w:trHeight w:val="324"/>
        </w:trPr>
        <w:tc>
          <w:tcPr>
            <w:tcW w:w="1880" w:type="dxa"/>
            <w:vAlign w:val="bottom"/>
            <w:gridSpan w:val="3"/>
          </w:tcPr>
          <w:p>
            <w:pPr>
              <w:ind w:left="620"/>
              <w:spacing w:after="0"/>
              <w:rPr>
                <w:sz w:val="20"/>
                <w:szCs w:val="20"/>
                <w:color w:val="auto"/>
              </w:rPr>
            </w:pPr>
            <w:r>
              <w:rPr>
                <w:rFonts w:ascii="Arial" w:cs="Arial" w:eastAsia="Arial" w:hAnsi="Arial"/>
                <w:sz w:val="18"/>
                <w:szCs w:val="18"/>
                <w:color w:val="auto"/>
              </w:rPr>
              <w:t>Exhibit 8.</w:t>
            </w:r>
          </w:p>
        </w:tc>
        <w:tc>
          <w:tcPr>
            <w:tcW w:w="9340" w:type="dxa"/>
            <w:vAlign w:val="bottom"/>
          </w:tcPr>
          <w:p>
            <w:pPr>
              <w:ind w:left="80"/>
              <w:spacing w:after="0"/>
              <w:rPr>
                <w:sz w:val="20"/>
                <w:szCs w:val="20"/>
                <w:color w:val="auto"/>
              </w:rPr>
            </w:pPr>
            <w:r>
              <w:rPr>
                <w:rFonts w:ascii="Arial" w:cs="Arial" w:eastAsia="Arial" w:hAnsi="Arial"/>
                <w:sz w:val="18"/>
                <w:szCs w:val="18"/>
                <w:color w:val="auto"/>
              </w:rPr>
              <w:t>Not applicable.</w:t>
            </w:r>
          </w:p>
        </w:tc>
      </w:tr>
      <w:tr>
        <w:trPr>
          <w:trHeight w:val="324"/>
        </w:trPr>
        <w:tc>
          <w:tcPr>
            <w:tcW w:w="1880" w:type="dxa"/>
            <w:vAlign w:val="bottom"/>
            <w:gridSpan w:val="3"/>
          </w:tcPr>
          <w:p>
            <w:pPr>
              <w:ind w:left="620"/>
              <w:spacing w:after="0"/>
              <w:rPr>
                <w:sz w:val="20"/>
                <w:szCs w:val="20"/>
                <w:color w:val="auto"/>
              </w:rPr>
            </w:pPr>
            <w:r>
              <w:rPr>
                <w:rFonts w:ascii="Arial" w:cs="Arial" w:eastAsia="Arial" w:hAnsi="Arial"/>
                <w:sz w:val="18"/>
                <w:szCs w:val="18"/>
                <w:color w:val="auto"/>
              </w:rPr>
              <w:t>Exhibit 9.</w:t>
            </w:r>
          </w:p>
        </w:tc>
        <w:tc>
          <w:tcPr>
            <w:tcW w:w="9340" w:type="dxa"/>
            <w:vAlign w:val="bottom"/>
          </w:tcPr>
          <w:p>
            <w:pPr>
              <w:ind w:left="80"/>
              <w:spacing w:after="0"/>
              <w:rPr>
                <w:sz w:val="20"/>
                <w:szCs w:val="20"/>
                <w:color w:val="auto"/>
              </w:rPr>
            </w:pPr>
            <w:r>
              <w:rPr>
                <w:rFonts w:ascii="Arial" w:cs="Arial" w:eastAsia="Arial" w:hAnsi="Arial"/>
                <w:sz w:val="18"/>
                <w:szCs w:val="18"/>
                <w:color w:val="auto"/>
              </w:rPr>
              <w:t>Not applicable.</w:t>
            </w:r>
          </w:p>
        </w:tc>
      </w:tr>
    </w:tbl>
    <w:p>
      <w:pPr>
        <w:sectPr>
          <w:pgSz w:w="11900" w:h="16838" w:orient="portrait"/>
          <w:cols w:equalWidth="0" w:num="1">
            <w:col w:w="11220"/>
          </w:cols>
          <w:pgMar w:left="240" w:top="280" w:right="439" w:bottom="1440" w:gutter="0" w:footer="0" w:header="0"/>
        </w:sectPr>
      </w:pPr>
    </w:p>
    <w:bookmarkStart w:id="2" w:name="page3"/>
    <w:bookmarkEnd w:id="2"/>
    <w:p>
      <w:pPr>
        <w:ind w:left="452" w:right="180" w:hanging="452"/>
        <w:spacing w:after="0" w:line="254" w:lineRule="auto"/>
        <w:tabs>
          <w:tab w:leader="none" w:pos="452"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Incorporated by reference to the exhibit of the same number to the trustee’s Form T-1 filed as exhibit 25 to the Form S-4 dated December 30, 2005 of file number 333-130784-06.</w:t>
      </w:r>
    </w:p>
    <w:p>
      <w:pPr>
        <w:ind w:left="452" w:right="540" w:hanging="452"/>
        <w:spacing w:after="0" w:line="250" w:lineRule="auto"/>
        <w:tabs>
          <w:tab w:leader="none" w:pos="452"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Incorporated by reference to the exhibit of the same number to the trustee’s Form T-1 filed as exhibit 25 to the Form T-3 dated March 3, 2004 of file number 022-28721.</w:t>
      </w:r>
    </w:p>
    <w:p>
      <w:pPr>
        <w:ind w:left="452" w:hanging="452"/>
        <w:spacing w:after="0" w:line="261" w:lineRule="auto"/>
        <w:tabs>
          <w:tab w:leader="none" w:pos="452"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Incorporated by reference to the exhibit of the same number to the trustee’s Form T-1 filed as exhibit 25 to the Form S-4 dated May 26, 2005 of file number 333-125274.</w:t>
      </w:r>
    </w:p>
    <w:p>
      <w:pPr>
        <w:sectPr>
          <w:pgSz w:w="11900" w:h="16838" w:orient="portrait"/>
          <w:cols w:equalWidth="0" w:num="1">
            <w:col w:w="11392"/>
          </w:cols>
          <w:pgMar w:left="248" w:top="280" w:right="259"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Pursuant to the requirements of the Trust Indenture Act of 1939, as amended, the trustee, Wells Fargo Bank, National Association, a national banking association organized and existing under the laws of the United States of America, has duly caused this statement of eligibility to be signed on its behalf by the undersigned, thereunto duly authorized, all in the City of Los Angeles and State of California on the 6th day of August, 2012.</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WELLS FARGO BANK, NATIONAL ASSOCIATION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Maddy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Maddy Hall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w:t>
      </w:r>
    </w:p>
    <w:p>
      <w:pPr>
        <w:sectPr>
          <w:pgSz w:w="11900" w:h="16838" w:orient="portrait"/>
          <w:cols w:equalWidth="0" w:num="1">
            <w:col w:w="11320"/>
          </w:cols>
          <w:pgMar w:left="240" w:top="280" w:right="3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color w:val="auto"/>
        </w:rPr>
        <w:t>EXHIBIT 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August 6,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accordance with Section 321(b) of the Trust Indenture Act of 1939, as amended, the undersigned hereby consents that reports of examination of the undersigned made by Federal, State, Territorial, or District authorities authorized to make such examination may be furnished by such authorities to the Securities and Exchange Commission upon its request therefor.</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WELLS FARGO BANK, NATIONAL ASSOCIATION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Maddy.Hall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Maddy Hall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w:t>
      </w:r>
    </w:p>
    <w:p>
      <w:pPr>
        <w:sectPr>
          <w:pgSz w:w="11900" w:h="16838" w:orient="portrait"/>
          <w:cols w:equalWidth="0" w:num="1">
            <w:col w:w="11380"/>
          </w:cols>
          <w:pgMar w:left="240" w:top="131" w:right="27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Exhibit 7</w:t>
      </w:r>
    </w:p>
    <w:p>
      <w:pPr>
        <w:spacing w:after="0" w:line="17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Consolidated Report of Condition of</w:t>
      </w:r>
    </w:p>
    <w:p>
      <w:pPr>
        <w:spacing w:after="0" w:line="171"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Wells Fargo Bank National Association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101 North Phillips Avenue, Sioux Falls, SD 57104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Foreign and Domestic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 the close of business March 31, 2012, filed in accordance with 12 U.S.C. §161 for National Banks.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color w:val="auto"/>
                <w:w w:val="98"/>
              </w:rPr>
              <w:t>Dollar Amounts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6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9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Cash and balances due from depository institutions:</w:t>
            </w: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Noninterest-bearing balances and currency and coin</w:t>
            </w:r>
          </w:p>
        </w:tc>
        <w:tc>
          <w:tcPr>
            <w:tcW w:w="3080" w:type="dxa"/>
            <w:vAlign w:val="bottom"/>
            <w:gridSpan w:val="2"/>
            <w:shd w:val="clear" w:color="auto" w:fill="CCEEFF"/>
          </w:tcPr>
          <w:p>
            <w:pPr>
              <w:ind w:left="296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Interest-bearing balances</w:t>
            </w: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49,902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Held-to-maturity securities</w:t>
            </w: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Available-for-sale securities</w:t>
            </w:r>
          </w:p>
        </w:tc>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Federal funds sold and securities purchased under agreements to resell:</w:t>
            </w: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Federal funds sold in domestic offices</w:t>
            </w:r>
          </w:p>
        </w:tc>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Securities purchased under agreements to resell</w:t>
            </w: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24,346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Loans and lease financing receivables:</w:t>
            </w:r>
          </w:p>
        </w:tc>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Loans and leases held for sale</w:t>
            </w: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28,995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Loans and leases, net of unearned income</w:t>
            </w:r>
          </w:p>
        </w:tc>
        <w:tc>
          <w:tcPr>
            <w:tcW w:w="29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710,355</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LESS: Allowance for loan and lease losses</w:t>
            </w:r>
          </w:p>
        </w:tc>
        <w:tc>
          <w:tcPr>
            <w:tcW w:w="2960" w:type="dxa"/>
            <w:vAlign w:val="bottom"/>
          </w:tcPr>
          <w:p>
            <w:pPr>
              <w:jc w:val="right"/>
              <w:ind w:right="212"/>
              <w:spacing w:after="0"/>
              <w:rPr>
                <w:sz w:val="20"/>
                <w:szCs w:val="20"/>
                <w:color w:val="auto"/>
              </w:rPr>
            </w:pPr>
            <w:r>
              <w:rPr>
                <w:rFonts w:ascii="Arial" w:cs="Arial" w:eastAsia="Arial" w:hAnsi="Arial"/>
                <w:sz w:val="18"/>
                <w:szCs w:val="18"/>
                <w:color w:val="auto"/>
              </w:rPr>
              <w:t>15,934</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Loans and leases, net of unearned income and allowance</w:t>
            </w:r>
          </w:p>
        </w:tc>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694,421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Trading Assets</w:t>
            </w: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50,280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Premises and fixed assets (including capitalized leases)</w:t>
            </w:r>
          </w:p>
        </w:tc>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Other real estate owned</w:t>
            </w: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subsidiaries and associated companies</w:t>
            </w:r>
          </w:p>
        </w:tc>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Direct and indirect investments in real estate ventures</w:t>
            </w: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Goodwill</w:t>
            </w: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21,276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intangible assets</w:t>
            </w:r>
          </w:p>
        </w:tc>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Other assets</w:t>
            </w:r>
          </w:p>
        </w:tc>
        <w:tc>
          <w:tcPr>
            <w:tcW w:w="2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80" w:type="dxa"/>
            <w:vAlign w:val="bottom"/>
            <w:gridSpan w:val="2"/>
            <w:shd w:val="clear" w:color="auto" w:fill="CCEEFF"/>
          </w:tcPr>
          <w:p>
            <w:pPr>
              <w:ind w:left="296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1,181,817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480" w:type="dxa"/>
            <w:vAlign w:val="bottom"/>
            <w:gridSpan w:val="2"/>
            <w:vMerge w:val="continue"/>
          </w:tcPr>
          <w:p>
            <w:pPr>
              <w:spacing w:after="0"/>
              <w:rPr>
                <w:sz w:val="18"/>
                <w:szCs w:val="18"/>
                <w:color w:val="auto"/>
              </w:rPr>
            </w:pP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In domestic offices</w:t>
            </w:r>
          </w:p>
        </w:tc>
        <w:tc>
          <w:tcPr>
            <w:tcW w:w="3080" w:type="dxa"/>
            <w:vAlign w:val="bottom"/>
            <w:gridSpan w:val="2"/>
          </w:tcPr>
          <w:p>
            <w:pPr>
              <w:ind w:left="296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852,986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Noninterest-bearing</w:t>
            </w:r>
          </w:p>
        </w:tc>
        <w:tc>
          <w:tcPr>
            <w:tcW w:w="29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223,944</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860"/>
              <w:spacing w:after="0"/>
              <w:rPr>
                <w:sz w:val="20"/>
                <w:szCs w:val="20"/>
                <w:color w:val="auto"/>
              </w:rPr>
            </w:pPr>
            <w:r>
              <w:rPr>
                <w:rFonts w:ascii="Arial" w:cs="Arial" w:eastAsia="Arial" w:hAnsi="Arial"/>
                <w:sz w:val="18"/>
                <w:szCs w:val="18"/>
                <w:color w:val="auto"/>
              </w:rPr>
              <w:t>Interest-bearing</w:t>
            </w:r>
          </w:p>
        </w:tc>
        <w:tc>
          <w:tcPr>
            <w:tcW w:w="2960" w:type="dxa"/>
            <w:vAlign w:val="bottom"/>
          </w:tcPr>
          <w:p>
            <w:pPr>
              <w:jc w:val="right"/>
              <w:ind w:right="212"/>
              <w:spacing w:after="0"/>
              <w:rPr>
                <w:sz w:val="20"/>
                <w:szCs w:val="20"/>
                <w:color w:val="auto"/>
              </w:rPr>
            </w:pPr>
            <w:r>
              <w:rPr>
                <w:rFonts w:ascii="Arial" w:cs="Arial" w:eastAsia="Arial" w:hAnsi="Arial"/>
                <w:sz w:val="18"/>
                <w:szCs w:val="18"/>
                <w:color w:val="auto"/>
              </w:rPr>
              <w:t>629,042</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 foreign offices, Edge and Agreement subsidiaries, and IBFs</w:t>
            </w:r>
          </w:p>
        </w:tc>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860"/>
              <w:spacing w:after="0"/>
              <w:rPr>
                <w:sz w:val="20"/>
                <w:szCs w:val="20"/>
                <w:color w:val="auto"/>
              </w:rPr>
            </w:pPr>
            <w:r>
              <w:rPr>
                <w:rFonts w:ascii="Arial" w:cs="Arial" w:eastAsia="Arial" w:hAnsi="Arial"/>
                <w:sz w:val="18"/>
                <w:szCs w:val="18"/>
                <w:color w:val="auto"/>
              </w:rPr>
              <w:t>Noninterest-bearing</w:t>
            </w:r>
          </w:p>
        </w:tc>
        <w:tc>
          <w:tcPr>
            <w:tcW w:w="2960" w:type="dxa"/>
            <w:vAlign w:val="bottom"/>
          </w:tcPr>
          <w:p>
            <w:pPr>
              <w:jc w:val="right"/>
              <w:ind w:right="212"/>
              <w:spacing w:after="0"/>
              <w:rPr>
                <w:sz w:val="20"/>
                <w:szCs w:val="20"/>
                <w:color w:val="auto"/>
              </w:rPr>
            </w:pPr>
            <w:r>
              <w:rPr>
                <w:rFonts w:ascii="Arial" w:cs="Arial" w:eastAsia="Arial" w:hAnsi="Arial"/>
                <w:sz w:val="18"/>
                <w:szCs w:val="18"/>
                <w:color w:val="auto"/>
              </w:rPr>
              <w:t>2,118</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Interest-bearing</w:t>
            </w:r>
          </w:p>
        </w:tc>
        <w:tc>
          <w:tcPr>
            <w:tcW w:w="29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64,788</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Federal funds purchased in domestic offices</w:t>
            </w:r>
          </w:p>
        </w:tc>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Securities sold under agreements to repurchase</w:t>
            </w:r>
          </w:p>
        </w:tc>
        <w:tc>
          <w:tcPr>
            <w:tcW w:w="2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2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color w:val="auto"/>
                <w:w w:val="98"/>
              </w:rPr>
              <w:t>Dollar Amounts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Trading liabilities</w:t>
            </w: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Other borrowed money</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(includes mortgage indebtedness and obligations under capitalized leases)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Subordinated notes and debentures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18,384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44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1,055,979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EQUITY CAPITAL</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Perpetual preferred stock and related surplus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Surplus (exclude all surplus related to preferred stock)</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99,458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Other equity capital components</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440" w:type="dxa"/>
            <w:vAlign w:val="bottom"/>
            <w:gridSpan w:val="2"/>
          </w:tcPr>
          <w:p>
            <w:pPr>
              <w:spacing w:after="0"/>
              <w:rPr>
                <w:sz w:val="20"/>
                <w:szCs w:val="20"/>
                <w:color w:val="auto"/>
              </w:rPr>
            </w:pPr>
            <w:r>
              <w:rPr>
                <w:rFonts w:ascii="Arial" w:cs="Arial" w:eastAsia="Arial" w:hAnsi="Arial"/>
                <w:sz w:val="18"/>
                <w:szCs w:val="18"/>
                <w:color w:val="auto"/>
              </w:rPr>
              <w:t>Total bank equity capital</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124,719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(minority) interests in consolidated subsidiaries</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40" w:type="dxa"/>
            <w:vAlign w:val="bottom"/>
            <w:gridSpan w:val="2"/>
          </w:tcPr>
          <w:p>
            <w:pPr>
              <w:spacing w:after="0"/>
              <w:rPr>
                <w:sz w:val="20"/>
                <w:szCs w:val="20"/>
                <w:color w:val="auto"/>
              </w:rPr>
            </w:pPr>
            <w:r>
              <w:rPr>
                <w:rFonts w:ascii="Arial" w:cs="Arial" w:eastAsia="Arial" w:hAnsi="Arial"/>
                <w:sz w:val="18"/>
                <w:szCs w:val="18"/>
                <w:color w:val="auto"/>
              </w:rPr>
              <w:t>Total equity capital</w:t>
            </w: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 capital</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1,181,817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40"/>
        <w:spacing w:after="0" w:line="332" w:lineRule="auto"/>
        <w:rPr>
          <w:sz w:val="20"/>
          <w:szCs w:val="20"/>
          <w:color w:val="auto"/>
        </w:rPr>
      </w:pPr>
      <w:r>
        <w:rPr>
          <w:rFonts w:ascii="Arial" w:cs="Arial" w:eastAsia="Arial" w:hAnsi="Arial"/>
          <w:sz w:val="16"/>
          <w:szCs w:val="16"/>
          <w:color w:val="auto"/>
        </w:rPr>
        <w:t>I, Timothy J. Sloan, EVP &amp; CFO of the above-named bank do hereby declare that this Report of Condition has been prepared in conformance with the instructions issued by the appropriate Federal regulatory authority and is true to the best of my knowledge and belief.</w:t>
      </w:r>
    </w:p>
    <w:p>
      <w:pPr>
        <w:spacing w:after="0" w:line="126" w:lineRule="exact"/>
        <w:rPr>
          <w:sz w:val="20"/>
          <w:szCs w:val="20"/>
          <w:color w:val="auto"/>
        </w:rPr>
      </w:pPr>
    </w:p>
    <w:p>
      <w:pPr>
        <w:ind w:left="10060"/>
        <w:spacing w:after="0"/>
        <w:rPr>
          <w:sz w:val="20"/>
          <w:szCs w:val="20"/>
          <w:color w:val="auto"/>
        </w:rPr>
      </w:pPr>
      <w:r>
        <w:rPr>
          <w:rFonts w:ascii="Arial" w:cs="Arial" w:eastAsia="Arial" w:hAnsi="Arial"/>
          <w:sz w:val="18"/>
          <w:szCs w:val="18"/>
          <w:color w:val="auto"/>
        </w:rPr>
        <w:t>Timothy J. Sloan</w:t>
      </w:r>
    </w:p>
    <w:p>
      <w:pPr>
        <w:spacing w:after="0" w:line="15" w:lineRule="exact"/>
        <w:rPr>
          <w:sz w:val="20"/>
          <w:szCs w:val="20"/>
          <w:color w:val="auto"/>
        </w:rPr>
      </w:pPr>
    </w:p>
    <w:p>
      <w:pPr>
        <w:ind w:left="10140"/>
        <w:spacing w:after="0"/>
        <w:rPr>
          <w:sz w:val="20"/>
          <w:szCs w:val="20"/>
          <w:color w:val="auto"/>
        </w:rPr>
      </w:pPr>
      <w:r>
        <w:rPr>
          <w:rFonts w:ascii="Arial" w:cs="Arial" w:eastAsia="Arial" w:hAnsi="Arial"/>
          <w:sz w:val="18"/>
          <w:szCs w:val="18"/>
          <w:color w:val="auto"/>
        </w:rPr>
        <w:t>EVP &amp; CFO</w:t>
      </w:r>
    </w:p>
    <w:p>
      <w:pPr>
        <w:spacing w:after="0" w:line="165"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We, the undersigned directors, attest to the correctness of this Report of Condition and declare that it has been examined by us and to the best of our knowledge and belief has been prepared in conformance with the instructions issued by the appropriate Federal regulatory authority and is true and correct.</w:t>
      </w:r>
    </w:p>
    <w:p>
      <w:pPr>
        <w:sectPr>
          <w:pgSz w:w="11900" w:h="16838" w:orient="portrait"/>
          <w:cols w:equalWidth="0" w:num="1">
            <w:col w:w="11420"/>
          </w:cols>
          <w:pgMar w:left="240" w:top="265" w:right="239" w:bottom="1440" w:gutter="0" w:footer="0" w:header="0"/>
        </w:sectPr>
      </w:pP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John Stumpf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Avid Modjtabai</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Michael Loughlin</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Directors</w:t>
      </w:r>
    </w:p>
    <w:sectPr>
      <w:pgSz w:w="11900" w:h="16838" w:orient="portrait"/>
      <w:cols w:equalWidth="0" w:num="2">
        <w:col w:w="3040" w:space="720"/>
        <w:col w:w="7660"/>
      </w:cols>
      <w:pgMar w:left="240" w:top="26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2019-12-09T11:10:40Z</dcterms:created>
  <dcterms:modified xsi:type="dcterms:W3CDTF">2019-12-09T11:10:40Z</dcterms:modified>
</cp:coreProperties>
</file>