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POSTE GEORGE</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C/O EXELIXIS, INC.</w:t>
            </w:r>
          </w:p>
        </w:tc>
        <w:tc>
          <w:tcPr>
            <w:tcW w:w="1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w w:val="93"/>
              </w:rPr>
              <w:t>1851 HARBOR BAY PARKWAY</w:t>
            </w:r>
          </w:p>
        </w:tc>
        <w:tc>
          <w:tcPr>
            <w:tcW w:w="12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ALAMEDA</w:t>
            </w:r>
          </w:p>
        </w:tc>
        <w:tc>
          <w:tcPr>
            <w:tcW w:w="1380" w:type="dxa"/>
            <w:vAlign w:val="bottom"/>
          </w:tcPr>
          <w:p>
            <w:pPr>
              <w:ind w:left="180"/>
              <w:spacing w:after="0"/>
              <w:rPr>
                <w:sz w:val="20"/>
                <w:szCs w:val="20"/>
                <w:color w:val="auto"/>
              </w:rPr>
            </w:pPr>
            <w:r>
              <w:rPr>
                <w:rFonts w:ascii="Arial" w:cs="Arial" w:eastAsia="Arial" w:hAnsi="Arial"/>
                <w:sz w:val="18"/>
                <w:szCs w:val="18"/>
                <w:color w:val="0000FF"/>
              </w:rPr>
              <w:t>CA</w:t>
            </w:r>
          </w:p>
        </w:tc>
        <w:tc>
          <w:tcPr>
            <w:tcW w:w="1200" w:type="dxa"/>
            <w:vAlign w:val="bottom"/>
          </w:tcPr>
          <w:p>
            <w:pPr>
              <w:ind w:left="20"/>
              <w:spacing w:after="0"/>
              <w:rPr>
                <w:sz w:val="20"/>
                <w:szCs w:val="20"/>
                <w:color w:val="auto"/>
              </w:rPr>
            </w:pPr>
            <w:r>
              <w:rPr>
                <w:rFonts w:ascii="Arial" w:cs="Arial" w:eastAsia="Arial" w:hAnsi="Arial"/>
                <w:sz w:val="18"/>
                <w:szCs w:val="18"/>
                <w:color w:val="0000FF"/>
              </w:rPr>
              <w:t>94502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EXELIXIS,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EXEL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80" w:type="dxa"/>
            <w:vAlign w:val="bottom"/>
            <w:tcBorders>
              <w:bottom w:val="single" w:sz="8" w:color="0000EE"/>
            </w:tcBorders>
          </w:tcPr>
          <w:p>
            <w:pPr>
              <w:spacing w:after="0"/>
              <w:rPr>
                <w:sz w:val="3"/>
                <w:szCs w:val="3"/>
                <w:color w:val="auto"/>
              </w:rPr>
            </w:pPr>
          </w:p>
        </w:tc>
        <w:tc>
          <w:tcPr>
            <w:tcW w:w="2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58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tcPr>
          <w:p>
            <w:pPr>
              <w:spacing w:after="0"/>
              <w:rPr>
                <w:sz w:val="9"/>
                <w:szCs w:val="9"/>
                <w:color w:val="auto"/>
              </w:rPr>
            </w:pPr>
          </w:p>
        </w:tc>
        <w:tc>
          <w:tcPr>
            <w:tcW w:w="22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w w:val="94"/>
              </w:rPr>
              <w:t>06/01/2023</w:t>
            </w:r>
            <w:r>
              <w:rPr>
                <w:rFonts w:ascii="Arial" w:cs="Arial" w:eastAsia="Arial" w:hAnsi="Arial"/>
                <w:sz w:val="22"/>
                <w:szCs w:val="22"/>
                <w:color w:val="008000"/>
                <w:w w:val="94"/>
                <w:vertAlign w:val="superscript"/>
              </w:rPr>
              <w:t>(2)</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90"/>
              </w:rPr>
              <w:t>20,718</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213,907</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Exelixis, Inc. common stock that will be issued to the Reporting Person upon vesting of restricted stock units. Each restricted stock unit is the economic equivalent of one share of Exelixis, Inc. common stock.</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were granted to the Reporting Person on the Transaction Date pursuant to the Exelixis, Inc. 2017 Equity Incentive Plan. The restricted stock units will vest as to 100% of the shares subject to the restricted stock unit award on June 1, 2024, subject to the Reporting Person's continuous service through that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20,718 shares of Exelixis, Inc. common stock that will be issued to the Reporting Person upon vesting of restricted stock units.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Nina Ayer, Attorney in Fact 06/02/2023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904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spacing w:after="0" w:line="4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0770" TargetMode="External"/><Relationship Id="rId13"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2023-06-02T20:27:49Z</dcterms:created>
  <dcterms:modified xsi:type="dcterms:W3CDTF">2023-06-02T20:27:49Z</dcterms:modified>
</cp:coreProperties>
</file>