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102235</wp:posOffset>
            </wp:positionV>
            <wp:extent cx="2555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8" w:lineRule="exact"/>
        <w:rPr>
          <w:sz w:val="24"/>
          <w:szCs w:val="24"/>
          <w:color w:val="auto"/>
        </w:rPr>
      </w:pPr>
    </w:p>
    <w:p>
      <w:pPr>
        <w:ind w:left="484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45085</wp:posOffset>
            </wp:positionV>
            <wp:extent cx="2555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10/7/2019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106045</wp:posOffset>
            </wp:positionV>
            <wp:extent cx="2573020"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EXELIXIS, INC.</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2573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p>
      <w:pPr>
        <w:spacing w:after="0" w:line="352"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000-30235</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04-3257395</w:t>
      </w:r>
    </w:p>
    <w:p>
      <w:pPr>
        <w:spacing w:after="0" w:line="102" w:lineRule="exact"/>
        <w:rPr>
          <w:sz w:val="24"/>
          <w:szCs w:val="24"/>
          <w:color w:val="auto"/>
        </w:rPr>
      </w:pPr>
    </w:p>
    <w:p>
      <w:pPr>
        <w:sectPr>
          <w:pgSz w:w="11900" w:h="16838" w:orient="portrait"/>
          <w:cols w:equalWidth="0" w:num="3">
            <w:col w:w="4640" w:space="720"/>
            <w:col w:w="2980" w:space="720"/>
            <w:col w:w="2360"/>
          </w:cols>
          <w:pgMar w:left="240" w:top="721" w:right="23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840" w:space="720"/>
            <w:col w:w="2920"/>
          </w:cols>
          <w:pgMar w:left="240" w:top="721" w:right="239" w:bottom="1440" w:gutter="0" w:footer="0" w:header="0"/>
          <w:type w:val="continuous"/>
        </w:sectPr>
      </w:pPr>
    </w:p>
    <w:p>
      <w:pPr>
        <w:spacing w:after="0" w:line="71"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1851 Harbor Bay Parkway</w:t>
      </w:r>
    </w:p>
    <w:p>
      <w:pPr>
        <w:spacing w:after="0" w:line="3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Alameda, California 94502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837-7000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420"/>
          </w:cols>
          <w:pgMar w:left="240" w:top="721" w:right="239" w:bottom="1440" w:gutter="0" w:footer="0" w:header="0"/>
          <w:type w:val="continuous"/>
        </w:sectPr>
      </w:pPr>
    </w:p>
    <w:p>
      <w:pPr>
        <w:spacing w:after="0" w:line="158"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6" w:lineRule="exact"/>
        <w:rPr>
          <w:sz w:val="24"/>
          <w:szCs w:val="24"/>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71" w:lineRule="exact"/>
        <w:rPr>
          <w:sz w:val="24"/>
          <w:szCs w:val="24"/>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171" w:lineRule="exact"/>
        <w:rPr>
          <w:sz w:val="24"/>
          <w:szCs w:val="24"/>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71" w:lineRule="exact"/>
        <w:rPr>
          <w:sz w:val="24"/>
          <w:szCs w:val="24"/>
          <w:color w:val="auto"/>
        </w:rPr>
      </w:pPr>
    </w:p>
    <w:p>
      <w:pPr>
        <w:ind w:left="1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460" w:type="dxa"/>
            <w:vAlign w:val="bottom"/>
          </w:tcPr>
          <w:p>
            <w:pPr>
              <w:spacing w:after="0"/>
              <w:rPr>
                <w:sz w:val="18"/>
                <w:szCs w:val="18"/>
                <w:color w:val="auto"/>
              </w:rPr>
            </w:pPr>
          </w:p>
        </w:tc>
        <w:tc>
          <w:tcPr>
            <w:tcW w:w="270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Trading Symbol(s)</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77"/>
        </w:trPr>
        <w:tc>
          <w:tcPr>
            <w:tcW w:w="3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Common Stock $.001 Par Value per Share</w:t>
            </w:r>
          </w:p>
        </w:tc>
        <w:tc>
          <w:tcPr>
            <w:tcW w:w="400" w:type="dxa"/>
            <w:vAlign w:val="bottom"/>
          </w:tcPr>
          <w:p>
            <w:pPr>
              <w:spacing w:after="0"/>
              <w:rPr>
                <w:sz w:val="24"/>
                <w:szCs w:val="24"/>
                <w:color w:val="auto"/>
              </w:rPr>
            </w:pPr>
          </w:p>
        </w:tc>
        <w:tc>
          <w:tcPr>
            <w:tcW w:w="23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7"/>
              </w:rPr>
              <w:t>EXEL</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229"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2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93"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 xml:space="preserve">On October 7, 2019, Exelixis, Inc. (“Exelixis” or the “Company”) announced that it has received a Paragraph IV Certification Notice Letter from MSN Pharmaceuticals, Inc. (“MSN”) that MSN had filed an Abbreviated New Drug Application (“ANDA”) with the U.S. Food and Drug Administration (“FDA”) for a generic version of CABOMETYX® (cabozantinib) </w:t>
      </w:r>
      <w:r>
        <w:rPr>
          <w:rFonts w:ascii="Arial" w:cs="Arial" w:eastAsia="Arial" w:hAnsi="Arial"/>
          <w:sz w:val="18"/>
          <w:szCs w:val="18"/>
          <w:color w:val="212529"/>
        </w:rPr>
        <w:t>tablets (20 mg / 40 mg / 60 mg) (the “Notice”).</w:t>
      </w:r>
    </w:p>
    <w:p>
      <w:pPr>
        <w:spacing w:after="0" w:line="148"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212529"/>
        </w:rPr>
        <w:t xml:space="preserve">The Notice states that MSN intends to market a generic version of CABOMETYX before the expiration of Exelixis’ </w:t>
      </w:r>
      <w:r>
        <w:rPr>
          <w:rFonts w:ascii="Arial" w:cs="Arial" w:eastAsia="Arial" w:hAnsi="Arial"/>
          <w:sz w:val="18"/>
          <w:szCs w:val="18"/>
          <w:color w:val="000000"/>
        </w:rPr>
        <w:t>U.S. Patent</w:t>
      </w:r>
      <w:r>
        <w:rPr>
          <w:rFonts w:ascii="Arial" w:cs="Arial" w:eastAsia="Arial" w:hAnsi="Arial"/>
          <w:sz w:val="18"/>
          <w:szCs w:val="18"/>
          <w:color w:val="212529"/>
        </w:rPr>
        <w:t xml:space="preserve"> </w:t>
      </w:r>
      <w:r>
        <w:rPr>
          <w:rFonts w:ascii="Arial" w:cs="Arial" w:eastAsia="Arial" w:hAnsi="Arial"/>
          <w:sz w:val="18"/>
          <w:szCs w:val="18"/>
          <w:color w:val="000000"/>
        </w:rPr>
        <w:t xml:space="preserve">Nos. 8,877,776, 9,724,342, 10,034,873 and 10,039,757, all of which are listed in the FDA’s </w:t>
      </w:r>
      <w:r>
        <w:rPr>
          <w:rFonts w:ascii="Arial" w:cs="Arial" w:eastAsia="Arial" w:hAnsi="Arial"/>
          <w:sz w:val="18"/>
          <w:szCs w:val="18"/>
          <w:i w:val="1"/>
          <w:iCs w:val="1"/>
          <w:color w:val="000000"/>
        </w:rPr>
        <w:t>Approved Drug Products with Therapeutic</w:t>
      </w:r>
      <w:r>
        <w:rPr>
          <w:rFonts w:ascii="Arial" w:cs="Arial" w:eastAsia="Arial" w:hAnsi="Arial"/>
          <w:sz w:val="18"/>
          <w:szCs w:val="18"/>
          <w:color w:val="000000"/>
        </w:rPr>
        <w:t xml:space="preserve"> </w:t>
      </w:r>
      <w:r>
        <w:rPr>
          <w:rFonts w:ascii="Arial" w:cs="Arial" w:eastAsia="Arial" w:hAnsi="Arial"/>
          <w:sz w:val="18"/>
          <w:szCs w:val="18"/>
          <w:i w:val="1"/>
          <w:iCs w:val="1"/>
          <w:color w:val="000000"/>
        </w:rPr>
        <w:t>Equivalence Evaluations</w:t>
      </w:r>
      <w:r>
        <w:rPr>
          <w:rFonts w:ascii="Arial" w:cs="Arial" w:eastAsia="Arial" w:hAnsi="Arial"/>
          <w:sz w:val="18"/>
          <w:szCs w:val="18"/>
          <w:color w:val="000000"/>
        </w:rPr>
        <w:t>, commonly known as the Orange Book (the “Subject Patents”). The Notice does not challenge the CABOMETYX</w:t>
      </w:r>
      <w:r>
        <w:rPr>
          <w:rFonts w:ascii="Arial" w:cs="Arial" w:eastAsia="Arial" w:hAnsi="Arial"/>
          <w:sz w:val="18"/>
          <w:szCs w:val="18"/>
          <w:i w:val="1"/>
          <w:iCs w:val="1"/>
          <w:color w:val="000000"/>
        </w:rPr>
        <w:t xml:space="preserve"> </w:t>
      </w:r>
      <w:r>
        <w:rPr>
          <w:rFonts w:ascii="Arial" w:cs="Arial" w:eastAsia="Arial" w:hAnsi="Arial"/>
          <w:sz w:val="18"/>
          <w:szCs w:val="18"/>
          <w:color w:val="000000"/>
        </w:rPr>
        <w:t>composition of matter patent No. 7,579,473, which expires on August 14, 2026. The Notice alleges that the Subject Patents are invalid, unenforceable and/or will not be infringed by MSN’s commercial manufacture, use or sale or the subject drug products.</w:t>
      </w:r>
    </w:p>
    <w:p>
      <w:pPr>
        <w:spacing w:after="0" w:line="15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Exelixis currently is reviewing the Notice. The Company intends to vigorously enforce its intellectual property rights relating to CABOMETYX, but cannot predict the outcome of this matter. </w:t>
      </w:r>
      <w:r>
        <w:rPr>
          <w:rFonts w:ascii="Arial" w:cs="Arial" w:eastAsia="Arial" w:hAnsi="Arial"/>
          <w:sz w:val="18"/>
          <w:szCs w:val="18"/>
          <w:color w:val="212529"/>
        </w:rPr>
        <w:t>CABOMETYX is protected by six issued patents in the United States, all of which</w:t>
      </w:r>
      <w:r>
        <w:rPr>
          <w:rFonts w:ascii="Arial" w:cs="Arial" w:eastAsia="Arial" w:hAnsi="Arial"/>
          <w:sz w:val="18"/>
          <w:szCs w:val="18"/>
          <w:color w:val="auto"/>
        </w:rPr>
        <w:t xml:space="preserve"> </w:t>
      </w:r>
      <w:r>
        <w:rPr>
          <w:rFonts w:ascii="Arial" w:cs="Arial" w:eastAsia="Arial" w:hAnsi="Arial"/>
          <w:sz w:val="18"/>
          <w:szCs w:val="18"/>
          <w:color w:val="212529"/>
        </w:rPr>
        <w:t>are listed in the Orange Book.</w:t>
      </w:r>
    </w:p>
    <w:p>
      <w:pPr>
        <w:spacing w:after="0" w:line="1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212529"/>
        </w:rPr>
        <w:t>This Current Report on Form 8-K contains forward-looking statements, including, without limitation, statements related to Exelixis’ intention to vigorously enforce its intellectual property rights. Forward-looking statements involve risks and uncertainties. Actual results and the timing of events could differ materially from those anticipated in the forward-looking statements as a result of these risks and uncertainties, which include, without limitation: risks related to the ability of Exelixis to protect its intellectual property rights and defend its patents; the possible introduction of generic versions of CABOMETYX; Exelixis’ dependence on sales of CABOMETYX; and those other risks discussed under the caption “Risk Factors” in Exelixis’ Quarterly Report on Form 10-Q for the quarter ended June 28, 2019, filed with the Securities and Exchange Commission on July 31, 2019. Exelixis undertakes no duty to update these statements other than to the extent required by applicable law.</w:t>
      </w:r>
    </w:p>
    <w:p>
      <w:pPr>
        <w:sectPr>
          <w:pgSz w:w="11900" w:h="16838" w:orient="portrait"/>
          <w:cols w:equalWidth="0" w:num="1">
            <w:col w:w="11340"/>
          </w:cols>
          <w:pgMar w:left="240" w:top="57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4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328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5860" w:type="dxa"/>
            <w:vAlign w:val="bottom"/>
            <w:gridSpan w:val="2"/>
          </w:tcPr>
          <w:p>
            <w:pPr>
              <w:ind w:left="6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XELIXIS,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54"/>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October 7, 2019</w:t>
            </w:r>
          </w:p>
        </w:tc>
        <w:tc>
          <w:tcPr>
            <w:tcW w:w="13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J. H</w:t>
            </w:r>
            <w:r>
              <w:rPr>
                <w:rFonts w:ascii="Arial" w:cs="Arial" w:eastAsia="Arial" w:hAnsi="Arial"/>
                <w:sz w:val="14"/>
                <w:szCs w:val="14"/>
                <w:color w:val="auto"/>
              </w:rPr>
              <w:t>ESSEKIEL</w:t>
            </w:r>
          </w:p>
        </w:tc>
      </w:tr>
      <w:tr>
        <w:trPr>
          <w:trHeight w:val="27"/>
        </w:trPr>
        <w:tc>
          <w:tcPr>
            <w:tcW w:w="2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9"/>
              </w:rPr>
              <w:t>Date</w:t>
            </w:r>
          </w:p>
        </w:tc>
        <w:tc>
          <w:tcPr>
            <w:tcW w:w="13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Jeffrey J. Hessekiel</w:t>
            </w:r>
          </w:p>
        </w:tc>
      </w:tr>
      <w:tr>
        <w:trPr>
          <w:trHeight w:val="257"/>
        </w:trPr>
        <w:tc>
          <w:tcPr>
            <w:tcW w:w="2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General Counsel</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2019-12-04T21:43:46Z</dcterms:created>
  <dcterms:modified xsi:type="dcterms:W3CDTF">2019-12-04T21:43:46Z</dcterms:modified>
</cp:coreProperties>
</file>