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80"/>
        <w:spacing w:after="0"/>
        <w:rPr>
          <w:sz w:val="20"/>
          <w:szCs w:val="20"/>
          <w:color w:val="auto"/>
        </w:rPr>
      </w:pPr>
      <w:r>
        <w:rPr>
          <w:rFonts w:ascii="Arial" w:cs="Arial" w:eastAsia="Arial" w:hAnsi="Arial"/>
          <w:sz w:val="19"/>
          <w:szCs w:val="19"/>
          <w:b w:val="1"/>
          <w:bCs w:val="1"/>
          <w:color w:val="FF0000"/>
        </w:rPr>
        <w:t>As filed with the Securities and Exchange Commission on March 14, 2001</w:t>
      </w:r>
    </w:p>
    <w:p>
      <w:pPr>
        <w:spacing w:after="0" w:line="49" w:lineRule="exact"/>
        <w:rPr>
          <w:sz w:val="24"/>
          <w:szCs w:val="24"/>
          <w:color w:val="auto"/>
        </w:rPr>
      </w:pPr>
    </w:p>
    <w:p>
      <w:pPr>
        <w:ind w:left="7740"/>
        <w:spacing w:after="0"/>
        <w:rPr>
          <w:sz w:val="20"/>
          <w:szCs w:val="20"/>
          <w:color w:val="auto"/>
        </w:rPr>
      </w:pPr>
      <w:r>
        <w:rPr>
          <w:rFonts w:ascii="Arial" w:cs="Arial" w:eastAsia="Arial" w:hAnsi="Arial"/>
          <w:sz w:val="19"/>
          <w:szCs w:val="19"/>
          <w:b w:val="1"/>
          <w:bCs w:val="1"/>
          <w:color w:val="FF0000"/>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142240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227965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8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120650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Under</w:t>
      </w:r>
    </w:p>
    <w:p>
      <w:pPr>
        <w:jc w:val="center"/>
        <w:ind w:right="860"/>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120650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389" w:lineRule="exact"/>
        <w:rPr>
          <w:sz w:val="24"/>
          <w:szCs w:val="24"/>
          <w:color w:val="auto"/>
        </w:rPr>
      </w:pPr>
    </w:p>
    <w:p>
      <w:pPr>
        <w:ind w:left="3200"/>
        <w:spacing w:after="0"/>
        <w:rPr>
          <w:sz w:val="20"/>
          <w:szCs w:val="20"/>
          <w:color w:val="auto"/>
        </w:rPr>
      </w:pPr>
      <w:r>
        <w:rPr>
          <w:rFonts w:ascii="Arial" w:cs="Arial" w:eastAsia="Arial" w:hAnsi="Arial"/>
          <w:sz w:val="43"/>
          <w:szCs w:val="43"/>
          <w:b w:val="1"/>
          <w:bCs w:val="1"/>
          <w:u w:val="single" w:color="auto"/>
          <w:color w:val="0000FF"/>
        </w:rPr>
        <w:t>EXELIXIS, INC.</w:t>
      </w:r>
    </w:p>
    <w:p>
      <w:pPr>
        <w:spacing w:after="0" w:line="54"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48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3660" w:type="dxa"/>
            <w:vAlign w:val="bottom"/>
            <w:gridSpan w:val="2"/>
          </w:tcPr>
          <w:p>
            <w:pPr>
              <w:jc w:val="center"/>
              <w:ind w:right="2780"/>
              <w:spacing w:after="0"/>
              <w:rPr>
                <w:sz w:val="20"/>
                <w:szCs w:val="20"/>
                <w:color w:val="auto"/>
              </w:rPr>
            </w:pPr>
            <w:r>
              <w:rPr>
                <w:rFonts w:ascii="Arial" w:cs="Arial" w:eastAsia="Arial" w:hAnsi="Arial"/>
                <w:sz w:val="22"/>
                <w:szCs w:val="22"/>
                <w:b w:val="1"/>
                <w:bCs w:val="1"/>
                <w:color w:val="auto"/>
                <w:w w:val="91"/>
              </w:rPr>
              <w:t>Delaware</w:t>
            </w:r>
          </w:p>
        </w:tc>
        <w:tc>
          <w:tcPr>
            <w:tcW w:w="3000" w:type="dxa"/>
            <w:vAlign w:val="bottom"/>
            <w:gridSpan w:val="2"/>
          </w:tcPr>
          <w:p>
            <w:pPr>
              <w:jc w:val="right"/>
              <w:spacing w:after="0"/>
              <w:rPr>
                <w:sz w:val="20"/>
                <w:szCs w:val="20"/>
                <w:color w:val="auto"/>
              </w:rPr>
            </w:pPr>
            <w:r>
              <w:rPr>
                <w:rFonts w:ascii="Arial" w:cs="Arial" w:eastAsia="Arial" w:hAnsi="Arial"/>
                <w:sz w:val="22"/>
                <w:szCs w:val="22"/>
                <w:b w:val="1"/>
                <w:bCs w:val="1"/>
                <w:color w:val="auto"/>
              </w:rPr>
              <w:t>04-3257395</w:t>
            </w:r>
          </w:p>
        </w:tc>
        <w:tc>
          <w:tcPr>
            <w:tcW w:w="920" w:type="dxa"/>
            <w:vAlign w:val="bottom"/>
          </w:tcPr>
          <w:p>
            <w:pPr>
              <w:spacing w:after="0"/>
              <w:rPr>
                <w:sz w:val="21"/>
                <w:szCs w:val="2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9"/>
        </w:trPr>
        <w:tc>
          <w:tcPr>
            <w:tcW w:w="534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3920" w:type="dxa"/>
            <w:vAlign w:val="bottom"/>
            <w:gridSpan w:val="3"/>
          </w:tcPr>
          <w:p>
            <w:pPr>
              <w:jc w:val="center"/>
              <w:ind w:left="942"/>
              <w:spacing w:after="0"/>
              <w:rPr>
                <w:sz w:val="20"/>
                <w:szCs w:val="20"/>
                <w:color w:val="auto"/>
              </w:rPr>
            </w:pPr>
            <w:r>
              <w:rPr>
                <w:rFonts w:ascii="Arial" w:cs="Arial" w:eastAsia="Arial" w:hAnsi="Arial"/>
                <w:sz w:val="18"/>
                <w:szCs w:val="18"/>
                <w:color w:val="auto"/>
                <w:w w:val="91"/>
              </w:rPr>
              <w:t>(I.R.S. Employer Identification Number)</w:t>
            </w:r>
          </w:p>
        </w:tc>
      </w:tr>
    </w:tbl>
    <w:p>
      <w:pPr>
        <w:spacing w:after="0" w:line="200" w:lineRule="exact"/>
        <w:rPr>
          <w:sz w:val="24"/>
          <w:szCs w:val="24"/>
          <w:color w:val="auto"/>
        </w:rPr>
      </w:pPr>
    </w:p>
    <w:p>
      <w:pPr>
        <w:spacing w:after="0" w:line="247"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170 Harbor Way</w:t>
      </w:r>
    </w:p>
    <w:p>
      <w:pPr>
        <w:spacing w:after="0" w:line="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P.O. Box 511</w:t>
      </w:r>
    </w:p>
    <w:p>
      <w:pPr>
        <w:jc w:val="center"/>
        <w:ind w:right="860"/>
        <w:spacing w:after="0"/>
        <w:tabs>
          <w:tab w:leader="none" w:pos="180" w:val="left"/>
        </w:tabs>
        <w:rPr>
          <w:sz w:val="20"/>
          <w:szCs w:val="20"/>
          <w:color w:val="auto"/>
        </w:rPr>
      </w:pPr>
      <w:r>
        <w:rPr>
          <w:rFonts w:ascii="Arial" w:cs="Arial" w:eastAsia="Arial" w:hAnsi="Arial"/>
          <w:sz w:val="22"/>
          <w:szCs w:val="22"/>
          <w:b w:val="1"/>
          <w:bCs w:val="1"/>
          <w:color w:val="auto"/>
        </w:rPr>
        <w:t>South San Francisco, California</w:t>
      </w:r>
      <w:r>
        <w:rPr>
          <w:sz w:val="20"/>
          <w:szCs w:val="20"/>
          <w:color w:val="auto"/>
        </w:rPr>
        <w:tab/>
      </w:r>
      <w:r>
        <w:rPr>
          <w:rFonts w:ascii="Arial" w:cs="Arial" w:eastAsia="Arial" w:hAnsi="Arial"/>
          <w:sz w:val="19"/>
          <w:szCs w:val="19"/>
          <w:b w:val="1"/>
          <w:bCs w:val="1"/>
          <w:color w:val="auto"/>
        </w:rPr>
        <w:t>94083</w:t>
      </w:r>
    </w:p>
    <w:p>
      <w:pPr>
        <w:jc w:val="center"/>
        <w:ind w:right="900"/>
        <w:spacing w:after="0"/>
        <w:rPr>
          <w:sz w:val="20"/>
          <w:szCs w:val="20"/>
          <w:color w:val="auto"/>
        </w:rPr>
      </w:pPr>
      <w:r>
        <w:rPr>
          <w:rFonts w:ascii="Arial" w:cs="Arial" w:eastAsia="Arial" w:hAnsi="Arial"/>
          <w:sz w:val="22"/>
          <w:szCs w:val="22"/>
          <w:b w:val="1"/>
          <w:bCs w:val="1"/>
          <w:u w:val="single" w:color="auto"/>
          <w:color w:val="auto"/>
        </w:rPr>
        <w:t>(650) 837-7000</w:t>
      </w:r>
    </w:p>
    <w:p>
      <w:pPr>
        <w:jc w:val="center"/>
        <w:ind w:right="86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2000 EQUITY INCENTIVE PLAN</w:t>
      </w:r>
    </w:p>
    <w:p>
      <w:pPr>
        <w:spacing w:after="0" w:line="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2000 EMPLOYEE STOCK PURCHASE PLAN</w:t>
      </w:r>
    </w:p>
    <w:p>
      <w:pPr>
        <w:jc w:val="center"/>
        <w:ind w:right="860"/>
        <w:spacing w:after="0"/>
        <w:rPr>
          <w:sz w:val="20"/>
          <w:szCs w:val="20"/>
          <w:color w:val="auto"/>
        </w:rPr>
      </w:pPr>
      <w:r>
        <w:rPr>
          <w:rFonts w:ascii="Arial" w:cs="Arial" w:eastAsia="Arial" w:hAnsi="Arial"/>
          <w:sz w:val="22"/>
          <w:szCs w:val="22"/>
          <w:b w:val="1"/>
          <w:bCs w:val="1"/>
          <w:color w:val="auto"/>
        </w:rPr>
        <w:t>2000 NON-EMPLOYEE DIRECTORS' STOCK OPTION PLAN</w:t>
      </w:r>
    </w:p>
    <w:p>
      <w:pPr>
        <w:spacing w:after="0" w:line="199"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(Full title of the plans)</w:t>
      </w:r>
    </w:p>
    <w:p>
      <w:pPr>
        <w:spacing w:after="0" w:line="166"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Glen Y. Sato</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Exelixis, Inc.</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170 Harbor Way</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P.O. Box 511</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South San Francisco, CA 94083</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(650) 837-7000</w:t>
      </w:r>
    </w:p>
    <w:p>
      <w:pPr>
        <w:spacing w:after="0" w:line="176"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66"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Copies to:</w:t>
      </w:r>
    </w:p>
    <w:p>
      <w:pPr>
        <w:spacing w:after="0" w:line="233"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Robert L. Jones, Esq.</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Cooley Godward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Five Palo Alto Square</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3000 El Camino Real</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Palo Alto, California 94306</w:t>
      </w:r>
    </w:p>
    <w:p>
      <w:pPr>
        <w:spacing w:after="0" w:line="2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113665</wp:posOffset>
            </wp:positionV>
            <wp:extent cx="620014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00140" cy="617220"/>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Amount of</w:t>
            </w:r>
          </w:p>
        </w:tc>
      </w:tr>
      <w:tr>
        <w:trPr>
          <w:trHeight w:val="174"/>
        </w:trPr>
        <w:tc>
          <w:tcPr>
            <w:tcW w:w="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5"/>
              </w:rPr>
              <w:t>Title of Securities to be Registered</w:t>
            </w:r>
          </w:p>
        </w:tc>
        <w:tc>
          <w:tcPr>
            <w:tcW w:w="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Amount to be Registered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 Per Share (1)</w:t>
            </w:r>
          </w:p>
        </w:tc>
        <w:tc>
          <w:tcPr>
            <w:tcW w:w="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 Price (1)</w:t>
            </w: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Registration Fee</w:t>
            </w:r>
          </w:p>
        </w:tc>
      </w:tr>
      <w:tr>
        <w:trPr>
          <w:trHeight w:val="41"/>
        </w:trPr>
        <w:tc>
          <w:tcPr>
            <w:tcW w:w="20" w:type="dxa"/>
            <w:vAlign w:val="bottom"/>
          </w:tcPr>
          <w:p>
            <w:pPr>
              <w:spacing w:after="0"/>
              <w:rPr>
                <w:sz w:val="3"/>
                <w:szCs w:val="3"/>
                <w:color w:val="auto"/>
              </w:rPr>
            </w:pPr>
          </w:p>
        </w:tc>
        <w:tc>
          <w:tcPr>
            <w:tcW w:w="2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88"/>
              </w:rPr>
              <w:t>Stock Options and Common Stock (par</w:t>
            </w:r>
          </w:p>
        </w:tc>
        <w:tc>
          <w:tcPr>
            <w:tcW w:w="1660" w:type="dxa"/>
            <w:vAlign w:val="bottom"/>
            <w:gridSpan w:val="2"/>
          </w:tcPr>
          <w:p>
            <w:pPr>
              <w:jc w:val="right"/>
              <w:ind w:right="492"/>
              <w:spacing w:after="0"/>
              <w:rPr>
                <w:sz w:val="20"/>
                <w:szCs w:val="20"/>
                <w:color w:val="auto"/>
              </w:rPr>
            </w:pPr>
            <w:r>
              <w:rPr>
                <w:rFonts w:ascii="Arial" w:cs="Arial" w:eastAsia="Arial" w:hAnsi="Arial"/>
                <w:sz w:val="14"/>
                <w:szCs w:val="14"/>
                <w:color w:val="auto"/>
              </w:rPr>
              <w:t>3,365,987</w:t>
            </w:r>
          </w:p>
        </w:tc>
        <w:tc>
          <w:tcPr>
            <w:tcW w:w="1920" w:type="dxa"/>
            <w:vAlign w:val="bottom"/>
          </w:tcPr>
          <w:p>
            <w:pPr>
              <w:jc w:val="center"/>
              <w:spacing w:after="0"/>
              <w:rPr>
                <w:sz w:val="20"/>
                <w:szCs w:val="20"/>
                <w:color w:val="auto"/>
              </w:rPr>
            </w:pPr>
            <w:r>
              <w:rPr>
                <w:rFonts w:ascii="Arial" w:cs="Arial" w:eastAsia="Arial" w:hAnsi="Arial"/>
                <w:sz w:val="14"/>
                <w:szCs w:val="14"/>
                <w:color w:val="auto"/>
                <w:w w:val="85"/>
              </w:rPr>
              <w:t>$9.35155</w:t>
            </w: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w w:val="86"/>
              </w:rPr>
              <w:t>$ 31,477,195.73</w:t>
            </w:r>
          </w:p>
        </w:tc>
        <w:tc>
          <w:tcPr>
            <w:tcW w:w="1740" w:type="dxa"/>
            <w:vAlign w:val="bottom"/>
          </w:tcPr>
          <w:p>
            <w:pPr>
              <w:jc w:val="center"/>
              <w:spacing w:after="0"/>
              <w:rPr>
                <w:sz w:val="20"/>
                <w:szCs w:val="20"/>
                <w:color w:val="auto"/>
              </w:rPr>
            </w:pPr>
            <w:r>
              <w:rPr>
                <w:rFonts w:ascii="Arial" w:cs="Arial" w:eastAsia="Arial" w:hAnsi="Arial"/>
                <w:sz w:val="14"/>
                <w:szCs w:val="14"/>
                <w:color w:val="auto"/>
                <w:w w:val="86"/>
              </w:rPr>
              <w:t>$7,869.30</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85"/>
              </w:rPr>
              <w:t>value $.001)</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200" w:lineRule="exact"/>
        <w:rPr>
          <w:sz w:val="24"/>
          <w:szCs w:val="24"/>
          <w:color w:val="auto"/>
        </w:rPr>
      </w:pPr>
    </w:p>
    <w:p>
      <w:pPr>
        <w:spacing w:after="0" w:line="248" w:lineRule="exact"/>
        <w:rPr>
          <w:sz w:val="24"/>
          <w:szCs w:val="24"/>
          <w:color w:val="auto"/>
        </w:rPr>
      </w:pPr>
    </w:p>
    <w:p>
      <w:pPr>
        <w:ind w:left="220" w:right="240" w:hanging="127"/>
        <w:spacing w:after="0" w:line="288"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pursuant to Rule 457(c) and (h)(1) under the Securities Act of 1933, as amended (the "Act"). The offering price per share and aggregate offering price for the unissued stock options and common stock are based upon the average of the high and low prices of the Registrant's common stock as reported on the Nasdaq National Market System on March 12, 2001. The following chart illustrates the calculation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158115</wp:posOffset>
            </wp:positionH>
            <wp:positionV relativeFrom="paragraph">
              <wp:posOffset>47625</wp:posOffset>
            </wp:positionV>
            <wp:extent cx="6200140" cy="70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00140" cy="700405"/>
                    </a:xfrm>
                    <a:prstGeom prst="rect">
                      <a:avLst/>
                    </a:prstGeom>
                    <a:noFill/>
                  </pic:spPr>
                </pic:pic>
              </a:graphicData>
            </a:graphic>
          </wp:anchor>
        </w:drawing>
      </w:r>
    </w:p>
    <w:p>
      <w:pPr>
        <w:spacing w:after="0" w:line="144" w:lineRule="exact"/>
        <w:rPr>
          <w:sz w:val="24"/>
          <w:szCs w:val="24"/>
          <w:color w:val="auto"/>
        </w:rPr>
      </w:pPr>
    </w:p>
    <w:tbl>
      <w:tblPr>
        <w:tblLayout w:type="fixed"/>
        <w:tblInd w:w="3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9"/>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per</w:t>
            </w:r>
          </w:p>
        </w:tc>
        <w:tc>
          <w:tcPr>
            <w:tcW w:w="20" w:type="dxa"/>
            <w:vAlign w:val="bottom"/>
          </w:tcPr>
          <w:p>
            <w:pPr>
              <w:spacing w:after="0"/>
              <w:rPr>
                <w:sz w:val="12"/>
                <w:szCs w:val="12"/>
                <w:color w:val="auto"/>
              </w:rPr>
            </w:pP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Aggregate</w:t>
            </w:r>
          </w:p>
        </w:tc>
      </w:tr>
      <w:tr>
        <w:trPr>
          <w:trHeight w:val="174"/>
        </w:trPr>
        <w:tc>
          <w:tcPr>
            <w:tcW w:w="6740" w:type="dxa"/>
            <w:vAlign w:val="bottom"/>
          </w:tcPr>
          <w:p>
            <w:pPr>
              <w:ind w:left="2940"/>
              <w:spacing w:after="0"/>
              <w:rPr>
                <w:sz w:val="20"/>
                <w:szCs w:val="20"/>
                <w:color w:val="auto"/>
              </w:rPr>
            </w:pPr>
            <w:r>
              <w:rPr>
                <w:rFonts w:ascii="Arial" w:cs="Arial" w:eastAsia="Arial" w:hAnsi="Arial"/>
                <w:sz w:val="14"/>
                <w:szCs w:val="14"/>
                <w:b w:val="1"/>
                <w:bCs w:val="1"/>
                <w:color w:val="auto"/>
              </w:rPr>
              <w:t>Title of Shares</w:t>
            </w:r>
          </w:p>
        </w:tc>
        <w:tc>
          <w:tcPr>
            <w:tcW w:w="20" w:type="dxa"/>
            <w:vAlign w:val="bottom"/>
          </w:tcPr>
          <w:p>
            <w:pPr>
              <w:spacing w:after="0"/>
              <w:rPr>
                <w:sz w:val="15"/>
                <w:szCs w:val="15"/>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Offering Price</w:t>
            </w:r>
          </w:p>
        </w:tc>
      </w:tr>
      <w:tr>
        <w:trPr>
          <w:trHeight w:val="41"/>
        </w:trPr>
        <w:tc>
          <w:tcPr>
            <w:tcW w:w="6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r>
      <w:tr>
        <w:trPr>
          <w:trHeight w:val="20"/>
        </w:trPr>
        <w:tc>
          <w:tcPr>
            <w:tcW w:w="6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r>
      <w:tr>
        <w:trPr>
          <w:trHeight w:val="172"/>
        </w:trPr>
        <w:tc>
          <w:tcPr>
            <w:tcW w:w="6740" w:type="dxa"/>
            <w:vAlign w:val="bottom"/>
          </w:tcPr>
          <w:p>
            <w:pPr>
              <w:ind w:left="60"/>
              <w:spacing w:after="0"/>
              <w:rPr>
                <w:sz w:val="20"/>
                <w:szCs w:val="20"/>
                <w:color w:val="auto"/>
              </w:rPr>
            </w:pPr>
            <w:r>
              <w:rPr>
                <w:rFonts w:ascii="Arial" w:cs="Arial" w:eastAsia="Arial" w:hAnsi="Arial"/>
                <w:sz w:val="14"/>
                <w:szCs w:val="14"/>
                <w:color w:val="auto"/>
              </w:rPr>
              <w:t>Shares issuable pursuant to unissued stock options to the 2000 Equity Incentive Plan</w:t>
            </w:r>
          </w:p>
        </w:tc>
        <w:tc>
          <w:tcPr>
            <w:tcW w:w="980" w:type="dxa"/>
            <w:vAlign w:val="bottom"/>
            <w:gridSpan w:val="2"/>
          </w:tcPr>
          <w:p>
            <w:pPr>
              <w:jc w:val="right"/>
              <w:ind w:right="12"/>
              <w:spacing w:after="0"/>
              <w:rPr>
                <w:sz w:val="20"/>
                <w:szCs w:val="20"/>
                <w:color w:val="auto"/>
              </w:rPr>
            </w:pPr>
            <w:r>
              <w:rPr>
                <w:rFonts w:ascii="Arial" w:cs="Arial" w:eastAsia="Arial" w:hAnsi="Arial"/>
                <w:sz w:val="14"/>
                <w:szCs w:val="14"/>
                <w:color w:val="auto"/>
              </w:rPr>
              <w:t>2,589,221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$9.35155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$ 24,213,229.64</w:t>
            </w:r>
          </w:p>
        </w:tc>
      </w:tr>
      <w:tr>
        <w:trPr>
          <w:trHeight w:val="172"/>
        </w:trPr>
        <w:tc>
          <w:tcPr>
            <w:tcW w:w="6740" w:type="dxa"/>
            <w:vAlign w:val="bottom"/>
          </w:tcPr>
          <w:p>
            <w:pPr>
              <w:ind w:left="60"/>
              <w:spacing w:after="0"/>
              <w:rPr>
                <w:sz w:val="20"/>
                <w:szCs w:val="20"/>
                <w:color w:val="auto"/>
              </w:rPr>
            </w:pPr>
            <w:r>
              <w:rPr>
                <w:rFonts w:ascii="Arial" w:cs="Arial" w:eastAsia="Arial" w:hAnsi="Arial"/>
                <w:sz w:val="14"/>
                <w:szCs w:val="14"/>
                <w:color w:val="auto"/>
                <w:w w:val="91"/>
              </w:rPr>
              <w:t>Shares issuable pursuant to unissued stock options pursuant to the 2000 Non-Employee Directors' Stock Option Plan</w:t>
            </w:r>
          </w:p>
        </w:tc>
        <w:tc>
          <w:tcPr>
            <w:tcW w:w="980" w:type="dxa"/>
            <w:vAlign w:val="bottom"/>
            <w:gridSpan w:val="2"/>
          </w:tcPr>
          <w:p>
            <w:pPr>
              <w:jc w:val="right"/>
              <w:ind w:right="12"/>
              <w:spacing w:after="0"/>
              <w:rPr>
                <w:sz w:val="20"/>
                <w:szCs w:val="20"/>
                <w:color w:val="auto"/>
              </w:rPr>
            </w:pPr>
            <w:r>
              <w:rPr>
                <w:rFonts w:ascii="Arial" w:cs="Arial" w:eastAsia="Arial" w:hAnsi="Arial"/>
                <w:sz w:val="14"/>
                <w:szCs w:val="14"/>
                <w:color w:val="auto"/>
              </w:rPr>
              <w:t>388,383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$9.35155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$ 3,631,983.04</w:t>
            </w:r>
          </w:p>
        </w:tc>
      </w:tr>
    </w:tbl>
    <w:p>
      <w:pPr>
        <w:sectPr>
          <w:pgSz w:w="11900" w:h="16838" w:orient="portrait"/>
          <w:cols w:equalWidth="0" w:num="1">
            <w:col w:w="10560"/>
          </w:cols>
          <w:pgMar w:left="1100" w:top="220" w:right="239" w:bottom="0" w:gutter="0" w:footer="0" w:header="0"/>
        </w:sectPr>
      </w:pPr>
    </w:p>
    <w:bookmarkStart w:id="1" w:name="page2"/>
    <w:bookmarkEnd w:id="1"/>
    <w:p>
      <w:pPr>
        <w:spacing w:after="0" w:line="9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740" w:type="dxa"/>
            <w:vAlign w:val="bottom"/>
          </w:tcPr>
          <w:p>
            <w:pPr>
              <w:ind w:left="60"/>
              <w:spacing w:after="0"/>
              <w:rPr>
                <w:sz w:val="20"/>
                <w:szCs w:val="20"/>
                <w:color w:val="auto"/>
              </w:rPr>
            </w:pPr>
            <w:r>
              <w:rPr>
                <w:rFonts w:ascii="Arial" w:cs="Arial" w:eastAsia="Arial" w:hAnsi="Arial"/>
                <w:sz w:val="14"/>
                <w:szCs w:val="14"/>
                <w:color w:val="auto"/>
              </w:rPr>
              <w:t>Shares issuable pursuant to the 2000 Employee Stock Purchase Plan</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388,383</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$9.35155</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$ 3,631,983.04</w:t>
            </w:r>
          </w:p>
        </w:tc>
        <w:tc>
          <w:tcPr>
            <w:tcW w:w="4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6740" w:type="dxa"/>
            <w:vAlign w:val="bottom"/>
          </w:tcPr>
          <w:p>
            <w:pPr>
              <w:ind w:left="60"/>
              <w:spacing w:after="0"/>
              <w:rPr>
                <w:sz w:val="20"/>
                <w:szCs w:val="20"/>
                <w:color w:val="auto"/>
              </w:rPr>
            </w:pPr>
            <w:r>
              <w:rPr>
                <w:rFonts w:ascii="Arial" w:cs="Arial" w:eastAsia="Arial" w:hAnsi="Arial"/>
                <w:sz w:val="14"/>
                <w:szCs w:val="14"/>
                <w:color w:val="auto"/>
              </w:rPr>
              <w:t>Proposed Maximum Aggregate Offering Price</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$ 31,477,195.73</w:t>
            </w:r>
          </w:p>
        </w:tc>
        <w:tc>
          <w:tcPr>
            <w:tcW w:w="40" w:type="dxa"/>
            <w:vAlign w:val="bottom"/>
          </w:tcPr>
          <w:p>
            <w:pPr>
              <w:spacing w:after="0"/>
              <w:rPr>
                <w:sz w:val="14"/>
                <w:szCs w:val="14"/>
                <w:color w:val="auto"/>
              </w:rPr>
            </w:pPr>
          </w:p>
        </w:tc>
      </w:tr>
      <w:tr>
        <w:trPr>
          <w:trHeight w:val="41"/>
        </w:trPr>
        <w:tc>
          <w:tcPr>
            <w:tcW w:w="40" w:type="dxa"/>
            <w:vAlign w:val="bottom"/>
          </w:tcPr>
          <w:p>
            <w:pPr>
              <w:spacing w:after="0"/>
              <w:rPr>
                <w:sz w:val="3"/>
                <w:szCs w:val="3"/>
                <w:color w:val="auto"/>
              </w:rPr>
            </w:pPr>
          </w:p>
        </w:tc>
        <w:tc>
          <w:tcPr>
            <w:tcW w:w="6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6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-248285</wp:posOffset>
            </wp:positionV>
            <wp:extent cx="51435" cy="261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26162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-248285</wp:posOffset>
            </wp:positionV>
            <wp:extent cx="51435" cy="24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24447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-248285</wp:posOffset>
            </wp:positionV>
            <wp:extent cx="51435" cy="244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244475"/>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-248285</wp:posOffset>
            </wp:positionV>
            <wp:extent cx="51435" cy="261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26162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-248285</wp:posOffset>
            </wp:positionV>
            <wp:extent cx="51435" cy="244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2444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Approximate date of commencement of proposed sale to the public: as soon as practicable after this Registration Statement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356235</wp:posOffset>
            </wp:positionV>
            <wp:extent cx="5625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5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9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documents filed by Exelixis, Inc. (the "Company") with the Securities and Exchange Commission (the "SEC") are incorporated by reference into this Registration Statement:</w:t>
      </w:r>
    </w:p>
    <w:p>
      <w:pPr>
        <w:spacing w:after="0" w:line="145" w:lineRule="exact"/>
        <w:rPr>
          <w:sz w:val="20"/>
          <w:szCs w:val="20"/>
          <w:color w:val="auto"/>
        </w:rPr>
      </w:pPr>
    </w:p>
    <w:p>
      <w:pPr>
        <w:ind w:left="1080" w:right="240" w:hanging="161"/>
        <w:spacing w:after="0" w:line="254" w:lineRule="auto"/>
        <w:rPr>
          <w:sz w:val="20"/>
          <w:szCs w:val="20"/>
          <w:color w:val="auto"/>
        </w:rPr>
      </w:pPr>
      <w:r>
        <w:rPr>
          <w:rFonts w:ascii="Arial" w:cs="Arial" w:eastAsia="Arial" w:hAnsi="Arial"/>
          <w:sz w:val="18"/>
          <w:szCs w:val="18"/>
          <w:color w:val="auto"/>
        </w:rPr>
        <w:t>a. The Company's prospectus filed pursuant to Rule 424(b) under the Securities Act of 1933, as amended (the "Securities Act"), on April 25, 2000 (No. 333-96335);</w:t>
      </w:r>
    </w:p>
    <w:p>
      <w:pPr>
        <w:ind w:left="920"/>
        <w:spacing w:after="0"/>
        <w:rPr>
          <w:sz w:val="20"/>
          <w:szCs w:val="20"/>
          <w:color w:val="auto"/>
        </w:rPr>
      </w:pPr>
      <w:r>
        <w:rPr>
          <w:rFonts w:ascii="Arial" w:cs="Arial" w:eastAsia="Arial" w:hAnsi="Arial"/>
          <w:sz w:val="18"/>
          <w:szCs w:val="18"/>
          <w:color w:val="auto"/>
        </w:rPr>
        <w:t>b. The Company's quarterly reports on Form 10-Q for the quarters ended March 31, June 30 and September 30, 2000;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Company's current reports on Form 8-K filed on April 24, September 8, November 9, and December 22, 2000; and</w:t>
      </w:r>
    </w:p>
    <w:p>
      <w:pPr>
        <w:spacing w:after="0" w:line="9" w:lineRule="exact"/>
        <w:rPr>
          <w:sz w:val="20"/>
          <w:szCs w:val="20"/>
          <w:color w:val="auto"/>
        </w:rPr>
      </w:pPr>
    </w:p>
    <w:p>
      <w:pPr>
        <w:ind w:left="1080" w:right="160" w:hanging="175"/>
        <w:spacing w:after="0" w:line="255" w:lineRule="auto"/>
        <w:rPr>
          <w:sz w:val="20"/>
          <w:szCs w:val="20"/>
          <w:color w:val="auto"/>
        </w:rPr>
      </w:pPr>
      <w:r>
        <w:rPr>
          <w:rFonts w:ascii="Arial" w:cs="Arial" w:eastAsia="Arial" w:hAnsi="Arial"/>
          <w:sz w:val="18"/>
          <w:szCs w:val="18"/>
          <w:color w:val="auto"/>
        </w:rPr>
        <w:t>d. The description of the Company's common stock which is contained in the Registration Statement on Form 8-A filed on April 6, 2000, under the Securities Exchange Act of 1934, as amended (the "Exchange Act"), including any amendment or report filed for the purpose of updating such description.</w:t>
      </w:r>
    </w:p>
    <w:p>
      <w:pPr>
        <w:spacing w:after="0" w:line="15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legality of the common stock offered hereby will be passed upon for the Company by Cooley Godward LLP, Palo Alto, California.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9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Under Section 145 of the Delaware General Corporation Law, the Company has broad powers to indemnify its directors and officers against liabilities they may incur in such capacities, including liabilities under the Securities Act. The Restated Bylaws of the Company require the Company to indemnify its directors and executive officers, and permit the Company to indemnify its other officers, employees and other agents, to the extent permitted by Delaware law. Under the Bylaws, indemnified parties are entitled to indemnification for negligence, gross negligence and otherwise to the fullest extent permitted by the Bylaws. The Bylaws also require the Company to advance litigation expenses in the case of stockholder derivative actions, or other actions, against an undertaking by the indemnified party to repay such advances if it is ultimately determined that the indemnified party is not entitled to indemnification.</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indemnity agreements with each of its directors and executive officers. Such indemnity agreements contain provisions which are in some respects broader than the specific indemnification provisions contained in Delaware law. The Company also maintains an insurance policy for its directors and executive officers insuring against certain liabilities arising in their capacities as such.</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tcPr>
          <w:p>
            <w:pPr>
              <w:ind w:left="3440"/>
              <w:spacing w:after="0"/>
              <w:rPr>
                <w:sz w:val="20"/>
                <w:szCs w:val="20"/>
                <w:color w:val="auto"/>
              </w:rPr>
            </w:pPr>
            <w:r>
              <w:rPr>
                <w:rFonts w:ascii="Arial" w:cs="Arial" w:eastAsia="Arial" w:hAnsi="Arial"/>
                <w:sz w:val="18"/>
                <w:szCs w:val="18"/>
                <w:b w:val="1"/>
                <w:bCs w:val="1"/>
                <w:color w:val="auto"/>
              </w:rPr>
              <w:t>EXHIBITS</w:t>
            </w:r>
          </w:p>
        </w:tc>
      </w:tr>
      <w:tr>
        <w:trPr>
          <w:trHeight w:val="812"/>
        </w:trPr>
        <w:tc>
          <w:tcPr>
            <w:tcW w:w="106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74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1"/>
              </w:rPr>
              <w:t>Number</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tcPr>
          <w:p>
            <w:pPr>
              <w:spacing w:after="0"/>
              <w:rPr>
                <w:sz w:val="19"/>
                <w:szCs w:val="19"/>
                <w:color w:val="auto"/>
              </w:rPr>
            </w:pPr>
          </w:p>
        </w:tc>
      </w:tr>
      <w:tr>
        <w:trPr>
          <w:trHeight w:val="341"/>
        </w:trPr>
        <w:tc>
          <w:tcPr>
            <w:tcW w:w="700" w:type="dxa"/>
            <w:vAlign w:val="bottom"/>
          </w:tcPr>
          <w:p>
            <w:pPr>
              <w:ind w:left="120"/>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Amended and Restated Certificate of Incorporation of the Company.</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Restated bylaws of the Company.</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Opinion of Cooley Godward LLP.</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23.1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Consent of Independent Accountants.</w:t>
            </w:r>
          </w:p>
        </w:tc>
      </w:tr>
      <w:tr>
        <w:trPr>
          <w:trHeight w:val="279"/>
        </w:trPr>
        <w:tc>
          <w:tcPr>
            <w:tcW w:w="700" w:type="dxa"/>
            <w:vAlign w:val="bottom"/>
          </w:tcPr>
          <w:p>
            <w:pPr>
              <w:ind w:left="120"/>
              <w:spacing w:after="0"/>
              <w:rPr>
                <w:sz w:val="20"/>
                <w:szCs w:val="20"/>
                <w:color w:val="auto"/>
              </w:rPr>
            </w:pPr>
            <w:r>
              <w:rPr>
                <w:rFonts w:ascii="Arial" w:cs="Arial" w:eastAsia="Arial" w:hAnsi="Arial"/>
                <w:sz w:val="22"/>
                <w:szCs w:val="22"/>
                <w:color w:val="auto"/>
              </w:rPr>
              <w:t>23.2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w w:val="95"/>
              </w:rPr>
              <w:t>Consent of Cooley Godward LLP is contained in Exhibit 5.1 to this Registration</w:t>
            </w: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Statement.</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24.1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w w:val="88"/>
              </w:rPr>
              <w:t>Power of Attorney is contained on the signature pages to this Registration Statement.</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Equity Incentive Plan.</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Employee Stock Purchase Plan.</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Non-Employee Directors' Stock Option Plan.</w:t>
            </w:r>
          </w:p>
        </w:tc>
      </w:tr>
    </w:tbl>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*Incorporated by reference to the Company's Registration Statement on Form S-1, as amended (File No. 333-96335), originally filed with the SEC on February 7, 2000.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 registrant hereby undertakes:</w:t>
      </w:r>
    </w:p>
    <w:p>
      <w:pPr>
        <w:spacing w:after="0" w:line="185"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84" w:lineRule="exact"/>
        <w:rPr>
          <w:rFonts w:ascii="Arial" w:cs="Arial" w:eastAsia="Arial" w:hAnsi="Arial"/>
          <w:sz w:val="18"/>
          <w:szCs w:val="18"/>
          <w:color w:val="auto"/>
        </w:rPr>
      </w:pPr>
    </w:p>
    <w:p>
      <w:pPr>
        <w:ind w:left="1840" w:hanging="211"/>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84" w:lineRule="exact"/>
        <w:rPr>
          <w:rFonts w:ascii="Arial" w:cs="Arial" w:eastAsia="Arial" w:hAnsi="Arial"/>
          <w:sz w:val="18"/>
          <w:szCs w:val="18"/>
          <w:color w:val="auto"/>
        </w:rPr>
      </w:pPr>
    </w:p>
    <w:p>
      <w:pPr>
        <w:jc w:val="both"/>
        <w:ind w:left="1620" w:right="60" w:firstLine="9"/>
        <w:spacing w:after="0" w:line="306" w:lineRule="auto"/>
        <w:tabs>
          <w:tab w:leader="none" w:pos="1879"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w:t>
      </w:r>
    </w:p>
    <w:p>
      <w:pPr>
        <w:sectPr>
          <w:pgSz w:w="11900" w:h="16931" w:orient="portrait"/>
          <w:cols w:equalWidth="0" w:num="1">
            <w:col w:w="11420"/>
          </w:cols>
          <w:pgMar w:left="240" w:top="116" w:right="239" w:bottom="0" w:gutter="0" w:footer="0" w:header="0"/>
        </w:sectPr>
      </w:pPr>
    </w:p>
    <w:bookmarkStart w:id="2" w:name="page3"/>
    <w:bookmarkEnd w:id="2"/>
    <w:p>
      <w:pPr>
        <w:ind w:left="1620" w:right="40"/>
        <w:spacing w:after="0" w:line="298" w:lineRule="auto"/>
        <w:rPr>
          <w:sz w:val="20"/>
          <w:szCs w:val="20"/>
          <w:color w:val="auto"/>
        </w:rPr>
      </w:pPr>
      <w:r>
        <w:rPr>
          <w:rFonts w:ascii="Arial" w:cs="Arial" w:eastAsia="Arial" w:hAnsi="Arial"/>
          <w:sz w:val="16"/>
          <w:szCs w:val="16"/>
          <w:color w:val="auto"/>
        </w:rPr>
        <w:t>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26" w:lineRule="exact"/>
        <w:rPr>
          <w:sz w:val="20"/>
          <w:szCs w:val="20"/>
          <w:color w:val="auto"/>
        </w:rPr>
      </w:pPr>
    </w:p>
    <w:p>
      <w:pPr>
        <w:ind w:left="1620" w:right="140" w:firstLine="9"/>
        <w:spacing w:after="0" w:line="268" w:lineRule="auto"/>
        <w:tabs>
          <w:tab w:leader="none" w:pos="192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5" w:lineRule="exact"/>
        <w:rPr>
          <w:sz w:val="20"/>
          <w:szCs w:val="20"/>
          <w:color w:val="auto"/>
        </w:rPr>
      </w:pPr>
    </w:p>
    <w:p>
      <w:pPr>
        <w:ind w:left="1620" w:right="12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periodic reports filed by the Registrant pursuant to Section 13 or Section 15(d) of the Exchange Act that are incorporated by reference herein.</w:t>
      </w:r>
    </w:p>
    <w:p>
      <w:pPr>
        <w:spacing w:after="0" w:line="154" w:lineRule="exact"/>
        <w:rPr>
          <w:sz w:val="20"/>
          <w:szCs w:val="20"/>
          <w:color w:val="auto"/>
        </w:rPr>
      </w:pPr>
    </w:p>
    <w:p>
      <w:pPr>
        <w:jc w:val="both"/>
        <w:ind w:right="440" w:firstLine="8"/>
        <w:spacing w:after="0" w:line="370" w:lineRule="auto"/>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5"/>
          <w:szCs w:val="15"/>
          <w:color w:val="auto"/>
        </w:rPr>
      </w:pPr>
    </w:p>
    <w:p>
      <w:pPr>
        <w:ind w:right="400" w:firstLine="8"/>
        <w:spacing w:after="0" w:line="268"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5" w:lineRule="exact"/>
        <w:rPr>
          <w:sz w:val="20"/>
          <w:szCs w:val="20"/>
          <w:color w:val="auto"/>
        </w:rPr>
      </w:pPr>
    </w:p>
    <w:p>
      <w:pPr>
        <w:ind w:right="120" w:firstLine="8"/>
        <w:spacing w:after="0" w:line="298"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herein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6"/>
          <w:szCs w:val="16"/>
          <w:color w:val="auto"/>
        </w:rPr>
      </w:pPr>
    </w:p>
    <w:p>
      <w:pPr>
        <w:ind w:right="180" w:firstLine="8"/>
        <w:spacing w:after="0" w:line="253"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419100</wp:posOffset>
            </wp:positionV>
            <wp:extent cx="62083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March 13, 2001.</w:t>
      </w:r>
    </w:p>
    <w:p>
      <w:pPr>
        <w:spacing w:after="0" w:line="148"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EXELIXIS,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George A. Scangos</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George A. Scangos, Ph.D.</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George A. Scangos and Glen Y. Sato, and each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180" w:type="dxa"/>
            <w:vAlign w:val="bottom"/>
          </w:tcPr>
          <w:p>
            <w:pPr>
              <w:ind w:left="1640"/>
              <w:spacing w:after="0"/>
              <w:rPr>
                <w:sz w:val="20"/>
                <w:szCs w:val="20"/>
                <w:color w:val="auto"/>
              </w:rPr>
            </w:pPr>
            <w:r>
              <w:rPr>
                <w:rFonts w:ascii="Arial" w:cs="Arial" w:eastAsia="Arial" w:hAnsi="Arial"/>
                <w:sz w:val="18"/>
                <w:szCs w:val="18"/>
                <w:b w:val="1"/>
                <w:bCs w:val="1"/>
                <w:color w:val="auto"/>
              </w:rPr>
              <w:t>Title</w:t>
            </w:r>
          </w:p>
        </w:tc>
        <w:tc>
          <w:tcPr>
            <w:tcW w:w="1620" w:type="dxa"/>
            <w:vAlign w:val="bottom"/>
          </w:tcPr>
          <w:p>
            <w:pPr>
              <w:ind w:left="520"/>
              <w:spacing w:after="0"/>
              <w:rPr>
                <w:sz w:val="20"/>
                <w:szCs w:val="20"/>
                <w:color w:val="auto"/>
              </w:rPr>
            </w:pPr>
            <w:r>
              <w:rPr>
                <w:rFonts w:ascii="Arial" w:cs="Arial" w:eastAsia="Arial" w:hAnsi="Arial"/>
                <w:sz w:val="18"/>
                <w:szCs w:val="18"/>
                <w:b w:val="1"/>
                <w:bCs w:val="1"/>
                <w:color w:val="auto"/>
              </w:rPr>
              <w:t>Date</w:t>
            </w:r>
          </w:p>
        </w:tc>
      </w:tr>
      <w:tr>
        <w:trPr>
          <w:trHeight w:val="826"/>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 George A. Scangos, Ph.D.</w:t>
            </w:r>
          </w:p>
        </w:tc>
        <w:tc>
          <w:tcPr>
            <w:tcW w:w="4180" w:type="dxa"/>
            <w:vAlign w:val="bottom"/>
          </w:tcPr>
          <w:p>
            <w:pPr>
              <w:ind w:left="1640"/>
              <w:spacing w:after="0"/>
              <w:rPr>
                <w:sz w:val="20"/>
                <w:szCs w:val="20"/>
                <w:color w:val="auto"/>
              </w:rPr>
            </w:pPr>
            <w:r>
              <w:rPr>
                <w:rFonts w:ascii="Arial" w:cs="Arial" w:eastAsia="Arial" w:hAnsi="Arial"/>
                <w:sz w:val="18"/>
                <w:szCs w:val="18"/>
                <w:color w:val="auto"/>
              </w:rPr>
              <w:t>President, Chief Executive</w:t>
            </w:r>
          </w:p>
        </w:tc>
        <w:tc>
          <w:tcPr>
            <w:tcW w:w="1620" w:type="dxa"/>
            <w:vAlign w:val="bottom"/>
          </w:tcPr>
          <w:p>
            <w:pPr>
              <w:ind w:left="520"/>
              <w:spacing w:after="0"/>
              <w:rPr>
                <w:sz w:val="20"/>
                <w:szCs w:val="20"/>
                <w:color w:val="auto"/>
              </w:rPr>
            </w:pPr>
            <w:r>
              <w:rPr>
                <w:rFonts w:ascii="Arial" w:cs="Arial" w:eastAsia="Arial" w:hAnsi="Arial"/>
                <w:sz w:val="18"/>
                <w:szCs w:val="18"/>
                <w:color w:val="auto"/>
                <w:w w:val="86"/>
              </w:rPr>
              <w:t>March 13, 2001</w:t>
            </w: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color w:val="auto"/>
                <w:w w:val="95"/>
              </w:rPr>
              <w:t>George A. Scangos, Ph.D.</w:t>
            </w:r>
          </w:p>
        </w:tc>
        <w:tc>
          <w:tcPr>
            <w:tcW w:w="4180" w:type="dxa"/>
            <w:vAlign w:val="bottom"/>
          </w:tcPr>
          <w:p>
            <w:pPr>
              <w:ind w:left="1640"/>
              <w:spacing w:after="0"/>
              <w:rPr>
                <w:sz w:val="20"/>
                <w:szCs w:val="20"/>
                <w:color w:val="auto"/>
              </w:rPr>
            </w:pPr>
            <w:r>
              <w:rPr>
                <w:rFonts w:ascii="Arial" w:cs="Arial" w:eastAsia="Arial" w:hAnsi="Arial"/>
                <w:sz w:val="18"/>
                <w:szCs w:val="18"/>
                <w:color w:val="auto"/>
              </w:rPr>
              <w:t>Officer and Director</w:t>
            </w:r>
          </w:p>
        </w:tc>
        <w:tc>
          <w:tcPr>
            <w:tcW w:w="16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80" w:type="dxa"/>
            <w:vAlign w:val="bottom"/>
          </w:tcPr>
          <w:p>
            <w:pPr>
              <w:ind w:left="1640"/>
              <w:spacing w:after="0"/>
              <w:rPr>
                <w:sz w:val="20"/>
                <w:szCs w:val="20"/>
                <w:color w:val="auto"/>
              </w:rPr>
            </w:pPr>
            <w:r>
              <w:rPr>
                <w:rFonts w:ascii="Arial" w:cs="Arial" w:eastAsia="Arial" w:hAnsi="Arial"/>
                <w:sz w:val="18"/>
                <w:szCs w:val="18"/>
                <w:i w:val="1"/>
                <w:iCs w:val="1"/>
                <w:color w:val="auto"/>
              </w:rPr>
              <w:t>(Principal Executive Officer)</w:t>
            </w:r>
          </w:p>
        </w:tc>
        <w:tc>
          <w:tcPr>
            <w:tcW w:w="1620" w:type="dxa"/>
            <w:vAlign w:val="bottom"/>
          </w:tcPr>
          <w:p>
            <w:pPr>
              <w:spacing w:after="0"/>
              <w:rPr>
                <w:sz w:val="19"/>
                <w:szCs w:val="19"/>
                <w:color w:val="auto"/>
              </w:rPr>
            </w:pPr>
          </w:p>
        </w:tc>
      </w:tr>
      <w:tr>
        <w:trPr>
          <w:trHeight w:val="826"/>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Glen Y. Sato</w:t>
            </w:r>
          </w:p>
        </w:tc>
        <w:tc>
          <w:tcPr>
            <w:tcW w:w="900" w:type="dxa"/>
            <w:vAlign w:val="bottom"/>
          </w:tcPr>
          <w:p>
            <w:pPr>
              <w:spacing w:after="0"/>
              <w:rPr>
                <w:sz w:val="24"/>
                <w:szCs w:val="24"/>
                <w:color w:val="auto"/>
              </w:rPr>
            </w:pPr>
          </w:p>
        </w:tc>
        <w:tc>
          <w:tcPr>
            <w:tcW w:w="4180" w:type="dxa"/>
            <w:vAlign w:val="bottom"/>
          </w:tcPr>
          <w:p>
            <w:pPr>
              <w:ind w:left="1640"/>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ind w:left="520"/>
              <w:spacing w:after="0"/>
              <w:rPr>
                <w:sz w:val="20"/>
                <w:szCs w:val="20"/>
                <w:color w:val="auto"/>
              </w:rPr>
            </w:pPr>
            <w:r>
              <w:rPr>
                <w:rFonts w:ascii="Arial" w:cs="Arial" w:eastAsia="Arial" w:hAnsi="Arial"/>
                <w:sz w:val="18"/>
                <w:szCs w:val="18"/>
                <w:color w:val="auto"/>
                <w:w w:val="86"/>
              </w:rPr>
              <w:t>March 13, 2001</w:t>
            </w: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color w:val="auto"/>
              </w:rPr>
              <w:t>Glen Y. Sato</w:t>
            </w:r>
          </w:p>
        </w:tc>
        <w:tc>
          <w:tcPr>
            <w:tcW w:w="4180" w:type="dxa"/>
            <w:vAlign w:val="bottom"/>
          </w:tcPr>
          <w:p>
            <w:pPr>
              <w:ind w:left="1640"/>
              <w:spacing w:after="0"/>
              <w:rPr>
                <w:sz w:val="20"/>
                <w:szCs w:val="20"/>
                <w:color w:val="auto"/>
              </w:rPr>
            </w:pPr>
            <w:r>
              <w:rPr>
                <w:rFonts w:ascii="Arial" w:cs="Arial" w:eastAsia="Arial" w:hAnsi="Arial"/>
                <w:sz w:val="18"/>
                <w:szCs w:val="18"/>
                <w:i w:val="1"/>
                <w:iCs w:val="1"/>
                <w:color w:val="auto"/>
              </w:rPr>
              <w:t>(Principal Financial and</w:t>
            </w:r>
          </w:p>
        </w:tc>
        <w:tc>
          <w:tcPr>
            <w:tcW w:w="16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80" w:type="dxa"/>
            <w:vAlign w:val="bottom"/>
          </w:tcPr>
          <w:p>
            <w:pPr>
              <w:ind w:left="1640"/>
              <w:spacing w:after="0"/>
              <w:rPr>
                <w:sz w:val="20"/>
                <w:szCs w:val="20"/>
                <w:color w:val="auto"/>
              </w:rPr>
            </w:pPr>
            <w:r>
              <w:rPr>
                <w:rFonts w:ascii="Arial" w:cs="Arial" w:eastAsia="Arial" w:hAnsi="Arial"/>
                <w:sz w:val="18"/>
                <w:szCs w:val="18"/>
                <w:i w:val="1"/>
                <w:iCs w:val="1"/>
                <w:color w:val="auto"/>
              </w:rPr>
              <w:t>Accounting Officer)</w:t>
            </w:r>
          </w:p>
        </w:tc>
        <w:tc>
          <w:tcPr>
            <w:tcW w:w="1620" w:type="dxa"/>
            <w:vAlign w:val="bottom"/>
          </w:tcPr>
          <w:p>
            <w:pPr>
              <w:spacing w:after="0"/>
              <w:rPr>
                <w:sz w:val="19"/>
                <w:szCs w:val="19"/>
                <w:color w:val="auto"/>
              </w:rPr>
            </w:pPr>
          </w:p>
        </w:tc>
      </w:tr>
    </w:tbl>
    <w:p>
      <w:pPr>
        <w:sectPr>
          <w:pgSz w:w="11900" w:h="16838" w:orient="portrait"/>
          <w:cols w:equalWidth="0" w:num="1">
            <w:col w:w="11400"/>
          </w:cols>
          <w:pgMar w:left="240" w:top="131" w:right="259" w:bottom="0" w:gutter="0" w:footer="0" w:header="0"/>
        </w:sectPr>
      </w:pPr>
    </w:p>
    <w:bookmarkStart w:id="3" w:name="page4"/>
    <w:bookmarkEnd w:id="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2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6"/>
              </w:rPr>
              <w:t>/s/ Steilos Papadopoulos, Ph.D.</w:t>
            </w:r>
          </w:p>
        </w:tc>
        <w:tc>
          <w:tcPr>
            <w:tcW w:w="780" w:type="dxa"/>
            <w:vAlign w:val="bottom"/>
            <w:gridSpan w:val="2"/>
          </w:tcPr>
          <w:p>
            <w:pPr>
              <w:spacing w:after="0"/>
              <w:rPr>
                <w:sz w:val="17"/>
                <w:szCs w:val="17"/>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Chairman of the Board of</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Stelios Papadopoulos, Ph.D.</w:t>
            </w:r>
          </w:p>
        </w:tc>
        <w:tc>
          <w:tcPr>
            <w:tcW w:w="3120" w:type="dxa"/>
            <w:vAlign w:val="bottom"/>
          </w:tcPr>
          <w:p>
            <w:pPr>
              <w:ind w:left="700"/>
              <w:spacing w:after="0"/>
              <w:rPr>
                <w:sz w:val="20"/>
                <w:szCs w:val="20"/>
                <w:color w:val="auto"/>
              </w:rPr>
            </w:pPr>
            <w:r>
              <w:rPr>
                <w:rFonts w:ascii="Arial" w:cs="Arial" w:eastAsia="Arial" w:hAnsi="Arial"/>
                <w:sz w:val="18"/>
                <w:szCs w:val="18"/>
                <w:color w:val="auto"/>
              </w:rPr>
              <w:t>Directors</w:t>
            </w:r>
          </w:p>
        </w:tc>
        <w:tc>
          <w:tcPr>
            <w:tcW w:w="1740" w:type="dxa"/>
            <w:vAlign w:val="bottom"/>
          </w:tcPr>
          <w:p>
            <w:pPr>
              <w:spacing w:after="0"/>
              <w:rPr>
                <w:sz w:val="20"/>
                <w:szCs w:val="20"/>
                <w:color w:val="auto"/>
              </w:rPr>
            </w:pPr>
          </w:p>
        </w:tc>
      </w:tr>
      <w:tr>
        <w:trPr>
          <w:trHeight w:val="826"/>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Charles Cohen, Ph.D.</w:t>
            </w:r>
          </w:p>
        </w:tc>
        <w:tc>
          <w:tcPr>
            <w:tcW w:w="1200" w:type="dxa"/>
            <w:vAlign w:val="bottom"/>
            <w:gridSpan w:val="7"/>
          </w:tcPr>
          <w:p>
            <w:pPr>
              <w:spacing w:after="0"/>
              <w:rPr>
                <w:sz w:val="24"/>
                <w:szCs w:val="24"/>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Charles Cohen, Ph.D.</w:t>
            </w: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2980" w:type="dxa"/>
            <w:vAlign w:val="bottom"/>
            <w:gridSpan w:val="10"/>
          </w:tcPr>
          <w:p>
            <w:pPr>
              <w:spacing w:after="0"/>
              <w:rPr>
                <w:sz w:val="20"/>
                <w:szCs w:val="20"/>
                <w:color w:val="auto"/>
              </w:rPr>
            </w:pPr>
            <w:r>
              <w:rPr>
                <w:rFonts w:ascii="Arial" w:cs="Arial" w:eastAsia="Arial" w:hAnsi="Arial"/>
                <w:sz w:val="18"/>
                <w:szCs w:val="18"/>
                <w:color w:val="auto"/>
              </w:rPr>
              <w:t>/s/ Jurgen Drews, M.D.</w:t>
            </w: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Jurgen Drews, M.D.</w:t>
            </w:r>
          </w:p>
        </w:tc>
        <w:tc>
          <w:tcPr>
            <w:tcW w:w="1360" w:type="dxa"/>
            <w:vAlign w:val="bottom"/>
            <w:gridSpan w:val="8"/>
          </w:tcPr>
          <w:p>
            <w:pPr>
              <w:spacing w:after="0"/>
              <w:rPr>
                <w:sz w:val="20"/>
                <w:szCs w:val="20"/>
                <w:color w:val="auto"/>
              </w:rPr>
            </w:pP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2980" w:type="dxa"/>
            <w:vAlign w:val="bottom"/>
            <w:gridSpan w:val="10"/>
          </w:tcPr>
          <w:p>
            <w:pPr>
              <w:spacing w:after="0"/>
              <w:rPr>
                <w:sz w:val="20"/>
                <w:szCs w:val="20"/>
                <w:color w:val="auto"/>
              </w:rPr>
            </w:pPr>
            <w:r>
              <w:rPr>
                <w:rFonts w:ascii="Arial" w:cs="Arial" w:eastAsia="Arial" w:hAnsi="Arial"/>
                <w:sz w:val="18"/>
                <w:szCs w:val="18"/>
                <w:color w:val="auto"/>
              </w:rPr>
              <w:t>/s/ Geoffrey Duyk, M.D. Ph.D.</w:t>
            </w: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1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8"/>
              </w:rPr>
              <w:t>Geoffrey Duyk, M.D., Ph.D.</w:t>
            </w:r>
          </w:p>
        </w:tc>
        <w:tc>
          <w:tcPr>
            <w:tcW w:w="820" w:type="dxa"/>
            <w:vAlign w:val="bottom"/>
            <w:gridSpan w:val="3"/>
          </w:tcPr>
          <w:p>
            <w:pPr>
              <w:spacing w:after="0"/>
              <w:rPr>
                <w:sz w:val="20"/>
                <w:szCs w:val="20"/>
                <w:color w:val="auto"/>
              </w:rPr>
            </w:pP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/s/Jason S. Fisherman, M.D.</w:t>
            </w:r>
          </w:p>
        </w:tc>
        <w:tc>
          <w:tcPr>
            <w:tcW w:w="1000" w:type="dxa"/>
            <w:vAlign w:val="bottom"/>
            <w:gridSpan w:val="5"/>
          </w:tcPr>
          <w:p>
            <w:pPr>
              <w:spacing w:after="0"/>
              <w:rPr>
                <w:sz w:val="24"/>
                <w:szCs w:val="24"/>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Jason S. Fisherman, M.D.</w:t>
            </w: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2980" w:type="dxa"/>
            <w:vAlign w:val="bottom"/>
            <w:gridSpan w:val="10"/>
          </w:tcPr>
          <w:p>
            <w:pPr>
              <w:spacing w:after="0"/>
              <w:rPr>
                <w:sz w:val="20"/>
                <w:szCs w:val="20"/>
                <w:color w:val="auto"/>
              </w:rPr>
            </w:pPr>
            <w:r>
              <w:rPr>
                <w:rFonts w:ascii="Arial" w:cs="Arial" w:eastAsia="Arial" w:hAnsi="Arial"/>
                <w:sz w:val="18"/>
                <w:szCs w:val="18"/>
                <w:color w:val="auto"/>
              </w:rPr>
              <w:t>/s/ Jean-Francois Formela, M.D.</w:t>
            </w: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2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6"/>
              </w:rPr>
              <w:t>Jean-Francois Formela, M.D.</w:t>
            </w:r>
          </w:p>
        </w:tc>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Edmund Olivier de Vezin</w:t>
            </w:r>
          </w:p>
        </w:tc>
        <w:tc>
          <w:tcPr>
            <w:tcW w:w="980" w:type="dxa"/>
            <w:vAlign w:val="bottom"/>
            <w:gridSpan w:val="4"/>
          </w:tcPr>
          <w:p>
            <w:pPr>
              <w:spacing w:after="0"/>
              <w:rPr>
                <w:sz w:val="24"/>
                <w:szCs w:val="24"/>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Edmund Olivier de Vezin</w:t>
            </w: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__, 2001</w:t>
            </w: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Lance Willsey, M.D.</w:t>
            </w: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6"/>
        </w:trPr>
        <w:tc>
          <w:tcPr>
            <w:tcW w:w="2980" w:type="dxa"/>
            <w:vAlign w:val="bottom"/>
            <w:gridSpan w:val="10"/>
          </w:tcPr>
          <w:p>
            <w:pPr>
              <w:spacing w:after="0"/>
              <w:rPr>
                <w:sz w:val="20"/>
                <w:szCs w:val="20"/>
                <w:color w:val="auto"/>
              </w:rPr>
            </w:pPr>
            <w:r>
              <w:rPr>
                <w:rFonts w:ascii="Arial" w:cs="Arial" w:eastAsia="Arial" w:hAnsi="Arial"/>
                <w:sz w:val="18"/>
                <w:szCs w:val="18"/>
                <w:color w:val="auto"/>
              </w:rPr>
              <w:t>/s/Peter Stadler</w:t>
            </w:r>
          </w:p>
        </w:tc>
        <w:tc>
          <w:tcPr>
            <w:tcW w:w="3120" w:type="dxa"/>
            <w:vAlign w:val="bottom"/>
          </w:tcPr>
          <w:p>
            <w:pPr>
              <w:ind w:left="7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40"/>
              <w:spacing w:after="0"/>
              <w:rPr>
                <w:sz w:val="20"/>
                <w:szCs w:val="20"/>
                <w:color w:val="auto"/>
              </w:rPr>
            </w:pPr>
            <w:r>
              <w:rPr>
                <w:rFonts w:ascii="Arial" w:cs="Arial" w:eastAsia="Arial" w:hAnsi="Arial"/>
                <w:sz w:val="18"/>
                <w:szCs w:val="18"/>
                <w:color w:val="auto"/>
                <w:w w:val="86"/>
              </w:rPr>
              <w:t>March 13, 2001</w:t>
            </w:r>
          </w:p>
        </w:tc>
      </w:tr>
      <w:tr>
        <w:trPr>
          <w:trHeight w:val="20"/>
        </w:trPr>
        <w:tc>
          <w:tcPr>
            <w:tcW w:w="1060" w:type="dxa"/>
            <w:vAlign w:val="bottom"/>
            <w:shd w:val="clear" w:color="auto" w:fill="000000"/>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5"/>
        </w:trPr>
        <w:tc>
          <w:tcPr>
            <w:tcW w:w="2980" w:type="dxa"/>
            <w:vAlign w:val="bottom"/>
            <w:gridSpan w:val="10"/>
          </w:tcPr>
          <w:p>
            <w:pPr>
              <w:spacing w:after="0"/>
              <w:rPr>
                <w:sz w:val="20"/>
                <w:szCs w:val="20"/>
                <w:color w:val="auto"/>
              </w:rPr>
            </w:pPr>
            <w:r>
              <w:rPr>
                <w:rFonts w:ascii="Arial" w:cs="Arial" w:eastAsia="Arial" w:hAnsi="Arial"/>
                <w:sz w:val="18"/>
                <w:szCs w:val="18"/>
                <w:color w:val="auto"/>
              </w:rPr>
              <w:t>Peter Stadler, Ph.D.</w:t>
            </w:r>
          </w:p>
        </w:tc>
        <w:tc>
          <w:tcPr>
            <w:tcW w:w="31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520065</wp:posOffset>
            </wp:positionV>
            <wp:extent cx="620839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tcPr>
          <w:p>
            <w:pPr>
              <w:ind w:left="3440"/>
              <w:spacing w:after="0"/>
              <w:rPr>
                <w:sz w:val="20"/>
                <w:szCs w:val="20"/>
                <w:color w:val="auto"/>
              </w:rPr>
            </w:pPr>
            <w:r>
              <w:rPr>
                <w:rFonts w:ascii="Arial" w:cs="Arial" w:eastAsia="Arial" w:hAnsi="Arial"/>
                <w:sz w:val="18"/>
                <w:szCs w:val="18"/>
                <w:b w:val="1"/>
                <w:bCs w:val="1"/>
                <w:color w:val="auto"/>
              </w:rPr>
              <w:t>EXHIBITS</w:t>
            </w:r>
          </w:p>
        </w:tc>
      </w:tr>
      <w:tr>
        <w:trPr>
          <w:trHeight w:val="664"/>
        </w:trPr>
        <w:tc>
          <w:tcPr>
            <w:tcW w:w="106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74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1"/>
              </w:rPr>
              <w:t>Number</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tcPr>
          <w:p>
            <w:pPr>
              <w:spacing w:after="0"/>
              <w:rPr>
                <w:sz w:val="19"/>
                <w:szCs w:val="19"/>
                <w:color w:val="auto"/>
              </w:rPr>
            </w:pPr>
          </w:p>
        </w:tc>
      </w:tr>
      <w:tr>
        <w:trPr>
          <w:trHeight w:val="341"/>
        </w:trPr>
        <w:tc>
          <w:tcPr>
            <w:tcW w:w="700" w:type="dxa"/>
            <w:vAlign w:val="bottom"/>
          </w:tcPr>
          <w:p>
            <w:pPr>
              <w:ind w:left="120"/>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Amended and Restated Certificate of Incorporation of the Company.</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Restated bylaws of the Company.</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Opinion of Cooley Godward LLP.</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23.1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Consent of Independent Accountants.</w:t>
            </w:r>
          </w:p>
        </w:tc>
      </w:tr>
      <w:tr>
        <w:trPr>
          <w:trHeight w:val="279"/>
        </w:trPr>
        <w:tc>
          <w:tcPr>
            <w:tcW w:w="700" w:type="dxa"/>
            <w:vAlign w:val="bottom"/>
          </w:tcPr>
          <w:p>
            <w:pPr>
              <w:ind w:left="120"/>
              <w:spacing w:after="0"/>
              <w:rPr>
                <w:sz w:val="20"/>
                <w:szCs w:val="20"/>
                <w:color w:val="auto"/>
              </w:rPr>
            </w:pPr>
            <w:r>
              <w:rPr>
                <w:rFonts w:ascii="Arial" w:cs="Arial" w:eastAsia="Arial" w:hAnsi="Arial"/>
                <w:sz w:val="22"/>
                <w:szCs w:val="22"/>
                <w:color w:val="auto"/>
              </w:rPr>
              <w:t>23.2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w w:val="95"/>
              </w:rPr>
              <w:t>Consent of Cooley Godward LLP is contained in Exhibit 5.1 to this Registration</w:t>
            </w: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rPr>
              <w:t>Statement.</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24.1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Arial" w:cs="Arial" w:eastAsia="Arial" w:hAnsi="Arial"/>
                <w:sz w:val="22"/>
                <w:szCs w:val="22"/>
                <w:color w:val="auto"/>
                <w:w w:val="88"/>
              </w:rPr>
              <w:t>Power of Attorney is contained on the signature pages to this Registration Statement.</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Equity Incentive Plan.</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Employee Stock Purchase Plan.</w:t>
            </w: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22"/>
                <w:szCs w:val="22"/>
                <w:color w:val="auto"/>
                <w:w w:val="89"/>
              </w:rPr>
              <w:t>2000</w:t>
            </w:r>
          </w:p>
        </w:tc>
        <w:tc>
          <w:tcPr>
            <w:tcW w:w="6900" w:type="dxa"/>
            <w:vAlign w:val="bottom"/>
          </w:tcPr>
          <w:p>
            <w:pPr>
              <w:ind w:left="40"/>
              <w:spacing w:after="0"/>
              <w:rPr>
                <w:sz w:val="20"/>
                <w:szCs w:val="20"/>
                <w:color w:val="auto"/>
              </w:rPr>
            </w:pPr>
            <w:r>
              <w:rPr>
                <w:rFonts w:ascii="Arial" w:cs="Arial" w:eastAsia="Arial" w:hAnsi="Arial"/>
                <w:sz w:val="22"/>
                <w:szCs w:val="22"/>
                <w:color w:val="auto"/>
              </w:rPr>
              <w:t>Non-Employee Directors' Stock Option Plan.</w:t>
            </w:r>
          </w:p>
        </w:tc>
      </w:tr>
    </w:tbl>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*Incorporated by reference to the Company's Registration Statement on Form S-1, as amended (File No. 333-96335), originally filed with the SEC on February 7, 2000.</w:t>
      </w:r>
    </w:p>
    <w:p>
      <w:pPr>
        <w:sectPr>
          <w:pgSz w:w="11900" w:h="16838" w:orient="portrait"/>
          <w:cols w:equalWidth="0" w:num="1">
            <w:col w:w="11040"/>
          </w:cols>
          <w:pgMar w:left="240" w:top="540" w:right="619" w:bottom="23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5.1</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Robert L. Jones, Esq.</w:t>
      </w:r>
    </w:p>
    <w:p>
      <w:pPr>
        <w:jc w:val="right"/>
        <w:spacing w:after="0" w:line="221" w:lineRule="auto"/>
        <w:rPr>
          <w:sz w:val="20"/>
          <w:szCs w:val="20"/>
          <w:color w:val="auto"/>
        </w:rPr>
      </w:pPr>
      <w:r>
        <w:rPr>
          <w:rFonts w:ascii="Arial" w:cs="Arial" w:eastAsia="Arial" w:hAnsi="Arial"/>
          <w:sz w:val="14"/>
          <w:szCs w:val="14"/>
          <w:color w:val="auto"/>
        </w:rPr>
        <w:t>Direct: (650) 843-5034</w:t>
      </w:r>
    </w:p>
    <w:p>
      <w:pPr>
        <w:jc w:val="right"/>
        <w:spacing w:after="0"/>
        <w:rPr>
          <w:sz w:val="20"/>
          <w:szCs w:val="20"/>
          <w:color w:val="auto"/>
        </w:rPr>
      </w:pPr>
      <w:r>
        <w:rPr>
          <w:rFonts w:ascii="Arial" w:cs="Arial" w:eastAsia="Arial" w:hAnsi="Arial"/>
          <w:sz w:val="14"/>
          <w:szCs w:val="14"/>
          <w:color w:val="auto"/>
        </w:rPr>
        <w:t>Email: jonesrl@cooley.com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March 14, 2001</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Exelixis, Inc.</w:t>
      </w:r>
    </w:p>
    <w:p>
      <w:pPr>
        <w:spacing w:after="0" w:line="221" w:lineRule="auto"/>
        <w:rPr>
          <w:sz w:val="20"/>
          <w:szCs w:val="20"/>
          <w:color w:val="auto"/>
        </w:rPr>
      </w:pPr>
      <w:r>
        <w:rPr>
          <w:rFonts w:ascii="Arial" w:cs="Arial" w:eastAsia="Arial" w:hAnsi="Arial"/>
          <w:sz w:val="14"/>
          <w:szCs w:val="14"/>
          <w:color w:val="auto"/>
        </w:rPr>
        <w:t>170 Harbor Way</w:t>
      </w:r>
    </w:p>
    <w:p>
      <w:pPr>
        <w:spacing w:after="0" w:line="221" w:lineRule="auto"/>
        <w:rPr>
          <w:sz w:val="20"/>
          <w:szCs w:val="20"/>
          <w:color w:val="auto"/>
        </w:rPr>
      </w:pPr>
      <w:r>
        <w:rPr>
          <w:rFonts w:ascii="Arial" w:cs="Arial" w:eastAsia="Arial" w:hAnsi="Arial"/>
          <w:sz w:val="14"/>
          <w:szCs w:val="14"/>
          <w:color w:val="auto"/>
        </w:rPr>
        <w:t>P.O. Box 511</w:t>
      </w:r>
    </w:p>
    <w:p>
      <w:pPr>
        <w:spacing w:after="0"/>
        <w:rPr>
          <w:sz w:val="20"/>
          <w:szCs w:val="20"/>
          <w:color w:val="auto"/>
        </w:rPr>
      </w:pPr>
      <w:r>
        <w:rPr>
          <w:rFonts w:ascii="Arial" w:cs="Arial" w:eastAsia="Arial" w:hAnsi="Arial"/>
          <w:sz w:val="14"/>
          <w:szCs w:val="14"/>
          <w:color w:val="auto"/>
        </w:rPr>
        <w:t>South San Francisco, CA 94083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have requested our opinion with respect to certain matters in connection with the filing by Exelixis, Inc. (the "Company") of a Registration Statement on Form S-8 (the "Registration Statement") with the Securities and Exchange Commission covering the offering of an aggregate of 3,365,987 shares of the Company's common stock, $.001 par value (the "Shares"), pursuant to the Company's 2000 Equity Incentive Plan, 2000 Non-Employee Directors' Stock Option Plan and 2000 Employee Stock Purchase Plan (collectively the "Plans").</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connection with this opinion, we have examined the Registration Statement and related Prospectus, your Amended and Restated Certificate of Incorporation and Bylaws and such other documents, records, certificates, memoranda and other instruments as we deem necessary as a basis for this opinion. We have assumed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On the basis of the foregoing, and in reliance thereon, we are of the opinion that the Shares, when sold and issued in accordance with the Plans, the Registration Statement and the related Prospectus, will be validly issued, fully paid and nonassessable (except as to shares issued pursuant to certain deferred payment arrangements, which will be fully paid and nonassessable when such deferred payments are made in full).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filing of this opinion as an exhibit to the Registration Statement.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Cooley Godward LLP</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Robert L. Jones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Robert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329565</wp:posOffset>
            </wp:positionV>
            <wp:extent cx="62083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23.1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ACCOUNTANTS</w:t>
      </w:r>
    </w:p>
    <w:p>
      <w:pPr>
        <w:spacing w:after="0" w:line="125"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We hereby consent to the incorporation by reference in this Registration Statement on Form S-8 of our report dated January 31, 2000, except as to the sixth paragraph of Note 1 which is as of April 7, 2000, relating to the financial statements of Exelixis, Inc., which appears in the Company' registration statement on Form S-1 (No. 333-96355).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rPr>
          <w:sz w:val="20"/>
          <w:szCs w:val="20"/>
          <w:color w:val="auto"/>
        </w:rPr>
      </w:pPr>
      <w:r>
        <w:rPr>
          <w:rFonts w:ascii="Arial" w:cs="Arial" w:eastAsia="Arial" w:hAnsi="Arial"/>
          <w:sz w:val="14"/>
          <w:szCs w:val="14"/>
          <w:color w:val="auto"/>
        </w:rPr>
        <w:t>PricewaterhouseCoopers LLP</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rPr>
          <w:sz w:val="20"/>
          <w:szCs w:val="20"/>
          <w:color w:val="auto"/>
        </w:rPr>
      </w:pPr>
      <w:r>
        <w:rPr>
          <w:rFonts w:ascii="Arial" w:cs="Arial" w:eastAsia="Arial" w:hAnsi="Arial"/>
          <w:sz w:val="14"/>
          <w:szCs w:val="14"/>
          <w:color w:val="auto"/>
        </w:rPr>
        <w:t>March 14,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158750</wp:posOffset>
            </wp:positionV>
            <wp:extent cx="62083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lvl w:ilvl="1">
      <w:lvlJc w:val="left"/>
      <w:lvlText w:val="(%2)"/>
      <w:numFmt w:val="lowerRoman"/>
      <w:start w:val="1"/>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2019-12-14T05:14:27Z</dcterms:created>
  <dcterms:modified xsi:type="dcterms:W3CDTF">2019-12-14T05:14:27Z</dcterms:modified>
</cp:coreProperties>
</file>