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Exelixis Incorporated</w:t>
      </w:r>
    </w:p>
    <w:tbl>
      <w:tblPr>
        <w:tblLayout w:type="fixed"/>
        <w:tblInd w:w="0" w:type="dxa"/>
        <w:tblCellMar>
          <w:top w:w="0" w:type="dxa"/>
          <w:left w:w="0" w:type="dxa"/>
          <w:bottom w:w="0" w:type="dxa"/>
          <w:right w:w="0" w:type="dxa"/>
        </w:tblCellMar>
      </w:tblPr>
      <w:tr>
        <w:trPr>
          <w:trHeight w:val="203"/>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30161Q104</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30161Q104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133,700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2,655,760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2,655,760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5.718%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HC</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30161Q104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2,655,760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2,655,760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5.718%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30161Q104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2,655,760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2,655,760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5.718%</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Exelixis Incorporated</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170 Harbor Way, P.O. Box 511</w:t>
      </w:r>
    </w:p>
    <w:p>
      <w:pPr>
        <w:ind w:left="1700"/>
        <w:spacing w:after="0" w:line="238" w:lineRule="auto"/>
        <w:tabs>
          <w:tab w:leader="none" w:pos="4300" w:val="left"/>
        </w:tabs>
        <w:rPr>
          <w:sz w:val="20"/>
          <w:szCs w:val="20"/>
          <w:color w:val="auto"/>
        </w:rPr>
      </w:pPr>
      <w:r>
        <w:rPr>
          <w:rFonts w:ascii="Courier New" w:cs="Courier New" w:eastAsia="Courier New" w:hAnsi="Courier New"/>
          <w:sz w:val="18"/>
          <w:szCs w:val="18"/>
          <w:color w:val="auto"/>
        </w:rPr>
        <w:t>South San Francisco, CA</w:t>
        <w:tab/>
        <w:t>94083</w:t>
      </w:r>
    </w:p>
    <w:p>
      <w:pPr>
        <w:sectPr>
          <w:pgSz w:w="11900" w:h="16855" w:orient="portrait"/>
          <w:cols w:equalWidth="0" w:num="1">
            <w:col w:w="10219"/>
          </w:cols>
          <w:pgMar w:left="240" w:top="447"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55" w:orient="portrait"/>
          <w:cols w:equalWidth="0" w:num="2">
            <w:col w:w="6220" w:space="220"/>
            <w:col w:w="3779"/>
          </w:cols>
          <w:pgMar w:left="24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30161Q104</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55" w:orient="portrait"/>
          <w:cols w:equalWidth="0" w:num="1">
            <w:col w:w="10219"/>
          </w:cols>
          <w:pgMar w:left="240" w:top="447" w:right="1440"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2,655,760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5.718%</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000" w:type="dxa"/>
            <w:vAlign w:val="bottom"/>
          </w:tcPr>
          <w:p>
            <w:pPr>
              <w:ind w:left="280"/>
              <w:spacing w:after="0"/>
              <w:rPr>
                <w:sz w:val="20"/>
                <w:szCs w:val="20"/>
                <w:color w:val="auto"/>
              </w:rPr>
            </w:pPr>
            <w:r>
              <w:rPr>
                <w:rFonts w:ascii="Courier New" w:cs="Courier New" w:eastAsia="Courier New" w:hAnsi="Courier New"/>
                <w:sz w:val="18"/>
                <w:szCs w:val="18"/>
                <w:color w:val="auto"/>
                <w:w w:val="92"/>
              </w:rPr>
              <w:t>133,700</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000" w:type="dxa"/>
            <w:vAlign w:val="bottom"/>
          </w:tcPr>
          <w:p>
            <w:pPr>
              <w:ind w:left="28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860" w:right="2839" w:hanging="9"/>
        <w:spacing w:after="0" w:line="235" w:lineRule="auto"/>
        <w:tabs>
          <w:tab w:leader="none" w:pos="170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2,655,760</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Exelixis Incorporated. No one person's interest in the common stock of Exelixis Incorporated is more than five percent of the total outstanding common stock.</w:t>
      </w:r>
    </w:p>
    <w:p>
      <w:pPr>
        <w:spacing w:after="0" w:line="209"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common stock of Exelixis Incorporated at December 31, 2000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2001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sectPr>
      </w:pPr>
    </w:p>
    <w:bookmarkStart w:id="2" w:name="page3"/>
    <w:bookmarkEnd w:id="2"/>
    <w:p>
      <w:pPr>
        <w:ind w:right="2619" w:firstLine="843"/>
        <w:spacing w:after="0" w:line="268" w:lineRule="auto"/>
        <w:rPr>
          <w:sz w:val="20"/>
          <w:szCs w:val="20"/>
          <w:color w:val="auto"/>
        </w:rPr>
      </w:pPr>
      <w:r>
        <w:rPr>
          <w:rFonts w:ascii="Courier New" w:cs="Courier New" w:eastAsia="Courier New" w:hAnsi="Courier New"/>
          <w:sz w:val="16"/>
          <w:szCs w:val="16"/>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2,522,060 shares or</w:t>
      </w:r>
    </w:p>
    <w:p>
      <w:pPr>
        <w:spacing w:after="0" w:line="1"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5.431% of the common stock outstanding of Exelixis Incorporated ("the Company") as a result of acting as investment adviser to various investment companies registered under Section 8 of the Investment Company Act of 1940.</w:t>
      </w:r>
    </w:p>
    <w:p>
      <w:pPr>
        <w:spacing w:after="0" w:line="207"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2,522,060 shares owned by the Funds.</w:t>
      </w:r>
    </w:p>
    <w:p>
      <w:pPr>
        <w:spacing w:after="0" w:line="209"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133,700 shares or 0.287% of the common stock outstanding of the Company as a result of its serving as investment manager of the institutional account(s).</w:t>
      </w:r>
    </w:p>
    <w:p>
      <w:pPr>
        <w:spacing w:after="0" w:line="210"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133,700 shares and sole power to vote or to direct the voting of 133,700 shares of common stock owned by the institutional account(s) as reported above.</w:t>
      </w:r>
    </w:p>
    <w:p>
      <w:pPr>
        <w:spacing w:after="0" w:line="209"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Corp. and an investment adviser registered under Section 203 of the Investment Advisers Act of 1940, provides investment advisory services to individuals. It does not have sole power to vote or direct the voting of shares of certain securities held for clients and has sole dispositive power over such securities.</w:t>
      </w:r>
    </w:p>
    <w:p>
      <w:pPr>
        <w:spacing w:after="0" w:line="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As such, FMR Corp.'s beneficial ownership may include shares beneficially owned through Strategic Advisers, Inc.</w:t>
      </w:r>
    </w:p>
    <w:p>
      <w:pPr>
        <w:spacing w:after="0" w:line="208" w:lineRule="exact"/>
        <w:rPr>
          <w:sz w:val="20"/>
          <w:szCs w:val="20"/>
          <w:color w:val="auto"/>
        </w:rPr>
      </w:pPr>
    </w:p>
    <w:p>
      <w:pPr>
        <w:ind w:right="273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2001, agree and consent to the joint filing on their behalf of this Schedule 13G in connection with their beneficial ownership of the common stock of Exelixis Incorporated at December 31,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jc w:val="both"/>
        <w:spacing w:after="0"/>
        <w:tabs>
          <w:tab w:leader="none" w:pos="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jc w:val="right"/>
        <w:ind w:right="7899"/>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ind w:left="860"/>
        <w:spacing w:after="0" w:line="237" w:lineRule="auto"/>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8"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Edward C. Johnson 3d</w:t>
      </w:r>
    </w:p>
    <w:p>
      <w:pPr>
        <w:sectPr>
          <w:pgSz w:w="11900" w:h="16838" w:orient="portrait"/>
          <w:cols w:equalWidth="0" w:num="1">
            <w:col w:w="10219"/>
          </w:cols>
          <w:pgMar w:left="240" w:top="142"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Abigail P. Johnson</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Senior V.P. and General Counsel</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3"/>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2019-12-11T22:05:24Z</dcterms:created>
  <dcterms:modified xsi:type="dcterms:W3CDTF">2019-12-11T22:05:24Z</dcterms:modified>
</cp:coreProperties>
</file>