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Calibri" w:cs="Calibri" w:eastAsia="Calibri" w:hAnsi="Calibri"/>
          <w:sz w:val="25"/>
          <w:szCs w:val="25"/>
          <w:b w:val="1"/>
          <w:bCs w:val="1"/>
          <w:color w:val="auto"/>
        </w:rPr>
        <w:t>UNITED STATES</w:t>
      </w:r>
    </w:p>
    <w:p>
      <w:pPr>
        <w:jc w:val="center"/>
        <w:ind w:right="-19"/>
        <w:spacing w:after="0" w:line="233" w:lineRule="auto"/>
        <w:rPr>
          <w:sz w:val="20"/>
          <w:szCs w:val="20"/>
          <w:color w:val="auto"/>
        </w:rPr>
      </w:pPr>
      <w:r>
        <w:rPr>
          <w:rFonts w:ascii="Calibri" w:cs="Calibri" w:eastAsia="Calibri" w:hAnsi="Calibri"/>
          <w:sz w:val="25"/>
          <w:szCs w:val="25"/>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60"/>
        <w:spacing w:after="0"/>
        <w:rPr>
          <w:sz w:val="20"/>
          <w:szCs w:val="20"/>
          <w:color w:val="auto"/>
        </w:rPr>
      </w:pPr>
      <w:r>
        <w:rPr>
          <w:rFonts w:ascii="Calibri" w:cs="Calibri" w:eastAsia="Calibri" w:hAnsi="Calibri"/>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34925</wp:posOffset>
            </wp:positionV>
            <wp:extent cx="2280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-187325</wp:posOffset>
            </wp:positionV>
            <wp:extent cx="2280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left="4520" w:right="2420" w:hanging="2082"/>
        <w:spacing w:after="0" w:line="247" w:lineRule="auto"/>
        <w:tabs>
          <w:tab w:leader="none" w:pos="2608" w:val="left"/>
        </w:tabs>
        <w:numPr>
          <w:ilvl w:val="1"/>
          <w:numId w:val="1"/>
        </w:numPr>
        <w:rPr>
          <w:rFonts w:ascii="MS PGothic" w:cs="MS PGothic" w:eastAsia="MS PGothic" w:hAnsi="MS PGothic"/>
          <w:sz w:val="15"/>
          <w:szCs w:val="15"/>
          <w:color w:val="auto"/>
        </w:rPr>
      </w:pPr>
      <w:r>
        <w:rPr>
          <w:rFonts w:ascii="Calibri" w:cs="Calibri" w:eastAsia="Calibri" w:hAnsi="Calibri"/>
          <w:sz w:val="15"/>
          <w:szCs w:val="15"/>
          <w:b w:val="1"/>
          <w:bCs w:val="1"/>
          <w:color w:val="auto"/>
        </w:rPr>
        <w:t xml:space="preserve">ANNUAL REPORT PURSUANT TO SECTION 13 OR 15(d) OF THE SECURITIES EXCHANGE ACT OF 1934 </w:t>
      </w:r>
      <w:r>
        <w:rPr>
          <w:rFonts w:ascii="Calibri" w:cs="Calibri" w:eastAsia="Calibri" w:hAnsi="Calibri"/>
          <w:sz w:val="15"/>
          <w:szCs w:val="15"/>
          <w:color w:val="auto"/>
        </w:rPr>
        <w:t>For the fscal year ended January 3, 2025</w:t>
      </w:r>
    </w:p>
    <w:p>
      <w:pPr>
        <w:ind w:left="5560"/>
        <w:spacing w:after="0"/>
        <w:rPr>
          <w:rFonts w:ascii="MS PGothic" w:cs="MS PGothic" w:eastAsia="MS PGothic" w:hAnsi="MS PGothic"/>
          <w:sz w:val="15"/>
          <w:szCs w:val="15"/>
          <w:color w:val="auto"/>
        </w:rPr>
      </w:pPr>
      <w:r>
        <w:rPr>
          <w:rFonts w:ascii="Calibri" w:cs="Calibri" w:eastAsia="Calibri" w:hAnsi="Calibri"/>
          <w:sz w:val="15"/>
          <w:szCs w:val="15"/>
          <w:color w:val="auto"/>
        </w:rPr>
        <w:t>or</w:t>
      </w:r>
    </w:p>
    <w:p>
      <w:pPr>
        <w:spacing w:after="0" w:line="46" w:lineRule="exact"/>
        <w:rPr>
          <w:rFonts w:ascii="MS PGothic" w:cs="MS PGothic" w:eastAsia="MS PGothic" w:hAnsi="MS PGothic"/>
          <w:sz w:val="15"/>
          <w:szCs w:val="15"/>
          <w:color w:val="auto"/>
        </w:rPr>
      </w:pPr>
    </w:p>
    <w:p>
      <w:pPr>
        <w:jc w:val="center"/>
        <w:ind w:left="4620" w:right="2280" w:hanging="2302"/>
        <w:spacing w:after="0" w:line="247" w:lineRule="auto"/>
        <w:tabs>
          <w:tab w:leader="none" w:pos="2491" w:val="left"/>
        </w:tabs>
        <w:numPr>
          <w:ilvl w:val="0"/>
          <w:numId w:val="1"/>
        </w:numPr>
        <w:rPr>
          <w:rFonts w:ascii="MS PGothic" w:cs="MS PGothic" w:eastAsia="MS PGothic" w:hAnsi="MS PGothic"/>
          <w:sz w:val="15"/>
          <w:szCs w:val="15"/>
          <w:color w:val="auto"/>
        </w:rPr>
      </w:pPr>
      <w:r>
        <w:rPr>
          <w:rFonts w:ascii="Calibri" w:cs="Calibri" w:eastAsia="Calibri" w:hAnsi="Calibri"/>
          <w:sz w:val="15"/>
          <w:szCs w:val="15"/>
          <w:b w:val="1"/>
          <w:bCs w:val="1"/>
          <w:color w:val="auto"/>
        </w:rPr>
        <w:t xml:space="preserve">TRANSITION REPORT PURSUANT TO SECTION 13 OR 15(d) OF THE SECURITIES EXCHANGE ACT OF 1934 </w:t>
      </w:r>
      <w:r>
        <w:rPr>
          <w:rFonts w:ascii="Calibri" w:cs="Calibri" w:eastAsia="Calibri" w:hAnsi="Calibri"/>
          <w:sz w:val="15"/>
          <w:szCs w:val="15"/>
          <w:color w:val="auto"/>
        </w:rPr>
        <w:t>For the transiton period from to</w:t>
      </w:r>
    </w:p>
    <w:p>
      <w:pPr>
        <w:spacing w:after="0" w:line="234" w:lineRule="exact"/>
        <w:rPr>
          <w:sz w:val="24"/>
          <w:szCs w:val="24"/>
          <w:color w:val="auto"/>
        </w:rPr>
      </w:pPr>
    </w:p>
    <w:p>
      <w:pPr>
        <w:jc w:val="center"/>
        <w:ind w:right="-19"/>
        <w:spacing w:after="0"/>
        <w:rPr>
          <w:sz w:val="20"/>
          <w:szCs w:val="20"/>
          <w:color w:val="auto"/>
        </w:rPr>
      </w:pPr>
      <w:r>
        <w:rPr>
          <w:rFonts w:ascii="Calibri" w:cs="Calibri" w:eastAsia="Calibri" w:hAnsi="Calibri"/>
          <w:sz w:val="15"/>
          <w:szCs w:val="15"/>
          <w:b w:val="1"/>
          <w:bCs w:val="1"/>
          <w:color w:val="auto"/>
        </w:rPr>
        <w:t xml:space="preserve">Commission File Number: </w:t>
      </w:r>
      <w:r>
        <w:rPr>
          <w:rFonts w:ascii="Calibri" w:cs="Calibri" w:eastAsia="Calibri" w:hAnsi="Calibri"/>
          <w:sz w:val="16"/>
          <w:szCs w:val="16"/>
          <w:color w:val="auto"/>
        </w:rPr>
        <w:t>000-30235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394335</wp:posOffset>
            </wp:positionV>
            <wp:extent cx="233172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3172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tbl>
      <w:tblPr>
        <w:tblLayout w:type="fixed"/>
        <w:tblInd w:w="340" w:type="dxa"/>
        <w:tblCellMar>
          <w:top w:w="0" w:type="dxa"/>
          <w:left w:w="0" w:type="dxa"/>
          <w:bottom w:w="0" w:type="dxa"/>
          <w:right w:w="0" w:type="dxa"/>
        </w:tblCellMar>
      </w:tblPr>
      <w:tr>
        <w:trPr>
          <w:trHeight w:val="305"/>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Calibri" w:cs="Calibri" w:eastAsia="Calibri" w:hAnsi="Calibri"/>
                <w:sz w:val="25"/>
                <w:szCs w:val="25"/>
                <w:b w:val="1"/>
                <w:bCs w:val="1"/>
                <w:color w:val="auto"/>
              </w:rPr>
              <w:t>EXELIXIS,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80" w:type="dxa"/>
            <w:vAlign w:val="bottom"/>
            <w:gridSpan w:val="3"/>
          </w:tcPr>
          <w:p>
            <w:pPr>
              <w:jc w:val="center"/>
              <w:spacing w:after="0"/>
              <w:rPr>
                <w:sz w:val="20"/>
                <w:szCs w:val="20"/>
                <w:color w:val="auto"/>
              </w:rPr>
            </w:pPr>
            <w:r>
              <w:rPr>
                <w:rFonts w:ascii="Calibri" w:cs="Calibri" w:eastAsia="Calibri" w:hAnsi="Calibri"/>
                <w:sz w:val="13"/>
                <w:szCs w:val="13"/>
                <w:color w:val="auto"/>
                <w:w w:val="97"/>
              </w:rPr>
              <w:t>(Exact name of registrant as specifed in its charter)</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2060" w:type="dxa"/>
            <w:vAlign w:val="bottom"/>
            <w:gridSpan w:val="2"/>
            <w:vMerge w:val="restart"/>
          </w:tcPr>
          <w:p>
            <w:pPr>
              <w:jc w:val="center"/>
              <w:ind w:right="980"/>
              <w:spacing w:after="0"/>
              <w:rPr>
                <w:sz w:val="20"/>
                <w:szCs w:val="20"/>
                <w:color w:val="auto"/>
              </w:rPr>
            </w:pPr>
            <w:r>
              <w:rPr>
                <w:rFonts w:ascii="Calibri" w:cs="Calibri" w:eastAsia="Calibri" w:hAnsi="Calibri"/>
                <w:sz w:val="15"/>
                <w:szCs w:val="15"/>
                <w:b w:val="1"/>
                <w:bCs w:val="1"/>
                <w:color w:val="auto"/>
              </w:rPr>
              <w:t>Delaware</w:t>
            </w:r>
          </w:p>
        </w:tc>
        <w:tc>
          <w:tcPr>
            <w:tcW w:w="1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0" w:type="dxa"/>
            <w:vAlign w:val="bottom"/>
            <w:vMerge w:val="restart"/>
          </w:tcPr>
          <w:p>
            <w:pPr>
              <w:jc w:val="center"/>
              <w:ind w:right="84"/>
              <w:spacing w:after="0"/>
              <w:rPr>
                <w:sz w:val="20"/>
                <w:szCs w:val="20"/>
                <w:color w:val="auto"/>
              </w:rPr>
            </w:pPr>
            <w:r>
              <w:rPr>
                <w:rFonts w:ascii="Calibri" w:cs="Calibri" w:eastAsia="Calibri" w:hAnsi="Calibri"/>
                <w:sz w:val="15"/>
                <w:szCs w:val="15"/>
                <w:b w:val="1"/>
                <w:bCs w:val="1"/>
                <w:color w:val="auto"/>
              </w:rPr>
              <w:t>04-3257395</w:t>
            </w:r>
          </w:p>
        </w:tc>
        <w:tc>
          <w:tcPr>
            <w:tcW w:w="0" w:type="dxa"/>
            <w:vAlign w:val="bottom"/>
          </w:tcPr>
          <w:p>
            <w:pPr>
              <w:spacing w:after="0"/>
              <w:rPr>
                <w:sz w:val="1"/>
                <w:szCs w:val="1"/>
                <w:color w:val="auto"/>
              </w:rPr>
            </w:pPr>
          </w:p>
        </w:tc>
      </w:tr>
      <w:tr>
        <w:trPr>
          <w:trHeight w:val="855"/>
        </w:trPr>
        <w:tc>
          <w:tcPr>
            <w:tcW w:w="138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20" w:type="dxa"/>
            <w:vAlign w:val="bottom"/>
            <w:gridSpan w:val="6"/>
          </w:tcPr>
          <w:p>
            <w:pPr>
              <w:jc w:val="center"/>
              <w:ind w:right="3280"/>
              <w:spacing w:after="0"/>
              <w:rPr>
                <w:sz w:val="20"/>
                <w:szCs w:val="20"/>
                <w:color w:val="auto"/>
              </w:rPr>
            </w:pPr>
            <w:r>
              <w:rPr>
                <w:rFonts w:ascii="Calibri" w:cs="Calibri" w:eastAsia="Calibri" w:hAnsi="Calibri"/>
                <w:sz w:val="15"/>
                <w:szCs w:val="15"/>
                <w:color w:val="auto"/>
              </w:rPr>
              <w:t>(State or other jurisdicton of incorporaton or organizaton)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jc w:val="center"/>
              <w:ind w:right="84"/>
              <w:spacing w:after="0"/>
              <w:rPr>
                <w:sz w:val="20"/>
                <w:szCs w:val="20"/>
                <w:color w:val="auto"/>
              </w:rPr>
            </w:pPr>
            <w:r>
              <w:rPr>
                <w:rFonts w:ascii="Calibri" w:cs="Calibri" w:eastAsia="Calibri" w:hAnsi="Calibri"/>
                <w:sz w:val="15"/>
                <w:szCs w:val="15"/>
                <w:color w:val="auto"/>
              </w:rPr>
              <w:t>(I.R.S. Employer Identfcaton Number)</w:t>
            </w:r>
          </w:p>
        </w:tc>
        <w:tc>
          <w:tcPr>
            <w:tcW w:w="0" w:type="dxa"/>
            <w:vAlign w:val="bottom"/>
          </w:tcPr>
          <w:p>
            <w:pPr>
              <w:spacing w:after="0"/>
              <w:rPr>
                <w:sz w:val="1"/>
                <w:szCs w:val="1"/>
                <w:color w:val="auto"/>
              </w:rPr>
            </w:pPr>
          </w:p>
        </w:tc>
      </w:tr>
      <w:tr>
        <w:trPr>
          <w:trHeight w:val="675"/>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Calibri" w:cs="Calibri" w:eastAsia="Calibri" w:hAnsi="Calibri"/>
                <w:sz w:val="15"/>
                <w:szCs w:val="15"/>
                <w:b w:val="1"/>
                <w:bCs w:val="1"/>
                <w:color w:val="auto"/>
              </w:rPr>
              <w:t>1851 Harbor Bay Parkway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80" w:type="dxa"/>
            <w:vAlign w:val="bottom"/>
            <w:gridSpan w:val="3"/>
          </w:tcPr>
          <w:p>
            <w:pPr>
              <w:jc w:val="center"/>
              <w:spacing w:after="0"/>
              <w:rPr>
                <w:sz w:val="20"/>
                <w:szCs w:val="20"/>
                <w:color w:val="auto"/>
              </w:rPr>
            </w:pPr>
            <w:r>
              <w:rPr>
                <w:rFonts w:ascii="Calibri" w:cs="Calibri" w:eastAsia="Calibri" w:hAnsi="Calibri"/>
                <w:sz w:val="15"/>
                <w:szCs w:val="15"/>
                <w:b w:val="1"/>
                <w:bCs w:val="1"/>
                <w:color w:val="auto"/>
              </w:rPr>
              <w:t>Alameda, CA 94502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80" w:type="dxa"/>
            <w:vAlign w:val="bottom"/>
            <w:gridSpan w:val="2"/>
          </w:tcPr>
          <w:p>
            <w:pPr>
              <w:jc w:val="center"/>
              <w:ind w:left="1218"/>
              <w:spacing w:after="0"/>
              <w:rPr>
                <w:sz w:val="20"/>
                <w:szCs w:val="20"/>
                <w:color w:val="auto"/>
              </w:rPr>
            </w:pPr>
            <w:r>
              <w:rPr>
                <w:rFonts w:ascii="Calibri" w:cs="Calibri" w:eastAsia="Calibri" w:hAnsi="Calibri"/>
                <w:sz w:val="15"/>
                <w:szCs w:val="15"/>
                <w:b w:val="1"/>
                <w:bCs w:val="1"/>
                <w:color w:val="auto"/>
              </w:rPr>
              <w:t>(650) 837-7000</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8620" w:type="dxa"/>
            <w:vAlign w:val="bottom"/>
            <w:gridSpan w:val="8"/>
          </w:tcPr>
          <w:p>
            <w:pPr>
              <w:jc w:val="center"/>
              <w:ind w:right="744"/>
              <w:spacing w:after="0"/>
              <w:rPr>
                <w:sz w:val="20"/>
                <w:szCs w:val="20"/>
                <w:color w:val="auto"/>
              </w:rPr>
            </w:pPr>
            <w:r>
              <w:rPr>
                <w:rFonts w:ascii="Calibri" w:cs="Calibri" w:eastAsia="Calibri" w:hAnsi="Calibri"/>
                <w:sz w:val="13"/>
                <w:szCs w:val="13"/>
                <w:color w:val="auto"/>
                <w:w w:val="97"/>
              </w:rPr>
              <w:t>(Address, including zip code, and telephone number, including area code, of registrant’s principal executve ofces)</w:t>
            </w: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80" w:type="dxa"/>
            <w:vAlign w:val="bottom"/>
            <w:gridSpan w:val="3"/>
          </w:tcPr>
          <w:p>
            <w:pPr>
              <w:jc w:val="center"/>
              <w:spacing w:after="0"/>
              <w:rPr>
                <w:sz w:val="20"/>
                <w:szCs w:val="20"/>
                <w:color w:val="auto"/>
              </w:rPr>
            </w:pPr>
            <w:r>
              <w:rPr>
                <w:rFonts w:ascii="Calibri" w:cs="Calibri" w:eastAsia="Calibri" w:hAnsi="Calibri"/>
                <w:sz w:val="15"/>
                <w:szCs w:val="15"/>
                <w:color w:val="auto"/>
              </w:rPr>
              <w:t>Securites registered pursuant to Secton 12(b) of the Act: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4"/>
                <w:szCs w:val="24"/>
                <w:color w:val="auto"/>
              </w:rPr>
            </w:pPr>
          </w:p>
        </w:tc>
        <w:tc>
          <w:tcPr>
            <w:tcW w:w="2060" w:type="dxa"/>
            <w:vAlign w:val="bottom"/>
            <w:gridSpan w:val="2"/>
          </w:tcPr>
          <w:p>
            <w:pPr>
              <w:jc w:val="center"/>
              <w:ind w:right="980"/>
              <w:spacing w:after="0"/>
              <w:rPr>
                <w:sz w:val="20"/>
                <w:szCs w:val="20"/>
                <w:color w:val="auto"/>
              </w:rPr>
            </w:pPr>
            <w:r>
              <w:rPr>
                <w:rFonts w:ascii="Calibri" w:cs="Calibri" w:eastAsia="Calibri" w:hAnsi="Calibri"/>
                <w:sz w:val="15"/>
                <w:szCs w:val="15"/>
                <w:color w:val="auto"/>
              </w:rPr>
              <w:t>Title of each class</w:t>
            </w:r>
          </w:p>
        </w:tc>
        <w:tc>
          <w:tcPr>
            <w:tcW w:w="1280" w:type="dxa"/>
            <w:vAlign w:val="bottom"/>
          </w:tcPr>
          <w:p>
            <w:pPr>
              <w:spacing w:after="0"/>
              <w:rPr>
                <w:sz w:val="24"/>
                <w:szCs w:val="24"/>
                <w:color w:val="auto"/>
              </w:rPr>
            </w:pPr>
          </w:p>
        </w:tc>
        <w:tc>
          <w:tcPr>
            <w:tcW w:w="2400" w:type="dxa"/>
            <w:vAlign w:val="bottom"/>
            <w:gridSpan w:val="2"/>
          </w:tcPr>
          <w:p>
            <w:pPr>
              <w:jc w:val="center"/>
              <w:ind w:right="1300"/>
              <w:spacing w:after="0"/>
              <w:rPr>
                <w:sz w:val="20"/>
                <w:szCs w:val="20"/>
                <w:color w:val="auto"/>
              </w:rPr>
            </w:pPr>
            <w:r>
              <w:rPr>
                <w:rFonts w:ascii="Calibri" w:cs="Calibri" w:eastAsia="Calibri" w:hAnsi="Calibri"/>
                <w:sz w:val="15"/>
                <w:szCs w:val="15"/>
                <w:color w:val="auto"/>
              </w:rPr>
              <w:t>Trading Symbol(s)</w:t>
            </w:r>
          </w:p>
        </w:tc>
        <w:tc>
          <w:tcPr>
            <w:tcW w:w="140" w:type="dxa"/>
            <w:vAlign w:val="bottom"/>
          </w:tcPr>
          <w:p>
            <w:pPr>
              <w:spacing w:after="0"/>
              <w:rPr>
                <w:sz w:val="24"/>
                <w:szCs w:val="24"/>
                <w:color w:val="auto"/>
              </w:rPr>
            </w:pPr>
          </w:p>
        </w:tc>
        <w:tc>
          <w:tcPr>
            <w:tcW w:w="2740" w:type="dxa"/>
            <w:vAlign w:val="bottom"/>
            <w:gridSpan w:val="2"/>
          </w:tcPr>
          <w:p>
            <w:pPr>
              <w:jc w:val="center"/>
              <w:spacing w:after="0"/>
              <w:rPr>
                <w:sz w:val="20"/>
                <w:szCs w:val="20"/>
                <w:color w:val="auto"/>
              </w:rPr>
            </w:pPr>
            <w:r>
              <w:rPr>
                <w:rFonts w:ascii="Calibri" w:cs="Calibri" w:eastAsia="Calibri" w:hAnsi="Calibri"/>
                <w:sz w:val="15"/>
                <w:szCs w:val="15"/>
                <w:color w:val="auto"/>
              </w:rPr>
              <w:t>Name of each exchange on which registered</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40" w:type="dxa"/>
            <w:vAlign w:val="bottom"/>
            <w:gridSpan w:val="3"/>
          </w:tcPr>
          <w:p>
            <w:pPr>
              <w:jc w:val="center"/>
              <w:ind w:left="324"/>
              <w:spacing w:after="0"/>
              <w:rPr>
                <w:sz w:val="20"/>
                <w:szCs w:val="20"/>
                <w:color w:val="auto"/>
              </w:rPr>
            </w:pPr>
            <w:r>
              <w:rPr>
                <w:rFonts w:ascii="Calibri" w:cs="Calibri" w:eastAsia="Calibri" w:hAnsi="Calibri"/>
                <w:sz w:val="15"/>
                <w:szCs w:val="15"/>
                <w:b w:val="1"/>
                <w:bCs w:val="1"/>
                <w:color w:val="auto"/>
              </w:rPr>
              <w:t>Common Stock $0.001 Par Value per Share</w:t>
            </w:r>
          </w:p>
        </w:tc>
        <w:tc>
          <w:tcPr>
            <w:tcW w:w="1280" w:type="dxa"/>
            <w:vAlign w:val="bottom"/>
          </w:tcPr>
          <w:p>
            <w:pPr>
              <w:spacing w:after="0"/>
              <w:rPr>
                <w:sz w:val="18"/>
                <w:szCs w:val="18"/>
                <w:color w:val="auto"/>
              </w:rPr>
            </w:pPr>
          </w:p>
        </w:tc>
        <w:tc>
          <w:tcPr>
            <w:tcW w:w="2400" w:type="dxa"/>
            <w:vAlign w:val="bottom"/>
            <w:gridSpan w:val="2"/>
          </w:tcPr>
          <w:p>
            <w:pPr>
              <w:jc w:val="center"/>
              <w:ind w:right="1300"/>
              <w:spacing w:after="0"/>
              <w:rPr>
                <w:sz w:val="20"/>
                <w:szCs w:val="20"/>
                <w:color w:val="auto"/>
              </w:rPr>
            </w:pPr>
            <w:r>
              <w:rPr>
                <w:rFonts w:ascii="Calibri" w:cs="Calibri" w:eastAsia="Calibri" w:hAnsi="Calibri"/>
                <w:sz w:val="15"/>
                <w:szCs w:val="15"/>
                <w:b w:val="1"/>
                <w:bCs w:val="1"/>
                <w:color w:val="auto"/>
              </w:rPr>
              <w:t>EXEL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44"/>
              <w:spacing w:after="0"/>
              <w:rPr>
                <w:sz w:val="20"/>
                <w:szCs w:val="20"/>
                <w:color w:val="auto"/>
              </w:rPr>
            </w:pPr>
            <w:r>
              <w:rPr>
                <w:rFonts w:ascii="Calibri" w:cs="Calibri" w:eastAsia="Calibri" w:hAnsi="Calibri"/>
                <w:sz w:val="15"/>
                <w:szCs w:val="15"/>
                <w:b w:val="1"/>
                <w:bCs w:val="1"/>
                <w:color w:val="auto"/>
              </w:rPr>
              <w:t>The Nasdaq Stock Market LLC</w:t>
            </w:r>
          </w:p>
        </w:tc>
        <w:tc>
          <w:tcPr>
            <w:tcW w:w="0" w:type="dxa"/>
            <w:vAlign w:val="bottom"/>
          </w:tcPr>
          <w:p>
            <w:pPr>
              <w:spacing w:after="0"/>
              <w:rPr>
                <w:sz w:val="1"/>
                <w:szCs w:val="1"/>
                <w:color w:val="auto"/>
              </w:rPr>
            </w:pPr>
          </w:p>
        </w:tc>
      </w:tr>
      <w:tr>
        <w:trPr>
          <w:trHeight w:val="681"/>
        </w:trPr>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60" w:type="dxa"/>
            <w:vAlign w:val="bottom"/>
            <w:gridSpan w:val="5"/>
          </w:tcPr>
          <w:p>
            <w:pPr>
              <w:ind w:left="400"/>
              <w:spacing w:after="0"/>
              <w:rPr>
                <w:sz w:val="20"/>
                <w:szCs w:val="20"/>
                <w:color w:val="auto"/>
              </w:rPr>
            </w:pPr>
            <w:r>
              <w:rPr>
                <w:rFonts w:ascii="Calibri" w:cs="Calibri" w:eastAsia="Calibri" w:hAnsi="Calibri"/>
                <w:sz w:val="15"/>
                <w:szCs w:val="15"/>
                <w:color w:val="auto"/>
              </w:rPr>
              <w:t>Securites registered pursuant to Secton 12(g) of the Act:</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gridSpan w:val="2"/>
          </w:tcPr>
          <w:p>
            <w:pPr>
              <w:jc w:val="center"/>
              <w:ind w:right="1260"/>
              <w:spacing w:after="0"/>
              <w:rPr>
                <w:sz w:val="20"/>
                <w:szCs w:val="20"/>
                <w:color w:val="auto"/>
              </w:rPr>
            </w:pPr>
            <w:r>
              <w:rPr>
                <w:rFonts w:ascii="Calibri" w:cs="Calibri" w:eastAsia="Calibri" w:hAnsi="Calibri"/>
                <w:sz w:val="15"/>
                <w:szCs w:val="15"/>
                <w:b w:val="1"/>
                <w:bCs w:val="1"/>
                <w:color w:val="auto"/>
              </w:rPr>
              <w:t>None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10000" w:type="dxa"/>
            <w:vAlign w:val="bottom"/>
            <w:gridSpan w:val="9"/>
          </w:tcPr>
          <w:p>
            <w:pPr>
              <w:spacing w:after="0" w:line="184" w:lineRule="exact"/>
              <w:rPr>
                <w:sz w:val="20"/>
                <w:szCs w:val="20"/>
                <w:color w:val="auto"/>
              </w:rPr>
            </w:pPr>
            <w:r>
              <w:rPr>
                <w:rFonts w:ascii="Calibri" w:cs="Calibri" w:eastAsia="Calibri" w:hAnsi="Calibri"/>
                <w:sz w:val="15"/>
                <w:szCs w:val="15"/>
                <w:color w:val="auto"/>
              </w:rPr>
              <w:t xml:space="preserve">Indicate by check mark if the registrant is a well-known seasoned issuer, as defned in Rule 405 of the Securites Act. Yes </w:t>
            </w:r>
            <w:r>
              <w:rPr>
                <w:rFonts w:ascii="MS PGothic" w:cs="MS PGothic" w:eastAsia="MS PGothic" w:hAnsi="MS PGothic"/>
                <w:sz w:val="15"/>
                <w:szCs w:val="15"/>
                <w:color w:val="auto"/>
              </w:rPr>
              <w:t>☒</w:t>
            </w:r>
            <w:r>
              <w:rPr>
                <w:rFonts w:ascii="Calibri" w:cs="Calibri" w:eastAsia="Calibri" w:hAnsi="Calibri"/>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58"/>
        </w:trPr>
        <w:tc>
          <w:tcPr>
            <w:tcW w:w="7400" w:type="dxa"/>
            <w:vAlign w:val="bottom"/>
            <w:gridSpan w:val="8"/>
          </w:tcPr>
          <w:p>
            <w:pPr>
              <w:spacing w:after="0" w:line="184" w:lineRule="exact"/>
              <w:rPr>
                <w:sz w:val="20"/>
                <w:szCs w:val="20"/>
                <w:color w:val="auto"/>
              </w:rPr>
            </w:pPr>
            <w:r>
              <w:rPr>
                <w:rFonts w:ascii="Calibri" w:cs="Calibri" w:eastAsia="Calibri" w:hAnsi="Calibri"/>
                <w:sz w:val="15"/>
                <w:szCs w:val="15"/>
                <w:color w:val="auto"/>
              </w:rPr>
              <w:t xml:space="preserve">Indicate by check mark if the registrant is not required to fle reports pursuant to Secton 13 or 15(d) of the Act. Yes </w:t>
            </w:r>
            <w:r>
              <w:rPr>
                <w:rFonts w:ascii="MS PGothic" w:cs="MS PGothic" w:eastAsia="MS PGothic" w:hAnsi="MS PGothic"/>
                <w:sz w:val="15"/>
                <w:szCs w:val="15"/>
                <w:color w:val="auto"/>
              </w:rPr>
              <w:t>☐</w:t>
            </w:r>
          </w:p>
        </w:tc>
        <w:tc>
          <w:tcPr>
            <w:tcW w:w="2600" w:type="dxa"/>
            <w:vAlign w:val="bottom"/>
          </w:tcPr>
          <w:p>
            <w:pPr>
              <w:ind w:left="100"/>
              <w:spacing w:after="0" w:line="184" w:lineRule="exact"/>
              <w:rPr>
                <w:sz w:val="20"/>
                <w:szCs w:val="20"/>
                <w:color w:val="auto"/>
              </w:rPr>
            </w:pPr>
            <w:r>
              <w:rPr>
                <w:rFonts w:ascii="Calibri" w:cs="Calibri" w:eastAsia="Calibri" w:hAnsi="Calibri"/>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60" w:firstLine="324"/>
        <w:spacing w:after="0" w:line="209" w:lineRule="exact"/>
        <w:rPr>
          <w:sz w:val="20"/>
          <w:szCs w:val="20"/>
          <w:color w:val="auto"/>
        </w:rPr>
      </w:pPr>
      <w:r>
        <w:rPr>
          <w:rFonts w:ascii="Calibri" w:cs="Calibri" w:eastAsia="Calibri" w:hAnsi="Calibri"/>
          <w:sz w:val="15"/>
          <w:szCs w:val="15"/>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5"/>
          <w:szCs w:val="15"/>
          <w:color w:val="auto"/>
        </w:rPr>
        <w:t>☒</w:t>
      </w:r>
      <w:r>
        <w:rPr>
          <w:rFonts w:ascii="Calibri" w:cs="Calibri" w:eastAsia="Calibri" w:hAnsi="Calibri"/>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ind w:right="460" w:firstLine="324"/>
        <w:spacing w:after="0" w:line="209" w:lineRule="exact"/>
        <w:rPr>
          <w:sz w:val="20"/>
          <w:szCs w:val="20"/>
          <w:color w:val="auto"/>
        </w:rPr>
      </w:pPr>
      <w:r>
        <w:rPr>
          <w:rFonts w:ascii="Calibri" w:cs="Calibri" w:eastAsia="Calibri" w:hAnsi="Calibri"/>
          <w:sz w:val="15"/>
          <w:szCs w:val="15"/>
          <w:color w:val="auto"/>
        </w:rPr>
        <w:t xml:space="preserve">Indicate by check mark whether the registrant has submited electronically every Interactve Data File required to be submited pursuant to Rule 405 of Regulaton S-T (§ 232.405 of this chapter) during the preceding 12 months (or for such shorter period that the registrant was required to submit such fles). Yes </w:t>
      </w:r>
      <w:r>
        <w:rPr>
          <w:rFonts w:ascii="MS PGothic" w:cs="MS PGothic" w:eastAsia="MS PGothic" w:hAnsi="MS PGothic"/>
          <w:sz w:val="15"/>
          <w:szCs w:val="15"/>
          <w:color w:val="auto"/>
        </w:rPr>
        <w:t>☒</w:t>
      </w:r>
      <w:r>
        <w:rPr>
          <w:rFonts w:ascii="Calibri" w:cs="Calibri" w:eastAsia="Calibri" w:hAnsi="Calibri"/>
          <w:sz w:val="15"/>
          <w:szCs w:val="15"/>
          <w:color w:val="auto"/>
        </w:rPr>
        <w:t xml:space="preserve"> No </w:t>
      </w:r>
      <w:r>
        <w:rPr>
          <w:rFonts w:ascii="MS PGothic" w:cs="MS PGothic" w:eastAsia="MS PGothic" w:hAnsi="MS PGothic"/>
          <w:sz w:val="15"/>
          <w:szCs w:val="15"/>
          <w:color w:val="auto"/>
        </w:rPr>
        <w:t>☐</w:t>
      </w:r>
    </w:p>
    <w:p>
      <w:pPr>
        <w:spacing w:after="0" w:line="15" w:lineRule="exact"/>
        <w:rPr>
          <w:sz w:val="24"/>
          <w:szCs w:val="24"/>
          <w:color w:val="auto"/>
        </w:rPr>
      </w:pPr>
    </w:p>
    <w:p>
      <w:pPr>
        <w:ind w:right="400" w:firstLine="324"/>
        <w:spacing w:after="0" w:line="247" w:lineRule="auto"/>
        <w:rPr>
          <w:sz w:val="20"/>
          <w:szCs w:val="20"/>
          <w:color w:val="auto"/>
        </w:rPr>
      </w:pPr>
      <w:r>
        <w:rPr>
          <w:rFonts w:ascii="Calibri" w:cs="Calibri" w:eastAsia="Calibri" w:hAnsi="Calibri"/>
          <w:sz w:val="15"/>
          <w:szCs w:val="15"/>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60" w:lineRule="exact"/>
        <w:rPr>
          <w:sz w:val="24"/>
          <w:szCs w:val="24"/>
          <w:color w:val="auto"/>
        </w:rPr>
      </w:pPr>
    </w:p>
    <w:tbl>
      <w:tblPr>
        <w:tblLayout w:type="fixed"/>
        <w:tblInd w:w="38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alibri" w:cs="Calibri" w:eastAsia="Calibri" w:hAnsi="Calibri"/>
                <w:sz w:val="15"/>
                <w:szCs w:val="15"/>
                <w:color w:val="auto"/>
              </w:rPr>
              <w:t>Large accelerated fler</w:t>
            </w:r>
          </w:p>
        </w:tc>
        <w:tc>
          <w:tcPr>
            <w:tcW w:w="2200" w:type="dxa"/>
            <w:vAlign w:val="bottom"/>
          </w:tcPr>
          <w:p>
            <w:pPr>
              <w:ind w:left="780"/>
              <w:spacing w:after="0" w:line="151" w:lineRule="exact"/>
              <w:rPr>
                <w:sz w:val="20"/>
                <w:szCs w:val="20"/>
                <w:color w:val="auto"/>
              </w:rPr>
            </w:pPr>
            <w:r>
              <w:rPr>
                <w:rFonts w:ascii="MS PGothic" w:cs="MS PGothic" w:eastAsia="MS PGothic" w:hAnsi="MS PGothic"/>
                <w:sz w:val="15"/>
                <w:szCs w:val="15"/>
                <w:color w:val="auto"/>
              </w:rPr>
              <w:t>☒</w:t>
            </w:r>
          </w:p>
        </w:tc>
        <w:tc>
          <w:tcPr>
            <w:tcW w:w="3600" w:type="dxa"/>
            <w:vAlign w:val="bottom"/>
          </w:tcPr>
          <w:p>
            <w:pPr>
              <w:ind w:left="1260"/>
              <w:spacing w:after="0"/>
              <w:rPr>
                <w:sz w:val="20"/>
                <w:szCs w:val="20"/>
                <w:color w:val="auto"/>
              </w:rPr>
            </w:pPr>
            <w:r>
              <w:rPr>
                <w:rFonts w:ascii="Calibri" w:cs="Calibri" w:eastAsia="Calibri" w:hAnsi="Calibri"/>
                <w:sz w:val="15"/>
                <w:szCs w:val="15"/>
                <w:color w:val="auto"/>
              </w:rPr>
              <w:t>Accelerated fler</w:t>
            </w:r>
          </w:p>
        </w:tc>
        <w:tc>
          <w:tcPr>
            <w:tcW w:w="780" w:type="dxa"/>
            <w:vAlign w:val="bottom"/>
          </w:tcPr>
          <w:p>
            <w:pPr>
              <w:ind w:left="6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160" w:type="dxa"/>
            <w:vAlign w:val="bottom"/>
          </w:tcPr>
          <w:p>
            <w:pPr>
              <w:spacing w:after="0"/>
              <w:rPr>
                <w:sz w:val="20"/>
                <w:szCs w:val="20"/>
                <w:color w:val="auto"/>
              </w:rPr>
            </w:pPr>
            <w:r>
              <w:rPr>
                <w:rFonts w:ascii="Calibri" w:cs="Calibri" w:eastAsia="Calibri" w:hAnsi="Calibri"/>
                <w:sz w:val="15"/>
                <w:szCs w:val="15"/>
                <w:color w:val="auto"/>
              </w:rPr>
              <w:t>Non-accelerated fler</w:t>
            </w:r>
          </w:p>
        </w:tc>
        <w:tc>
          <w:tcPr>
            <w:tcW w:w="2200" w:type="dxa"/>
            <w:vAlign w:val="bottom"/>
          </w:tcPr>
          <w:p>
            <w:pPr>
              <w:ind w:left="780"/>
              <w:spacing w:after="0" w:line="151" w:lineRule="exact"/>
              <w:rPr>
                <w:sz w:val="20"/>
                <w:szCs w:val="20"/>
                <w:color w:val="auto"/>
              </w:rPr>
            </w:pPr>
            <w:r>
              <w:rPr>
                <w:rFonts w:ascii="MS PGothic" w:cs="MS PGothic" w:eastAsia="MS PGothic" w:hAnsi="MS PGothic"/>
                <w:sz w:val="15"/>
                <w:szCs w:val="15"/>
                <w:color w:val="auto"/>
              </w:rPr>
              <w:t>☐</w:t>
            </w:r>
          </w:p>
        </w:tc>
        <w:tc>
          <w:tcPr>
            <w:tcW w:w="3600" w:type="dxa"/>
            <w:vAlign w:val="bottom"/>
          </w:tcPr>
          <w:p>
            <w:pPr>
              <w:ind w:left="1260"/>
              <w:spacing w:after="0"/>
              <w:rPr>
                <w:sz w:val="20"/>
                <w:szCs w:val="20"/>
                <w:color w:val="auto"/>
              </w:rPr>
            </w:pPr>
            <w:r>
              <w:rPr>
                <w:rFonts w:ascii="Calibri" w:cs="Calibri" w:eastAsia="Calibri" w:hAnsi="Calibri"/>
                <w:sz w:val="15"/>
                <w:szCs w:val="15"/>
                <w:color w:val="auto"/>
              </w:rPr>
              <w:t>Smaller reportng company</w:t>
            </w:r>
          </w:p>
        </w:tc>
        <w:tc>
          <w:tcPr>
            <w:tcW w:w="780" w:type="dxa"/>
            <w:vAlign w:val="bottom"/>
          </w:tcPr>
          <w:p>
            <w:pPr>
              <w:ind w:left="6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1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600" w:type="dxa"/>
            <w:vAlign w:val="bottom"/>
          </w:tcPr>
          <w:p>
            <w:pPr>
              <w:ind w:left="1260"/>
              <w:spacing w:after="0"/>
              <w:rPr>
                <w:sz w:val="20"/>
                <w:szCs w:val="20"/>
                <w:color w:val="auto"/>
              </w:rPr>
            </w:pPr>
            <w:r>
              <w:rPr>
                <w:rFonts w:ascii="Calibri" w:cs="Calibri" w:eastAsia="Calibri" w:hAnsi="Calibri"/>
                <w:sz w:val="15"/>
                <w:szCs w:val="15"/>
                <w:color w:val="auto"/>
              </w:rPr>
              <w:t>Emerging growth company</w:t>
            </w:r>
          </w:p>
        </w:tc>
        <w:tc>
          <w:tcPr>
            <w:tcW w:w="780" w:type="dxa"/>
            <w:vAlign w:val="bottom"/>
          </w:tcPr>
          <w:p>
            <w:pPr>
              <w:ind w:left="6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09" w:lineRule="exact"/>
        <w:rPr>
          <w:sz w:val="24"/>
          <w:szCs w:val="24"/>
          <w:color w:val="auto"/>
        </w:rPr>
      </w:pPr>
    </w:p>
    <w:p>
      <w:pPr>
        <w:ind w:right="160" w:firstLine="324"/>
        <w:spacing w:after="0" w:line="209" w:lineRule="exact"/>
        <w:rPr>
          <w:sz w:val="20"/>
          <w:szCs w:val="20"/>
          <w:color w:val="auto"/>
        </w:rPr>
      </w:pPr>
      <w:r>
        <w:rPr>
          <w:rFonts w:ascii="Calibri" w:cs="Calibri" w:eastAsia="Calibri" w:hAnsi="Calibri"/>
          <w:sz w:val="15"/>
          <w:szCs w:val="15"/>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5"/>
          <w:szCs w:val="15"/>
          <w:color w:val="auto"/>
        </w:rPr>
        <w:t>☐</w:t>
      </w:r>
    </w:p>
    <w:p>
      <w:pPr>
        <w:spacing w:after="0" w:line="15" w:lineRule="exact"/>
        <w:rPr>
          <w:sz w:val="24"/>
          <w:szCs w:val="24"/>
          <w:color w:val="auto"/>
        </w:rPr>
      </w:pPr>
    </w:p>
    <w:p>
      <w:pPr>
        <w:ind w:right="280" w:firstLine="324"/>
        <w:spacing w:after="0" w:line="202" w:lineRule="exact"/>
        <w:rPr>
          <w:sz w:val="20"/>
          <w:szCs w:val="20"/>
          <w:color w:val="auto"/>
        </w:rPr>
      </w:pPr>
      <w:r>
        <w:rPr>
          <w:rFonts w:ascii="Calibri" w:cs="Calibri" w:eastAsia="Calibri" w:hAnsi="Calibri"/>
          <w:sz w:val="15"/>
          <w:szCs w:val="15"/>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5"/>
          <w:szCs w:val="15"/>
          <w:color w:val="auto"/>
        </w:rPr>
        <w:t>☒</w:t>
      </w:r>
    </w:p>
    <w:p>
      <w:pPr>
        <w:spacing w:after="0" w:line="29" w:lineRule="exact"/>
        <w:rPr>
          <w:sz w:val="24"/>
          <w:szCs w:val="24"/>
          <w:color w:val="auto"/>
        </w:rPr>
      </w:pPr>
    </w:p>
    <w:p>
      <w:pPr>
        <w:ind w:right="440" w:firstLine="324"/>
        <w:spacing w:after="0" w:line="202" w:lineRule="exact"/>
        <w:rPr>
          <w:sz w:val="20"/>
          <w:szCs w:val="20"/>
          <w:color w:val="auto"/>
        </w:rPr>
      </w:pPr>
      <w:r>
        <w:rPr>
          <w:rFonts w:ascii="Calibri" w:cs="Calibri" w:eastAsia="Calibri" w:hAnsi="Calibri"/>
          <w:sz w:val="15"/>
          <w:szCs w:val="15"/>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5"/>
          <w:szCs w:val="15"/>
          <w:color w:val="auto"/>
        </w:rPr>
        <w:t>☐</w:t>
      </w:r>
    </w:p>
    <w:p>
      <w:pPr>
        <w:spacing w:after="0" w:line="29" w:lineRule="exact"/>
        <w:rPr>
          <w:sz w:val="24"/>
          <w:szCs w:val="24"/>
          <w:color w:val="auto"/>
        </w:rPr>
      </w:pPr>
    </w:p>
    <w:p>
      <w:pPr>
        <w:ind w:right="380" w:firstLine="324"/>
        <w:spacing w:after="0" w:line="202" w:lineRule="exact"/>
        <w:rPr>
          <w:sz w:val="20"/>
          <w:szCs w:val="20"/>
          <w:color w:val="auto"/>
        </w:rPr>
      </w:pPr>
      <w:r>
        <w:rPr>
          <w:rFonts w:ascii="Calibri" w:cs="Calibri" w:eastAsia="Calibri" w:hAnsi="Calibri"/>
          <w:sz w:val="15"/>
          <w:szCs w:val="15"/>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 240.10D-1(b). </w:t>
      </w:r>
      <w:r>
        <w:rPr>
          <w:rFonts w:ascii="MS PGothic" w:cs="MS PGothic" w:eastAsia="MS PGothic" w:hAnsi="MS PGothic"/>
          <w:sz w:val="15"/>
          <w:szCs w:val="15"/>
          <w:color w:val="auto"/>
        </w:rPr>
        <w:t>☐</w:t>
      </w:r>
    </w:p>
    <w:p>
      <w:pPr>
        <w:spacing w:after="0" w:line="1" w:lineRule="exact"/>
        <w:rPr>
          <w:sz w:val="24"/>
          <w:szCs w:val="24"/>
          <w:color w:val="auto"/>
        </w:rPr>
      </w:pPr>
    </w:p>
    <w:p>
      <w:pPr>
        <w:ind w:left="340"/>
        <w:spacing w:after="0" w:line="184" w:lineRule="exact"/>
        <w:tabs>
          <w:tab w:leader="none" w:pos="7260" w:val="left"/>
        </w:tabs>
        <w:rPr>
          <w:sz w:val="20"/>
          <w:szCs w:val="20"/>
          <w:color w:val="auto"/>
        </w:rPr>
      </w:pPr>
      <w:r>
        <w:rPr>
          <w:rFonts w:ascii="Calibri" w:cs="Calibri" w:eastAsia="Calibri" w:hAnsi="Calibri"/>
          <w:sz w:val="15"/>
          <w:szCs w:val="15"/>
          <w:color w:val="auto"/>
        </w:rPr>
        <w:t xml:space="preserve">Indicate by check mark whether the registrant is a shell company (as defned in Rule 12b-2 of the Act). Yes </w:t>
      </w:r>
      <w:r>
        <w:rPr>
          <w:rFonts w:ascii="MS PGothic" w:cs="MS PGothic" w:eastAsia="MS PGothic" w:hAnsi="MS PGothic"/>
          <w:sz w:val="15"/>
          <w:szCs w:val="15"/>
          <w:color w:val="auto"/>
        </w:rPr>
        <w:t>☐</w:t>
      </w:r>
      <w:r>
        <w:rPr>
          <w:sz w:val="20"/>
          <w:szCs w:val="20"/>
          <w:color w:val="auto"/>
        </w:rPr>
        <w:tab/>
      </w:r>
      <w:r>
        <w:rPr>
          <w:rFonts w:ascii="Calibri" w:cs="Calibri" w:eastAsia="Calibri" w:hAnsi="Calibri"/>
          <w:sz w:val="14"/>
          <w:szCs w:val="14"/>
          <w:color w:val="auto"/>
        </w:rPr>
        <w:t xml:space="preserve">No </w:t>
      </w:r>
      <w:r>
        <w:rPr>
          <w:rFonts w:ascii="MS PGothic" w:cs="MS PGothic" w:eastAsia="MS PGothic" w:hAnsi="MS PGothic"/>
          <w:sz w:val="14"/>
          <w:szCs w:val="14"/>
          <w:color w:val="auto"/>
        </w:rPr>
        <w:t>☒</w:t>
      </w:r>
    </w:p>
    <w:p>
      <w:pPr>
        <w:spacing w:after="0" w:line="88" w:lineRule="exact"/>
        <w:rPr>
          <w:sz w:val="24"/>
          <w:szCs w:val="24"/>
          <w:color w:val="auto"/>
        </w:rPr>
      </w:pPr>
    </w:p>
    <w:p>
      <w:pPr>
        <w:ind w:right="120" w:firstLine="324"/>
        <w:spacing w:after="0" w:line="247" w:lineRule="auto"/>
        <w:rPr>
          <w:sz w:val="20"/>
          <w:szCs w:val="20"/>
          <w:color w:val="auto"/>
        </w:rPr>
      </w:pPr>
      <w:r>
        <w:rPr>
          <w:rFonts w:ascii="Calibri" w:cs="Calibri" w:eastAsia="Calibri" w:hAnsi="Calibri"/>
          <w:sz w:val="15"/>
          <w:szCs w:val="15"/>
          <w:color w:val="auto"/>
        </w:rPr>
        <w:t>State the aggregate market value of the votng and non-votng common equity held by non-afliates computed by reference to the price at which the common equity was last sold, or the average bid and asked price of such common equity, as of the last business day of the registrant’s most recently completed second fscal quarter: approximately</w:t>
      </w:r>
    </w:p>
    <w:p>
      <w:pPr>
        <w:spacing w:after="0" w:line="1" w:lineRule="exact"/>
        <w:rPr>
          <w:sz w:val="24"/>
          <w:szCs w:val="24"/>
          <w:color w:val="auto"/>
        </w:rPr>
      </w:pPr>
    </w:p>
    <w:p>
      <w:pPr>
        <w:spacing w:after="0" w:line="239" w:lineRule="auto"/>
        <w:rPr>
          <w:sz w:val="20"/>
          <w:szCs w:val="20"/>
          <w:color w:val="auto"/>
        </w:rPr>
      </w:pPr>
      <w:r>
        <w:rPr>
          <w:rFonts w:ascii="Calibri" w:cs="Calibri" w:eastAsia="Calibri" w:hAnsi="Calibri"/>
          <w:sz w:val="15"/>
          <w:szCs w:val="15"/>
          <w:color w:val="auto"/>
        </w:rPr>
        <w:t>$4.8 billion. Excludes shares of the registrant’s common stock held by persons who were directors and/or executve ofcers of the registrant at June 28, 2024 on the basis that such persons may be deemed to have been afliates of the registrant at such date. Exclusion of such shares should not be construed to indicate that any such person possesses the power, direct or indirect, to direct or cause the directon of the management or policies of the registrant or that such person is controlled by or under common control with the registrant.</w:t>
      </w:r>
    </w:p>
    <w:p>
      <w:pPr>
        <w:sectPr>
          <w:pgSz w:w="11900" w:h="16838" w:orient="portrait"/>
          <w:cols w:equalWidth="0" w:num="1">
            <w:col w:w="11220"/>
          </w:cols>
          <w:pgMar w:left="320" w:top="313" w:right="359" w:bottom="0" w:gutter="0" w:footer="0" w:header="0"/>
        </w:sectPr>
      </w:pPr>
    </w:p>
    <w:bookmarkStart w:id="1" w:name="page2"/>
    <w:bookmarkEnd w:id="1"/>
    <w:p>
      <w:pPr>
        <w:ind w:left="340"/>
        <w:spacing w:after="0"/>
        <w:rPr>
          <w:sz w:val="20"/>
          <w:szCs w:val="20"/>
          <w:color w:val="auto"/>
        </w:rPr>
      </w:pPr>
      <w:r>
        <w:rPr>
          <w:rFonts w:ascii="Calibri" w:cs="Calibri" w:eastAsia="Calibri" w:hAnsi="Calibri"/>
          <w:sz w:val="15"/>
          <w:szCs w:val="15"/>
          <w:color w:val="auto"/>
        </w:rPr>
        <w:t>Number shares of the registrant’s common stock outstanding as of February 3, 2025: 279,881,450</w:t>
      </w:r>
    </w:p>
    <w:p>
      <w:pPr>
        <w:spacing w:after="0" w:line="303" w:lineRule="exact"/>
        <w:rPr>
          <w:sz w:val="20"/>
          <w:szCs w:val="20"/>
          <w:color w:val="auto"/>
        </w:rPr>
      </w:pPr>
    </w:p>
    <w:p>
      <w:pPr>
        <w:jc w:val="center"/>
        <w:ind w:left="640"/>
        <w:spacing w:after="0"/>
        <w:rPr>
          <w:sz w:val="20"/>
          <w:szCs w:val="20"/>
          <w:color w:val="auto"/>
        </w:rPr>
      </w:pPr>
      <w:r>
        <w:rPr>
          <w:rFonts w:ascii="Calibri" w:cs="Calibri" w:eastAsia="Calibri" w:hAnsi="Calibri"/>
          <w:sz w:val="15"/>
          <w:szCs w:val="15"/>
          <w:b w:val="1"/>
          <w:bCs w:val="1"/>
          <w:color w:val="auto"/>
        </w:rPr>
        <w:t>DOCUMENTS INCORPORATED BY REFERENCE</w:t>
      </w:r>
    </w:p>
    <w:p>
      <w:pPr>
        <w:spacing w:after="0" w:line="47" w:lineRule="exact"/>
        <w:rPr>
          <w:sz w:val="20"/>
          <w:szCs w:val="20"/>
          <w:color w:val="auto"/>
        </w:rPr>
      </w:pPr>
    </w:p>
    <w:p>
      <w:pPr>
        <w:ind w:firstLine="324"/>
        <w:spacing w:after="0" w:line="282" w:lineRule="auto"/>
        <w:rPr>
          <w:sz w:val="20"/>
          <w:szCs w:val="20"/>
          <w:color w:val="auto"/>
        </w:rPr>
      </w:pPr>
      <w:r>
        <w:rPr>
          <w:rFonts w:ascii="Calibri" w:cs="Calibri" w:eastAsia="Calibri" w:hAnsi="Calibri"/>
          <w:sz w:val="15"/>
          <w:szCs w:val="15"/>
          <w:color w:val="auto"/>
        </w:rPr>
        <w:t>Certain portons of the registrant’s defnitve proxy statement to be fled with the Securites and Exchange Commission pursuant to Regulaton 14A, not later than May 3, 2025, in connecton with the registrant’s 2025 Annual Meetng of Stockholders are incorporated herein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40" w:type="dxa"/>
            <w:vAlign w:val="bottom"/>
            <w:gridSpan w:val="14"/>
          </w:tcPr>
          <w:p>
            <w:pPr>
              <w:jc w:val="center"/>
              <w:ind w:right="3960"/>
              <w:spacing w:after="0"/>
              <w:rPr>
                <w:sz w:val="20"/>
                <w:szCs w:val="20"/>
                <w:color w:val="auto"/>
              </w:rPr>
            </w:pPr>
            <w:r>
              <w:rPr>
                <w:rFonts w:ascii="Calibri" w:cs="Calibri" w:eastAsia="Calibri" w:hAnsi="Calibri"/>
                <w:sz w:val="18"/>
                <w:szCs w:val="18"/>
                <w:b w:val="1"/>
                <w:bCs w:val="1"/>
                <w:color w:val="auto"/>
                <w:w w:val="97"/>
              </w:rPr>
              <w:t>EXELIXIS, INC.</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gridSpan w:val="15"/>
          </w:tcPr>
          <w:p>
            <w:pPr>
              <w:jc w:val="center"/>
              <w:ind w:right="3280"/>
              <w:spacing w:after="0" w:line="216" w:lineRule="exact"/>
              <w:rPr>
                <w:sz w:val="20"/>
                <w:szCs w:val="20"/>
                <w:color w:val="auto"/>
              </w:rPr>
            </w:pPr>
            <w:r>
              <w:rPr>
                <w:rFonts w:ascii="Calibri" w:cs="Calibri" w:eastAsia="Calibri" w:hAnsi="Calibri"/>
                <w:sz w:val="18"/>
                <w:szCs w:val="18"/>
                <w:b w:val="1"/>
                <w:bCs w:val="1"/>
                <w:color w:val="auto"/>
                <w:w w:val="97"/>
              </w:rPr>
              <w:t>ANNUAL REPORT ON FORM 10-K</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10"/>
          </w:tcPr>
          <w:p>
            <w:pPr>
              <w:jc w:val="center"/>
              <w:ind w:right="4260"/>
              <w:spacing w:after="0" w:line="216" w:lineRule="exact"/>
              <w:rPr>
                <w:sz w:val="20"/>
                <w:szCs w:val="20"/>
                <w:color w:val="auto"/>
              </w:rPr>
            </w:pPr>
            <w:r>
              <w:rPr>
                <w:rFonts w:ascii="Calibri" w:cs="Calibri" w:eastAsia="Calibri" w:hAnsi="Calibri"/>
                <w:sz w:val="18"/>
                <w:szCs w:val="18"/>
                <w:b w:val="1"/>
                <w:bCs w:val="1"/>
                <w:color w:val="auto"/>
                <w:w w:val="98"/>
              </w:rPr>
              <w:t>INDEX</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gridSpan w:val="5"/>
          </w:tcPr>
          <w:p>
            <w:pPr>
              <w:ind w:left="420"/>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47"/>
        </w:trPr>
        <w:tc>
          <w:tcPr>
            <w:tcW w:w="1160" w:type="dxa"/>
            <w:vAlign w:val="bottom"/>
          </w:tcPr>
          <w:p>
            <w:pPr>
              <w:spacing w:after="0"/>
              <w:rPr>
                <w:sz w:val="4"/>
                <w:szCs w:val="4"/>
                <w:color w:val="auto"/>
              </w:rPr>
            </w:pPr>
          </w:p>
        </w:tc>
        <w:tc>
          <w:tcPr>
            <w:tcW w:w="5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78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66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60" w:type="dxa"/>
            <w:vAlign w:val="bottom"/>
            <w:vMerge w:val="restart"/>
          </w:tcPr>
          <w:p>
            <w:pPr>
              <w:jc w:val="center"/>
              <w:spacing w:after="0"/>
              <w:rPr>
                <w:sz w:val="20"/>
                <w:szCs w:val="20"/>
                <w:color w:val="auto"/>
              </w:rPr>
            </w:pPr>
            <w:r>
              <w:rPr>
                <w:rFonts w:ascii="Calibri" w:cs="Calibri" w:eastAsia="Calibri" w:hAnsi="Calibri"/>
                <w:sz w:val="18"/>
                <w:szCs w:val="18"/>
                <w:b w:val="1"/>
                <w:bCs w:val="1"/>
                <w:color w:val="0000FF"/>
                <w:w w:val="94"/>
              </w:rPr>
              <w:t>PART I</w:t>
            </w:r>
          </w:p>
        </w:tc>
        <w:tc>
          <w:tcPr>
            <w:tcW w:w="4260" w:type="dxa"/>
            <w:vAlign w:val="bottom"/>
            <w:gridSpan w:val="9"/>
            <w:vMerge w:val="restart"/>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60" w:type="dxa"/>
            <w:vAlign w:val="bottom"/>
            <w:tcBorders>
              <w:bottom w:val="single" w:sz="8" w:color="0000FF"/>
            </w:tcBorders>
            <w:vMerge w:val="continue"/>
          </w:tcPr>
          <w:p>
            <w:pPr>
              <w:spacing w:after="0"/>
              <w:rPr>
                <w:sz w:val="13"/>
                <w:szCs w:val="13"/>
                <w:color w:val="auto"/>
              </w:rPr>
            </w:pPr>
          </w:p>
        </w:tc>
        <w:tc>
          <w:tcPr>
            <w:tcW w:w="4260" w:type="dxa"/>
            <w:vAlign w:val="bottom"/>
            <w:gridSpan w:val="9"/>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w:t>
            </w:r>
          </w:p>
        </w:tc>
        <w:tc>
          <w:tcPr>
            <w:tcW w:w="8940" w:type="dxa"/>
            <w:vAlign w:val="bottom"/>
            <w:gridSpan w:val="28"/>
          </w:tcPr>
          <w:p>
            <w:pPr>
              <w:spacing w:after="0" w:line="209" w:lineRule="exact"/>
              <w:rPr>
                <w:sz w:val="20"/>
                <w:szCs w:val="20"/>
                <w:color w:val="auto"/>
              </w:rPr>
            </w:pPr>
            <w:r>
              <w:rPr>
                <w:rFonts w:ascii="Calibri" w:cs="Calibri" w:eastAsia="Calibri" w:hAnsi="Calibri"/>
                <w:sz w:val="18"/>
                <w:szCs w:val="18"/>
                <w:color w:val="0000FF"/>
              </w:rPr>
              <w:t>Business</w:t>
            </w:r>
          </w:p>
        </w:tc>
        <w:tc>
          <w:tcPr>
            <w:tcW w:w="600" w:type="dxa"/>
            <w:vAlign w:val="bottom"/>
            <w:gridSpan w:val="3"/>
          </w:tcPr>
          <w:p>
            <w:pPr>
              <w:jc w:val="center"/>
              <w:ind w:left="431"/>
              <w:spacing w:after="0" w:line="209" w:lineRule="exact"/>
              <w:rPr>
                <w:sz w:val="20"/>
                <w:szCs w:val="20"/>
                <w:color w:val="auto"/>
              </w:rPr>
            </w:pPr>
            <w:r>
              <w:rPr>
                <w:rFonts w:ascii="Calibri" w:cs="Calibri" w:eastAsia="Calibri" w:hAnsi="Calibri"/>
                <w:sz w:val="18"/>
                <w:szCs w:val="18"/>
                <w:color w:val="0000FF"/>
                <w:w w:val="87"/>
              </w:rPr>
              <w:t>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1A.</w:t>
            </w:r>
          </w:p>
        </w:tc>
        <w:tc>
          <w:tcPr>
            <w:tcW w:w="8940" w:type="dxa"/>
            <w:vAlign w:val="bottom"/>
            <w:gridSpan w:val="28"/>
          </w:tcPr>
          <w:p>
            <w:pPr>
              <w:spacing w:after="0" w:line="209" w:lineRule="exact"/>
              <w:rPr>
                <w:sz w:val="20"/>
                <w:szCs w:val="20"/>
                <w:color w:val="auto"/>
              </w:rPr>
            </w:pPr>
            <w:r>
              <w:rPr>
                <w:rFonts w:ascii="Calibri" w:cs="Calibri" w:eastAsia="Calibri" w:hAnsi="Calibri"/>
                <w:sz w:val="18"/>
                <w:szCs w:val="18"/>
                <w:color w:val="0000FF"/>
              </w:rPr>
              <w:t>Risk Factors</w:t>
            </w: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36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1B.</w:t>
            </w:r>
          </w:p>
        </w:tc>
        <w:tc>
          <w:tcPr>
            <w:tcW w:w="1940" w:type="dxa"/>
            <w:vAlign w:val="bottom"/>
            <w:gridSpan w:val="10"/>
          </w:tcPr>
          <w:p>
            <w:pPr>
              <w:spacing w:after="0" w:line="209" w:lineRule="exact"/>
              <w:rPr>
                <w:sz w:val="20"/>
                <w:szCs w:val="20"/>
                <w:color w:val="auto"/>
              </w:rPr>
            </w:pPr>
            <w:r>
              <w:rPr>
                <w:rFonts w:ascii="Calibri" w:cs="Calibri" w:eastAsia="Calibri" w:hAnsi="Calibri"/>
                <w:sz w:val="18"/>
                <w:szCs w:val="18"/>
                <w:color w:val="0000FF"/>
                <w:w w:val="96"/>
              </w:rPr>
              <w:t>Unresolved Staf Comments</w:t>
            </w:r>
          </w:p>
        </w:tc>
        <w:tc>
          <w:tcPr>
            <w:tcW w:w="7000" w:type="dxa"/>
            <w:vAlign w:val="bottom"/>
            <w:gridSpan w:val="18"/>
          </w:tcPr>
          <w:p>
            <w:pPr>
              <w:spacing w:after="0"/>
              <w:rPr>
                <w:sz w:val="18"/>
                <w:szCs w:val="18"/>
                <w:color w:val="auto"/>
              </w:rPr>
            </w:pP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55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1C.</w:t>
            </w:r>
          </w:p>
        </w:tc>
        <w:tc>
          <w:tcPr>
            <w:tcW w:w="1940" w:type="dxa"/>
            <w:vAlign w:val="bottom"/>
            <w:gridSpan w:val="10"/>
          </w:tcPr>
          <w:p>
            <w:pPr>
              <w:spacing w:after="0" w:line="209" w:lineRule="exact"/>
              <w:rPr>
                <w:sz w:val="20"/>
                <w:szCs w:val="20"/>
                <w:color w:val="auto"/>
              </w:rPr>
            </w:pPr>
            <w:r>
              <w:rPr>
                <w:rFonts w:ascii="Calibri" w:cs="Calibri" w:eastAsia="Calibri" w:hAnsi="Calibri"/>
                <w:sz w:val="18"/>
                <w:szCs w:val="18"/>
                <w:color w:val="0000FF"/>
              </w:rPr>
              <w:t>Cybersecurity</w:t>
            </w:r>
          </w:p>
        </w:tc>
        <w:tc>
          <w:tcPr>
            <w:tcW w:w="7000" w:type="dxa"/>
            <w:vAlign w:val="bottom"/>
            <w:gridSpan w:val="18"/>
          </w:tcPr>
          <w:p>
            <w:pPr>
              <w:spacing w:after="0"/>
              <w:rPr>
                <w:sz w:val="18"/>
                <w:szCs w:val="18"/>
                <w:color w:val="auto"/>
              </w:rPr>
            </w:pP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55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2.</w:t>
            </w:r>
          </w:p>
        </w:tc>
        <w:tc>
          <w:tcPr>
            <w:tcW w:w="660" w:type="dxa"/>
            <w:vAlign w:val="bottom"/>
            <w:gridSpan w:val="2"/>
          </w:tcPr>
          <w:p>
            <w:pPr>
              <w:spacing w:after="0" w:line="209" w:lineRule="exact"/>
              <w:rPr>
                <w:sz w:val="20"/>
                <w:szCs w:val="20"/>
                <w:color w:val="auto"/>
              </w:rPr>
            </w:pPr>
            <w:r>
              <w:rPr>
                <w:rFonts w:ascii="Calibri" w:cs="Calibri" w:eastAsia="Calibri" w:hAnsi="Calibri"/>
                <w:sz w:val="18"/>
                <w:szCs w:val="18"/>
                <w:color w:val="0000FF"/>
                <w:w w:val="86"/>
              </w:rPr>
              <w:t>Propertes</w:t>
            </w:r>
          </w:p>
        </w:tc>
        <w:tc>
          <w:tcPr>
            <w:tcW w:w="260" w:type="dxa"/>
            <w:vAlign w:val="bottom"/>
            <w:gridSpan w:val="2"/>
          </w:tcPr>
          <w:p>
            <w:pPr>
              <w:spacing w:after="0"/>
              <w:rPr>
                <w:sz w:val="18"/>
                <w:szCs w:val="18"/>
                <w:color w:val="auto"/>
              </w:rPr>
            </w:pPr>
          </w:p>
        </w:tc>
        <w:tc>
          <w:tcPr>
            <w:tcW w:w="8020" w:type="dxa"/>
            <w:vAlign w:val="bottom"/>
            <w:gridSpan w:val="24"/>
          </w:tcPr>
          <w:p>
            <w:pPr>
              <w:spacing w:after="0"/>
              <w:rPr>
                <w:sz w:val="18"/>
                <w:szCs w:val="18"/>
                <w:color w:val="auto"/>
              </w:rPr>
            </w:pP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56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3.</w:t>
            </w:r>
          </w:p>
        </w:tc>
        <w:tc>
          <w:tcPr>
            <w:tcW w:w="8940" w:type="dxa"/>
            <w:vAlign w:val="bottom"/>
            <w:gridSpan w:val="28"/>
          </w:tcPr>
          <w:p>
            <w:pPr>
              <w:spacing w:after="0" w:line="209" w:lineRule="exact"/>
              <w:rPr>
                <w:sz w:val="20"/>
                <w:szCs w:val="20"/>
                <w:color w:val="auto"/>
              </w:rPr>
            </w:pPr>
            <w:r>
              <w:rPr>
                <w:rFonts w:ascii="Calibri" w:cs="Calibri" w:eastAsia="Calibri" w:hAnsi="Calibri"/>
                <w:sz w:val="18"/>
                <w:szCs w:val="18"/>
                <w:color w:val="0000FF"/>
              </w:rPr>
              <w:t>Legal Proceedings</w:t>
            </w: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56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4.</w:t>
            </w:r>
          </w:p>
        </w:tc>
        <w:tc>
          <w:tcPr>
            <w:tcW w:w="8940" w:type="dxa"/>
            <w:vAlign w:val="bottom"/>
            <w:gridSpan w:val="28"/>
          </w:tcPr>
          <w:p>
            <w:pPr>
              <w:spacing w:after="0" w:line="209" w:lineRule="exact"/>
              <w:rPr>
                <w:sz w:val="20"/>
                <w:szCs w:val="20"/>
                <w:color w:val="auto"/>
              </w:rPr>
            </w:pPr>
            <w:r>
              <w:rPr>
                <w:rFonts w:ascii="Calibri" w:cs="Calibri" w:eastAsia="Calibri" w:hAnsi="Calibri"/>
                <w:sz w:val="18"/>
                <w:szCs w:val="18"/>
                <w:color w:val="0000FF"/>
              </w:rPr>
              <w:t>Mine Safety Disclosures</w:t>
            </w: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56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bottom w:val="single" w:sz="8" w:color="0000FF"/>
            </w:tcBorders>
            <w:gridSpan w:val="4"/>
          </w:tcPr>
          <w:p>
            <w:pPr>
              <w:jc w:val="center"/>
              <w:ind w:right="20"/>
              <w:spacing w:after="0" w:line="209" w:lineRule="exact"/>
              <w:rPr>
                <w:sz w:val="20"/>
                <w:szCs w:val="20"/>
                <w:color w:val="auto"/>
              </w:rPr>
            </w:pPr>
            <w:r>
              <w:rPr>
                <w:rFonts w:ascii="Calibri" w:cs="Calibri" w:eastAsia="Calibri" w:hAnsi="Calibri"/>
                <w:sz w:val="18"/>
                <w:szCs w:val="18"/>
                <w:b w:val="1"/>
                <w:bCs w:val="1"/>
                <w:color w:val="0000FF"/>
                <w:w w:val="93"/>
              </w:rPr>
              <w:t>PART II</w:t>
            </w:r>
          </w:p>
        </w:tc>
        <w:tc>
          <w:tcPr>
            <w:tcW w:w="4220" w:type="dxa"/>
            <w:vAlign w:val="bottom"/>
            <w:gridSpan w:val="7"/>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5.</w:t>
            </w:r>
          </w:p>
        </w:tc>
        <w:tc>
          <w:tcPr>
            <w:tcW w:w="7780" w:type="dxa"/>
            <w:vAlign w:val="bottom"/>
            <w:gridSpan w:val="27"/>
          </w:tcPr>
          <w:p>
            <w:pPr>
              <w:spacing w:after="0" w:line="209" w:lineRule="exact"/>
              <w:rPr>
                <w:sz w:val="20"/>
                <w:szCs w:val="20"/>
                <w:color w:val="auto"/>
              </w:rPr>
            </w:pPr>
            <w:r>
              <w:rPr>
                <w:rFonts w:ascii="Calibri" w:cs="Calibri" w:eastAsia="Calibri" w:hAnsi="Calibri"/>
                <w:sz w:val="18"/>
                <w:szCs w:val="18"/>
                <w:color w:val="0000FF"/>
                <w:w w:val="97"/>
              </w:rPr>
              <w:t>Market for Registrant’s Common Equity, Related Stockholder Maters and Issuer Purchases of Equity Securites</w:t>
            </w:r>
          </w:p>
        </w:tc>
        <w:tc>
          <w:tcPr>
            <w:tcW w:w="1160" w:type="dxa"/>
            <w:vAlign w:val="bottom"/>
          </w:tcPr>
          <w:p>
            <w:pPr>
              <w:spacing w:after="0"/>
              <w:rPr>
                <w:sz w:val="18"/>
                <w:szCs w:val="18"/>
                <w:color w:val="auto"/>
              </w:rPr>
            </w:pP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57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6.</w:t>
            </w:r>
          </w:p>
        </w:tc>
        <w:tc>
          <w:tcPr>
            <w:tcW w:w="7780" w:type="dxa"/>
            <w:vAlign w:val="bottom"/>
            <w:gridSpan w:val="27"/>
          </w:tcPr>
          <w:p>
            <w:pPr>
              <w:spacing w:after="0" w:line="209" w:lineRule="exact"/>
              <w:rPr>
                <w:sz w:val="20"/>
                <w:szCs w:val="20"/>
                <w:color w:val="auto"/>
              </w:rPr>
            </w:pPr>
            <w:r>
              <w:rPr>
                <w:rFonts w:ascii="Calibri" w:cs="Calibri" w:eastAsia="Calibri" w:hAnsi="Calibri"/>
                <w:sz w:val="18"/>
                <w:szCs w:val="18"/>
                <w:color w:val="auto"/>
              </w:rPr>
              <w:t>[</w:t>
            </w:r>
            <w:r>
              <w:rPr>
                <w:rFonts w:ascii="Calibri" w:cs="Calibri" w:eastAsia="Calibri" w:hAnsi="Calibri"/>
                <w:sz w:val="18"/>
                <w:szCs w:val="18"/>
                <w:color w:val="0000FF"/>
              </w:rPr>
              <w:t>Reserved</w:t>
            </w:r>
            <w:r>
              <w:rPr>
                <w:rFonts w:ascii="Calibri" w:cs="Calibri" w:eastAsia="Calibri" w:hAnsi="Calibri"/>
                <w:sz w:val="18"/>
                <w:szCs w:val="18"/>
                <w:color w:val="auto"/>
              </w:rPr>
              <w:t>]</w:t>
            </w:r>
          </w:p>
        </w:tc>
        <w:tc>
          <w:tcPr>
            <w:tcW w:w="1160" w:type="dxa"/>
            <w:vAlign w:val="bottom"/>
          </w:tcPr>
          <w:p>
            <w:pPr>
              <w:spacing w:after="0"/>
              <w:rPr>
                <w:sz w:val="18"/>
                <w:szCs w:val="18"/>
                <w:color w:val="auto"/>
              </w:rPr>
            </w:pP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58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7.</w:t>
            </w:r>
          </w:p>
        </w:tc>
        <w:tc>
          <w:tcPr>
            <w:tcW w:w="6180" w:type="dxa"/>
            <w:vAlign w:val="bottom"/>
            <w:gridSpan w:val="24"/>
          </w:tcPr>
          <w:p>
            <w:pPr>
              <w:spacing w:after="0" w:line="209" w:lineRule="exact"/>
              <w:rPr>
                <w:sz w:val="20"/>
                <w:szCs w:val="20"/>
                <w:color w:val="auto"/>
              </w:rPr>
            </w:pPr>
            <w:r>
              <w:rPr>
                <w:rFonts w:ascii="Calibri" w:cs="Calibri" w:eastAsia="Calibri" w:hAnsi="Calibri"/>
                <w:sz w:val="18"/>
                <w:szCs w:val="18"/>
                <w:color w:val="0000FF"/>
                <w:w w:val="97"/>
              </w:rPr>
              <w:t>Management’s Discussion and Analysis of Financial Conditon and Results of Operatons</w:t>
            </w:r>
          </w:p>
        </w:tc>
        <w:tc>
          <w:tcPr>
            <w:tcW w:w="2760" w:type="dxa"/>
            <w:vAlign w:val="bottom"/>
            <w:gridSpan w:val="4"/>
          </w:tcPr>
          <w:p>
            <w:pPr>
              <w:spacing w:after="0"/>
              <w:rPr>
                <w:sz w:val="18"/>
                <w:szCs w:val="18"/>
                <w:color w:val="auto"/>
              </w:rPr>
            </w:pP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58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7A.</w:t>
            </w:r>
          </w:p>
        </w:tc>
        <w:tc>
          <w:tcPr>
            <w:tcW w:w="4160" w:type="dxa"/>
            <w:vAlign w:val="bottom"/>
            <w:gridSpan w:val="16"/>
          </w:tcPr>
          <w:p>
            <w:pPr>
              <w:spacing w:after="0" w:line="209" w:lineRule="exact"/>
              <w:rPr>
                <w:sz w:val="20"/>
                <w:szCs w:val="20"/>
                <w:color w:val="auto"/>
              </w:rPr>
            </w:pPr>
            <w:r>
              <w:rPr>
                <w:rFonts w:ascii="Calibri" w:cs="Calibri" w:eastAsia="Calibri" w:hAnsi="Calibri"/>
                <w:sz w:val="18"/>
                <w:szCs w:val="18"/>
                <w:color w:val="0000FF"/>
                <w:w w:val="98"/>
              </w:rPr>
              <w:t>Quanttatve and Qualitatve Disclosures About Market Risk</w:t>
            </w:r>
          </w:p>
        </w:tc>
        <w:tc>
          <w:tcPr>
            <w:tcW w:w="2020" w:type="dxa"/>
            <w:vAlign w:val="bottom"/>
            <w:gridSpan w:val="8"/>
          </w:tcPr>
          <w:p>
            <w:pPr>
              <w:spacing w:after="0"/>
              <w:rPr>
                <w:sz w:val="18"/>
                <w:szCs w:val="18"/>
                <w:color w:val="auto"/>
              </w:rPr>
            </w:pPr>
          </w:p>
        </w:tc>
        <w:tc>
          <w:tcPr>
            <w:tcW w:w="2760" w:type="dxa"/>
            <w:vAlign w:val="bottom"/>
            <w:gridSpan w:val="4"/>
          </w:tcPr>
          <w:p>
            <w:pPr>
              <w:spacing w:after="0"/>
              <w:rPr>
                <w:sz w:val="18"/>
                <w:szCs w:val="18"/>
                <w:color w:val="auto"/>
              </w:rPr>
            </w:pP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77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8.</w:t>
            </w:r>
          </w:p>
        </w:tc>
        <w:tc>
          <w:tcPr>
            <w:tcW w:w="3240" w:type="dxa"/>
            <w:vAlign w:val="bottom"/>
            <w:gridSpan w:val="13"/>
          </w:tcPr>
          <w:p>
            <w:pPr>
              <w:spacing w:after="0" w:line="209" w:lineRule="exact"/>
              <w:rPr>
                <w:sz w:val="20"/>
                <w:szCs w:val="20"/>
                <w:color w:val="auto"/>
              </w:rPr>
            </w:pPr>
            <w:r>
              <w:rPr>
                <w:rFonts w:ascii="Calibri" w:cs="Calibri" w:eastAsia="Calibri" w:hAnsi="Calibri"/>
                <w:sz w:val="18"/>
                <w:szCs w:val="18"/>
                <w:color w:val="0000FF"/>
                <w:w w:val="95"/>
              </w:rPr>
              <w:t>Financial Statements and Supplementary Data</w:t>
            </w:r>
          </w:p>
        </w:tc>
        <w:tc>
          <w:tcPr>
            <w:tcW w:w="920" w:type="dxa"/>
            <w:vAlign w:val="bottom"/>
            <w:gridSpan w:val="3"/>
          </w:tcPr>
          <w:p>
            <w:pPr>
              <w:spacing w:after="0"/>
              <w:rPr>
                <w:sz w:val="18"/>
                <w:szCs w:val="18"/>
                <w:color w:val="auto"/>
              </w:rPr>
            </w:pPr>
          </w:p>
        </w:tc>
        <w:tc>
          <w:tcPr>
            <w:tcW w:w="4780" w:type="dxa"/>
            <w:vAlign w:val="bottom"/>
            <w:gridSpan w:val="12"/>
          </w:tcPr>
          <w:p>
            <w:pPr>
              <w:spacing w:after="0"/>
              <w:rPr>
                <w:sz w:val="18"/>
                <w:szCs w:val="18"/>
                <w:color w:val="auto"/>
              </w:rPr>
            </w:pPr>
          </w:p>
        </w:tc>
        <w:tc>
          <w:tcPr>
            <w:tcW w:w="700" w:type="dxa"/>
            <w:vAlign w:val="bottom"/>
            <w:gridSpan w:val="4"/>
          </w:tcPr>
          <w:p>
            <w:pPr>
              <w:jc w:val="center"/>
              <w:ind w:left="351"/>
              <w:spacing w:after="0" w:line="209" w:lineRule="exact"/>
              <w:rPr>
                <w:sz w:val="20"/>
                <w:szCs w:val="20"/>
                <w:color w:val="auto"/>
              </w:rPr>
            </w:pPr>
            <w:r>
              <w:rPr>
                <w:rFonts w:ascii="Calibri" w:cs="Calibri" w:eastAsia="Calibri" w:hAnsi="Calibri"/>
                <w:sz w:val="18"/>
                <w:szCs w:val="18"/>
                <w:color w:val="0000FF"/>
                <w:w w:val="98"/>
              </w:rPr>
              <w:t>78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9.</w:t>
            </w:r>
          </w:p>
        </w:tc>
        <w:tc>
          <w:tcPr>
            <w:tcW w:w="6260" w:type="dxa"/>
            <w:vAlign w:val="bottom"/>
            <w:tcBorders>
              <w:bottom w:val="single" w:sz="8" w:color="0000FF"/>
            </w:tcBorders>
            <w:gridSpan w:val="25"/>
          </w:tcPr>
          <w:p>
            <w:pPr>
              <w:spacing w:after="0" w:line="209" w:lineRule="exact"/>
              <w:rPr>
                <w:sz w:val="20"/>
                <w:szCs w:val="20"/>
                <w:color w:val="auto"/>
              </w:rPr>
            </w:pPr>
            <w:r>
              <w:rPr>
                <w:rFonts w:ascii="Calibri" w:cs="Calibri" w:eastAsia="Calibri" w:hAnsi="Calibri"/>
                <w:sz w:val="18"/>
                <w:szCs w:val="18"/>
                <w:color w:val="0000FF"/>
                <w:w w:val="96"/>
              </w:rPr>
              <w:t>Changes in and Disagreements With Accountants on Accountng and Financial Disclosure</w:t>
            </w:r>
          </w:p>
        </w:tc>
        <w:tc>
          <w:tcPr>
            <w:tcW w:w="268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line="209" w:lineRule="exact"/>
              <w:rPr>
                <w:sz w:val="20"/>
                <w:szCs w:val="20"/>
                <w:color w:val="auto"/>
              </w:rPr>
            </w:pPr>
            <w:r>
              <w:rPr>
                <w:rFonts w:ascii="Calibri" w:cs="Calibri" w:eastAsia="Calibri" w:hAnsi="Calibri"/>
                <w:sz w:val="18"/>
                <w:szCs w:val="18"/>
                <w:color w:val="0000FF"/>
              </w:rPr>
              <w:t>119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9A.</w:t>
            </w:r>
          </w:p>
        </w:tc>
        <w:tc>
          <w:tcPr>
            <w:tcW w:w="1700" w:type="dxa"/>
            <w:vAlign w:val="bottom"/>
            <w:tcBorders>
              <w:bottom w:val="single" w:sz="8" w:color="0000FF"/>
            </w:tcBorders>
            <w:gridSpan w:val="9"/>
          </w:tcPr>
          <w:p>
            <w:pPr>
              <w:spacing w:after="0" w:line="209" w:lineRule="exact"/>
              <w:rPr>
                <w:sz w:val="20"/>
                <w:szCs w:val="20"/>
                <w:color w:val="auto"/>
              </w:rPr>
            </w:pPr>
            <w:r>
              <w:rPr>
                <w:rFonts w:ascii="Calibri" w:cs="Calibri" w:eastAsia="Calibri" w:hAnsi="Calibri"/>
                <w:sz w:val="18"/>
                <w:szCs w:val="18"/>
                <w:color w:val="0000FF"/>
                <w:w w:val="93"/>
              </w:rPr>
              <w:t>Controls and Procedures</w:t>
            </w:r>
          </w:p>
        </w:tc>
        <w:tc>
          <w:tcPr>
            <w:tcW w:w="7240" w:type="dxa"/>
            <w:vAlign w:val="bottom"/>
            <w:gridSpan w:val="19"/>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line="209" w:lineRule="exact"/>
              <w:rPr>
                <w:sz w:val="20"/>
                <w:szCs w:val="20"/>
                <w:color w:val="auto"/>
              </w:rPr>
            </w:pPr>
            <w:r>
              <w:rPr>
                <w:rFonts w:ascii="Calibri" w:cs="Calibri" w:eastAsia="Calibri" w:hAnsi="Calibri"/>
                <w:sz w:val="18"/>
                <w:szCs w:val="18"/>
                <w:color w:val="0000FF"/>
              </w:rPr>
              <w:t>119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9B.</w:t>
            </w:r>
          </w:p>
        </w:tc>
        <w:tc>
          <w:tcPr>
            <w:tcW w:w="1260" w:type="dxa"/>
            <w:vAlign w:val="bottom"/>
            <w:tcBorders>
              <w:bottom w:val="single" w:sz="8" w:color="0000FF"/>
            </w:tcBorders>
            <w:gridSpan w:val="6"/>
          </w:tcPr>
          <w:p>
            <w:pPr>
              <w:spacing w:after="0" w:line="209" w:lineRule="exact"/>
              <w:rPr>
                <w:sz w:val="20"/>
                <w:szCs w:val="20"/>
                <w:color w:val="auto"/>
              </w:rPr>
            </w:pPr>
            <w:r>
              <w:rPr>
                <w:rFonts w:ascii="Calibri" w:cs="Calibri" w:eastAsia="Calibri" w:hAnsi="Calibri"/>
                <w:sz w:val="18"/>
                <w:szCs w:val="18"/>
                <w:color w:val="0000FF"/>
                <w:w w:val="95"/>
              </w:rPr>
              <w:t>Other Informaton</w:t>
            </w:r>
          </w:p>
        </w:tc>
        <w:tc>
          <w:tcPr>
            <w:tcW w:w="7680" w:type="dxa"/>
            <w:vAlign w:val="bottom"/>
            <w:gridSpan w:val="22"/>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line="209" w:lineRule="exact"/>
              <w:rPr>
                <w:sz w:val="20"/>
                <w:szCs w:val="20"/>
                <w:color w:val="auto"/>
              </w:rPr>
            </w:pPr>
            <w:r>
              <w:rPr>
                <w:rFonts w:ascii="Calibri" w:cs="Calibri" w:eastAsia="Calibri" w:hAnsi="Calibri"/>
                <w:sz w:val="18"/>
                <w:szCs w:val="18"/>
                <w:color w:val="0000FF"/>
              </w:rPr>
              <w:t>122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9C.</w:t>
            </w:r>
          </w:p>
        </w:tc>
        <w:tc>
          <w:tcPr>
            <w:tcW w:w="4700" w:type="dxa"/>
            <w:vAlign w:val="bottom"/>
            <w:tcBorders>
              <w:bottom w:val="single" w:sz="8" w:color="0000FF"/>
            </w:tcBorders>
            <w:gridSpan w:val="20"/>
          </w:tcPr>
          <w:p>
            <w:pPr>
              <w:spacing w:after="0" w:line="209" w:lineRule="exact"/>
              <w:rPr>
                <w:sz w:val="20"/>
                <w:szCs w:val="20"/>
                <w:color w:val="auto"/>
              </w:rPr>
            </w:pPr>
            <w:r>
              <w:rPr>
                <w:rFonts w:ascii="Calibri" w:cs="Calibri" w:eastAsia="Calibri" w:hAnsi="Calibri"/>
                <w:sz w:val="18"/>
                <w:szCs w:val="18"/>
                <w:color w:val="0000FF"/>
                <w:w w:val="97"/>
              </w:rPr>
              <w:t>Disclosure Regarding Foreign Jurisdictons that Prevent Inspectons</w:t>
            </w:r>
          </w:p>
        </w:tc>
        <w:tc>
          <w:tcPr>
            <w:tcW w:w="4240" w:type="dxa"/>
            <w:vAlign w:val="bottom"/>
            <w:gridSpan w:val="8"/>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line="209" w:lineRule="exact"/>
              <w:rPr>
                <w:sz w:val="20"/>
                <w:szCs w:val="20"/>
                <w:color w:val="auto"/>
              </w:rPr>
            </w:pPr>
            <w:r>
              <w:rPr>
                <w:rFonts w:ascii="Calibri" w:cs="Calibri" w:eastAsia="Calibri" w:hAnsi="Calibri"/>
                <w:sz w:val="18"/>
                <w:szCs w:val="18"/>
                <w:color w:val="0000FF"/>
              </w:rPr>
              <w:t>122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12"/>
          </w:tcPr>
          <w:p>
            <w:pPr>
              <w:jc w:val="center"/>
              <w:ind w:right="4220"/>
              <w:spacing w:after="0" w:line="209" w:lineRule="exact"/>
              <w:rPr>
                <w:sz w:val="20"/>
                <w:szCs w:val="20"/>
                <w:color w:val="auto"/>
              </w:rPr>
            </w:pPr>
            <w:r>
              <w:rPr>
                <w:rFonts w:ascii="Calibri" w:cs="Calibri" w:eastAsia="Calibri" w:hAnsi="Calibri"/>
                <w:sz w:val="18"/>
                <w:szCs w:val="18"/>
                <w:b w:val="1"/>
                <w:bCs w:val="1"/>
                <w:color w:val="0000FF"/>
                <w:w w:val="96"/>
              </w:rPr>
              <w:t>PART III</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10.</w:t>
            </w:r>
          </w:p>
        </w:tc>
        <w:tc>
          <w:tcPr>
            <w:tcW w:w="4160" w:type="dxa"/>
            <w:vAlign w:val="bottom"/>
            <w:gridSpan w:val="16"/>
          </w:tcPr>
          <w:p>
            <w:pPr>
              <w:spacing w:after="0" w:line="209" w:lineRule="exact"/>
              <w:rPr>
                <w:sz w:val="20"/>
                <w:szCs w:val="20"/>
                <w:color w:val="auto"/>
              </w:rPr>
            </w:pPr>
            <w:r>
              <w:rPr>
                <w:rFonts w:ascii="Calibri" w:cs="Calibri" w:eastAsia="Calibri" w:hAnsi="Calibri"/>
                <w:sz w:val="18"/>
                <w:szCs w:val="18"/>
                <w:color w:val="0000FF"/>
              </w:rPr>
              <w:t>Directors, Executve Ofcers and Corporate Governance</w:t>
            </w:r>
          </w:p>
        </w:tc>
        <w:tc>
          <w:tcPr>
            <w:tcW w:w="560" w:type="dxa"/>
            <w:vAlign w:val="bottom"/>
            <w:tcBorders>
              <w:top w:val="single" w:sz="8" w:color="0000FF"/>
            </w:tcBorders>
            <w:gridSpan w:val="5"/>
          </w:tcPr>
          <w:p>
            <w:pPr>
              <w:spacing w:after="0"/>
              <w:rPr>
                <w:sz w:val="18"/>
                <w:szCs w:val="18"/>
                <w:color w:val="auto"/>
              </w:rPr>
            </w:pPr>
          </w:p>
        </w:tc>
        <w:tc>
          <w:tcPr>
            <w:tcW w:w="4220" w:type="dxa"/>
            <w:vAlign w:val="bottom"/>
            <w:gridSpan w:val="7"/>
          </w:tcPr>
          <w:p>
            <w:pPr>
              <w:spacing w:after="0"/>
              <w:rPr>
                <w:sz w:val="18"/>
                <w:szCs w:val="18"/>
                <w:color w:val="auto"/>
              </w:rPr>
            </w:pPr>
          </w:p>
        </w:tc>
        <w:tc>
          <w:tcPr>
            <w:tcW w:w="1120" w:type="dxa"/>
            <w:vAlign w:val="bottom"/>
            <w:gridSpan w:val="5"/>
          </w:tcPr>
          <w:p>
            <w:pPr>
              <w:jc w:val="center"/>
              <w:spacing w:after="0" w:line="209" w:lineRule="exact"/>
              <w:rPr>
                <w:sz w:val="20"/>
                <w:szCs w:val="20"/>
                <w:color w:val="auto"/>
              </w:rPr>
            </w:pPr>
            <w:r>
              <w:rPr>
                <w:rFonts w:ascii="Calibri" w:cs="Calibri" w:eastAsia="Calibri" w:hAnsi="Calibri"/>
                <w:sz w:val="18"/>
                <w:szCs w:val="18"/>
                <w:color w:val="0000FF"/>
              </w:rPr>
              <w:t>122</w:t>
            </w:r>
          </w:p>
        </w:tc>
        <w:tc>
          <w:tcPr>
            <w:tcW w:w="0" w:type="dxa"/>
            <w:vAlign w:val="bottom"/>
          </w:tcPr>
          <w:p>
            <w:pPr>
              <w:spacing w:after="0"/>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11.</w:t>
            </w:r>
          </w:p>
        </w:tc>
        <w:tc>
          <w:tcPr>
            <w:tcW w:w="1700" w:type="dxa"/>
            <w:vAlign w:val="bottom"/>
            <w:tcBorders>
              <w:top w:val="single" w:sz="8" w:color="0000FF"/>
              <w:bottom w:val="single" w:sz="8" w:color="0000FF"/>
            </w:tcBorders>
            <w:gridSpan w:val="9"/>
          </w:tcPr>
          <w:p>
            <w:pPr>
              <w:spacing w:after="0" w:line="209" w:lineRule="exact"/>
              <w:rPr>
                <w:sz w:val="20"/>
                <w:szCs w:val="20"/>
                <w:color w:val="auto"/>
              </w:rPr>
            </w:pPr>
            <w:r>
              <w:rPr>
                <w:rFonts w:ascii="Calibri" w:cs="Calibri" w:eastAsia="Calibri" w:hAnsi="Calibri"/>
                <w:sz w:val="18"/>
                <w:szCs w:val="18"/>
                <w:color w:val="0000FF"/>
                <w:w w:val="97"/>
              </w:rPr>
              <w:t>Executve Compensaton</w:t>
            </w:r>
          </w:p>
        </w:tc>
        <w:tc>
          <w:tcPr>
            <w:tcW w:w="2200" w:type="dxa"/>
            <w:vAlign w:val="bottom"/>
            <w:tcBorders>
              <w:top w:val="single" w:sz="8" w:color="0000FF"/>
            </w:tcBorders>
            <w:gridSpan w:val="5"/>
          </w:tcPr>
          <w:p>
            <w:pPr>
              <w:spacing w:after="0"/>
              <w:rPr>
                <w:sz w:val="18"/>
                <w:szCs w:val="18"/>
                <w:color w:val="auto"/>
              </w:rPr>
            </w:pPr>
          </w:p>
        </w:tc>
        <w:tc>
          <w:tcPr>
            <w:tcW w:w="5040" w:type="dxa"/>
            <w:vAlign w:val="bottom"/>
            <w:gridSpan w:val="14"/>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jc w:val="center"/>
              <w:spacing w:after="0" w:line="209" w:lineRule="exact"/>
              <w:rPr>
                <w:sz w:val="20"/>
                <w:szCs w:val="20"/>
                <w:color w:val="auto"/>
              </w:rPr>
            </w:pPr>
            <w:r>
              <w:rPr>
                <w:rFonts w:ascii="Calibri" w:cs="Calibri" w:eastAsia="Calibri" w:hAnsi="Calibri"/>
                <w:sz w:val="18"/>
                <w:szCs w:val="18"/>
                <w:color w:val="0000FF"/>
              </w:rPr>
              <w:t>122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12.</w:t>
            </w:r>
          </w:p>
        </w:tc>
        <w:tc>
          <w:tcPr>
            <w:tcW w:w="7080" w:type="dxa"/>
            <w:vAlign w:val="bottom"/>
            <w:tcBorders>
              <w:bottom w:val="single" w:sz="8" w:color="0000FF"/>
            </w:tcBorders>
            <w:gridSpan w:val="26"/>
          </w:tcPr>
          <w:p>
            <w:pPr>
              <w:spacing w:after="0" w:line="209" w:lineRule="exact"/>
              <w:rPr>
                <w:sz w:val="20"/>
                <w:szCs w:val="20"/>
                <w:color w:val="auto"/>
              </w:rPr>
            </w:pPr>
            <w:r>
              <w:rPr>
                <w:rFonts w:ascii="Calibri" w:cs="Calibri" w:eastAsia="Calibri" w:hAnsi="Calibri"/>
                <w:sz w:val="18"/>
                <w:szCs w:val="18"/>
                <w:color w:val="0000FF"/>
                <w:w w:val="97"/>
              </w:rPr>
              <w:t>Security Ownership of Certain Benefcial Owners and Management and Related Stockholder Maters</w:t>
            </w:r>
          </w:p>
        </w:tc>
        <w:tc>
          <w:tcPr>
            <w:tcW w:w="18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line="209" w:lineRule="exact"/>
              <w:rPr>
                <w:sz w:val="20"/>
                <w:szCs w:val="20"/>
                <w:color w:val="auto"/>
              </w:rPr>
            </w:pPr>
            <w:r>
              <w:rPr>
                <w:rFonts w:ascii="Calibri" w:cs="Calibri" w:eastAsia="Calibri" w:hAnsi="Calibri"/>
                <w:sz w:val="18"/>
                <w:szCs w:val="18"/>
                <w:color w:val="0000FF"/>
              </w:rPr>
              <w:t>123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13.</w:t>
            </w:r>
          </w:p>
        </w:tc>
        <w:tc>
          <w:tcPr>
            <w:tcW w:w="5300" w:type="dxa"/>
            <w:vAlign w:val="bottom"/>
            <w:tcBorders>
              <w:bottom w:val="single" w:sz="8" w:color="0000FF"/>
            </w:tcBorders>
            <w:gridSpan w:val="23"/>
          </w:tcPr>
          <w:p>
            <w:pPr>
              <w:spacing w:after="0" w:line="209" w:lineRule="exact"/>
              <w:rPr>
                <w:sz w:val="20"/>
                <w:szCs w:val="20"/>
                <w:color w:val="auto"/>
              </w:rPr>
            </w:pPr>
            <w:r>
              <w:rPr>
                <w:rFonts w:ascii="Calibri" w:cs="Calibri" w:eastAsia="Calibri" w:hAnsi="Calibri"/>
                <w:sz w:val="18"/>
                <w:szCs w:val="18"/>
                <w:color w:val="0000FF"/>
                <w:w w:val="97"/>
              </w:rPr>
              <w:t>Certain Relatonships and Related Transactons, and Director Independence</w:t>
            </w:r>
          </w:p>
        </w:tc>
        <w:tc>
          <w:tcPr>
            <w:tcW w:w="3640" w:type="dxa"/>
            <w:vAlign w:val="bottom"/>
            <w:gridSpan w:val="5"/>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line="209" w:lineRule="exact"/>
              <w:rPr>
                <w:sz w:val="20"/>
                <w:szCs w:val="20"/>
                <w:color w:val="auto"/>
              </w:rPr>
            </w:pPr>
            <w:r>
              <w:rPr>
                <w:rFonts w:ascii="Calibri" w:cs="Calibri" w:eastAsia="Calibri" w:hAnsi="Calibri"/>
                <w:sz w:val="18"/>
                <w:szCs w:val="18"/>
                <w:color w:val="0000FF"/>
              </w:rPr>
              <w:t>123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14.</w:t>
            </w:r>
          </w:p>
        </w:tc>
        <w:tc>
          <w:tcPr>
            <w:tcW w:w="8940" w:type="dxa"/>
            <w:vAlign w:val="bottom"/>
            <w:gridSpan w:val="28"/>
          </w:tcPr>
          <w:p>
            <w:pPr>
              <w:spacing w:after="0" w:line="209" w:lineRule="exact"/>
              <w:rPr>
                <w:sz w:val="20"/>
                <w:szCs w:val="20"/>
                <w:color w:val="auto"/>
              </w:rPr>
            </w:pPr>
            <w:r>
              <w:rPr>
                <w:rFonts w:ascii="Calibri" w:cs="Calibri" w:eastAsia="Calibri" w:hAnsi="Calibri"/>
                <w:sz w:val="18"/>
                <w:szCs w:val="18"/>
                <w:color w:val="0000FF"/>
              </w:rPr>
              <w:t>Principal Accountant Fees and Services</w:t>
            </w:r>
          </w:p>
        </w:tc>
        <w:tc>
          <w:tcPr>
            <w:tcW w:w="1120" w:type="dxa"/>
            <w:vAlign w:val="bottom"/>
            <w:gridSpan w:val="5"/>
          </w:tcPr>
          <w:p>
            <w:pPr>
              <w:jc w:val="center"/>
              <w:spacing w:after="0" w:line="209" w:lineRule="exact"/>
              <w:rPr>
                <w:sz w:val="20"/>
                <w:szCs w:val="20"/>
                <w:color w:val="auto"/>
              </w:rPr>
            </w:pPr>
            <w:r>
              <w:rPr>
                <w:rFonts w:ascii="Calibri" w:cs="Calibri" w:eastAsia="Calibri" w:hAnsi="Calibri"/>
                <w:sz w:val="18"/>
                <w:szCs w:val="18"/>
                <w:color w:val="0000FF"/>
              </w:rPr>
              <w:t>123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12"/>
          </w:tcPr>
          <w:p>
            <w:pPr>
              <w:jc w:val="center"/>
              <w:ind w:right="4220"/>
              <w:spacing w:after="0" w:line="209" w:lineRule="exact"/>
              <w:rPr>
                <w:sz w:val="20"/>
                <w:szCs w:val="20"/>
                <w:color w:val="auto"/>
              </w:rPr>
            </w:pPr>
            <w:r>
              <w:rPr>
                <w:rFonts w:ascii="Calibri" w:cs="Calibri" w:eastAsia="Calibri" w:hAnsi="Calibri"/>
                <w:sz w:val="18"/>
                <w:szCs w:val="18"/>
                <w:b w:val="1"/>
                <w:bCs w:val="1"/>
                <w:color w:val="0000FF"/>
                <w:w w:val="94"/>
              </w:rPr>
              <w:t>PART IV</w:t>
            </w:r>
          </w:p>
        </w:tc>
        <w:tc>
          <w:tcPr>
            <w:tcW w:w="4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15.</w:t>
            </w:r>
          </w:p>
        </w:tc>
        <w:tc>
          <w:tcPr>
            <w:tcW w:w="3020" w:type="dxa"/>
            <w:vAlign w:val="bottom"/>
            <w:tcBorders>
              <w:bottom w:val="single" w:sz="8" w:color="0000FF"/>
            </w:tcBorders>
            <w:gridSpan w:val="12"/>
          </w:tcPr>
          <w:p>
            <w:pPr>
              <w:spacing w:after="0" w:line="209" w:lineRule="exact"/>
              <w:rPr>
                <w:sz w:val="20"/>
                <w:szCs w:val="20"/>
                <w:color w:val="auto"/>
              </w:rPr>
            </w:pPr>
            <w:r>
              <w:rPr>
                <w:rFonts w:ascii="Calibri" w:cs="Calibri" w:eastAsia="Calibri" w:hAnsi="Calibri"/>
                <w:sz w:val="18"/>
                <w:szCs w:val="18"/>
                <w:color w:val="0000FF"/>
                <w:w w:val="95"/>
              </w:rPr>
              <w:t>Exhibits and Financial Statement Schedules</w:t>
            </w:r>
          </w:p>
        </w:tc>
        <w:tc>
          <w:tcPr>
            <w:tcW w:w="1140" w:type="dxa"/>
            <w:vAlign w:val="bottom"/>
            <w:gridSpan w:val="4"/>
          </w:tcPr>
          <w:p>
            <w:pPr>
              <w:spacing w:after="0"/>
              <w:rPr>
                <w:sz w:val="18"/>
                <w:szCs w:val="18"/>
                <w:color w:val="auto"/>
              </w:rPr>
            </w:pPr>
          </w:p>
        </w:tc>
        <w:tc>
          <w:tcPr>
            <w:tcW w:w="560" w:type="dxa"/>
            <w:vAlign w:val="bottom"/>
            <w:tcBorders>
              <w:top w:val="single" w:sz="8" w:color="0000FF"/>
            </w:tcBorders>
            <w:gridSpan w:val="5"/>
          </w:tcPr>
          <w:p>
            <w:pPr>
              <w:spacing w:after="0"/>
              <w:rPr>
                <w:sz w:val="18"/>
                <w:szCs w:val="18"/>
                <w:color w:val="auto"/>
              </w:rPr>
            </w:pPr>
          </w:p>
        </w:tc>
        <w:tc>
          <w:tcPr>
            <w:tcW w:w="4220" w:type="dxa"/>
            <w:vAlign w:val="bottom"/>
            <w:gridSpan w:val="7"/>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line="209" w:lineRule="exact"/>
              <w:rPr>
                <w:sz w:val="20"/>
                <w:szCs w:val="20"/>
                <w:color w:val="auto"/>
              </w:rPr>
            </w:pPr>
            <w:r>
              <w:rPr>
                <w:rFonts w:ascii="Calibri" w:cs="Calibri" w:eastAsia="Calibri" w:hAnsi="Calibri"/>
                <w:sz w:val="18"/>
                <w:szCs w:val="18"/>
                <w:color w:val="0000FF"/>
              </w:rPr>
              <w:t>124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line="209" w:lineRule="exact"/>
              <w:rPr>
                <w:sz w:val="20"/>
                <w:szCs w:val="20"/>
                <w:color w:val="auto"/>
              </w:rPr>
            </w:pPr>
            <w:r>
              <w:rPr>
                <w:rFonts w:ascii="Calibri" w:cs="Calibri" w:eastAsia="Calibri" w:hAnsi="Calibri"/>
                <w:sz w:val="18"/>
                <w:szCs w:val="18"/>
                <w:color w:val="auto"/>
              </w:rPr>
              <w:t>Item 16.</w:t>
            </w:r>
          </w:p>
        </w:tc>
        <w:tc>
          <w:tcPr>
            <w:tcW w:w="8940" w:type="dxa"/>
            <w:vAlign w:val="bottom"/>
            <w:gridSpan w:val="28"/>
          </w:tcPr>
          <w:p>
            <w:pPr>
              <w:spacing w:after="0" w:line="209" w:lineRule="exact"/>
              <w:rPr>
                <w:sz w:val="20"/>
                <w:szCs w:val="20"/>
                <w:color w:val="auto"/>
              </w:rPr>
            </w:pPr>
            <w:r>
              <w:rPr>
                <w:rFonts w:ascii="Calibri" w:cs="Calibri" w:eastAsia="Calibri" w:hAnsi="Calibri"/>
                <w:sz w:val="18"/>
                <w:szCs w:val="18"/>
                <w:color w:val="0000FF"/>
              </w:rPr>
              <w:t>Form 10-K Summary</w:t>
            </w:r>
          </w:p>
        </w:tc>
        <w:tc>
          <w:tcPr>
            <w:tcW w:w="1120" w:type="dxa"/>
            <w:vAlign w:val="bottom"/>
            <w:gridSpan w:val="5"/>
          </w:tcPr>
          <w:p>
            <w:pPr>
              <w:jc w:val="center"/>
              <w:spacing w:after="0" w:line="209" w:lineRule="exact"/>
              <w:rPr>
                <w:sz w:val="20"/>
                <w:szCs w:val="20"/>
                <w:color w:val="auto"/>
              </w:rPr>
            </w:pPr>
            <w:r>
              <w:rPr>
                <w:rFonts w:ascii="Calibri" w:cs="Calibri" w:eastAsia="Calibri" w:hAnsi="Calibri"/>
                <w:sz w:val="18"/>
                <w:szCs w:val="18"/>
                <w:color w:val="0000FF"/>
              </w:rPr>
              <w:t>128</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0000FF"/>
            </w:tcBorders>
            <w:gridSpan w:val="7"/>
          </w:tcPr>
          <w:p>
            <w:pPr>
              <w:jc w:val="center"/>
              <w:spacing w:after="0" w:line="209" w:lineRule="exact"/>
              <w:rPr>
                <w:sz w:val="20"/>
                <w:szCs w:val="20"/>
                <w:color w:val="auto"/>
              </w:rPr>
            </w:pPr>
            <w:r>
              <w:rPr>
                <w:rFonts w:ascii="Calibri" w:cs="Calibri" w:eastAsia="Calibri" w:hAnsi="Calibri"/>
                <w:sz w:val="18"/>
                <w:szCs w:val="18"/>
                <w:b w:val="1"/>
                <w:bCs w:val="1"/>
                <w:color w:val="0000FF"/>
                <w:w w:val="96"/>
              </w:rPr>
              <w:t>SIGNATURES</w:t>
            </w:r>
          </w:p>
        </w:tc>
        <w:tc>
          <w:tcPr>
            <w:tcW w:w="4040" w:type="dxa"/>
            <w:vAlign w:val="bottom"/>
            <w:gridSpan w:val="6"/>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top w:val="single" w:sz="8" w:color="0000FF"/>
              <w:bottom w:val="single" w:sz="8" w:color="0000FF"/>
            </w:tcBorders>
            <w:gridSpan w:val="3"/>
          </w:tcPr>
          <w:p>
            <w:pPr>
              <w:jc w:val="center"/>
              <w:spacing w:after="0" w:line="209" w:lineRule="exact"/>
              <w:rPr>
                <w:sz w:val="20"/>
                <w:szCs w:val="20"/>
                <w:color w:val="auto"/>
              </w:rPr>
            </w:pPr>
            <w:r>
              <w:rPr>
                <w:rFonts w:ascii="Calibri" w:cs="Calibri" w:eastAsia="Calibri" w:hAnsi="Calibri"/>
                <w:sz w:val="18"/>
                <w:szCs w:val="18"/>
                <w:color w:val="0000FF"/>
              </w:rPr>
              <w:t>129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SPECIAL NOTE REGARDING FORWARD LOOKING STATEMENTS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i w:val="1"/>
          <w:iCs w:val="1"/>
          <w:color w:val="auto"/>
        </w:rPr>
        <w:t>Some of the statements under the captons “Risk Factors,” “Management’s Discussion and Analysis of Financial Conditon and Results of Operatons” and “Business” and elsewhere in this Annual Report on Form 10-K are forward-looking statements. These statements are based on our current expectatons, assumptons, estmates and projectons about our business and our industry and involve known and unknown risks, uncertaintes and other factors that may cause our company’s or our industry’s results, levels of actvity, performance or achievements to be materially diferent from any future results, levels of actvity, performance or achievements expressed or implied in, or contemplated by, the forward-looking statements. Our actual results and the tming of events may difer signifcantly from the results discussed in the forward-looking statements. Factors that might cause such a diference include those discussed under the heading “Item 1A. Risk Factors” as well as those discussed elsewhere in this Annual Report on Form 10-K.</w:t>
      </w:r>
    </w:p>
    <w:p>
      <w:pPr>
        <w:spacing w:after="0" w:line="168" w:lineRule="exact"/>
        <w:rPr>
          <w:sz w:val="20"/>
          <w:szCs w:val="20"/>
          <w:color w:val="auto"/>
        </w:rPr>
      </w:pPr>
    </w:p>
    <w:p>
      <w:pPr>
        <w:ind w:right="360" w:firstLine="648"/>
        <w:spacing w:after="0" w:line="235" w:lineRule="auto"/>
        <w:rPr>
          <w:sz w:val="20"/>
          <w:szCs w:val="20"/>
          <w:color w:val="auto"/>
        </w:rPr>
      </w:pPr>
      <w:r>
        <w:rPr>
          <w:rFonts w:ascii="Calibri" w:cs="Calibri" w:eastAsia="Calibri" w:hAnsi="Calibri"/>
          <w:sz w:val="18"/>
          <w:szCs w:val="18"/>
          <w:i w:val="1"/>
          <w:iCs w:val="1"/>
          <w:color w:val="auto"/>
        </w:rPr>
        <w:t>These and many other factors could afect our future fnancial and operatng results. We undertake no obligaton to update any forward-looking statement to refect events afer the date of this report.</w:t>
      </w:r>
    </w:p>
    <w:p>
      <w:pPr>
        <w:spacing w:after="0" w:line="164" w:lineRule="exact"/>
        <w:rPr>
          <w:sz w:val="20"/>
          <w:szCs w:val="20"/>
          <w:color w:val="auto"/>
        </w:rPr>
      </w:pPr>
    </w:p>
    <w:p>
      <w:pPr>
        <w:ind w:firstLine="648"/>
        <w:spacing w:after="0" w:line="252" w:lineRule="auto"/>
        <w:rPr>
          <w:sz w:val="20"/>
          <w:szCs w:val="20"/>
          <w:color w:val="auto"/>
        </w:rPr>
      </w:pPr>
      <w:r>
        <w:rPr>
          <w:rFonts w:ascii="Calibri" w:cs="Calibri" w:eastAsia="Calibri" w:hAnsi="Calibri"/>
          <w:sz w:val="17"/>
          <w:szCs w:val="17"/>
          <w:i w:val="1"/>
          <w:iCs w:val="1"/>
          <w:color w:val="auto"/>
        </w:rPr>
        <w:t>In additon, statements that “we believe” and similar statements refect our beliefs and opinions on the relevant subject. These statements are based upon informaton available to us as of the date of this report, and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These statements are inherently uncertain and investors are cautoned not to unduly rely upon these statements.</w:t>
      </w:r>
    </w:p>
    <w:p>
      <w:pPr>
        <w:spacing w:after="0" w:line="15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RISK FACTOR SUMMARY</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Investng in our securites involves a high degree of risk. Below is a summary of material factors that make an investment in our securites speculatve or risky. Importantly, this summary does not address all of the risks that we face. Additonal discussion of the risks summarized in this risk factor summary, as well as other risks that we face, can be found under the heading “Item 1A. Risk Factors” below.</w:t>
      </w:r>
    </w:p>
    <w:p>
      <w:pPr>
        <w:spacing w:after="0" w:line="57" w:lineRule="exact"/>
        <w:rPr>
          <w:sz w:val="20"/>
          <w:szCs w:val="20"/>
          <w:color w:val="auto"/>
        </w:rPr>
      </w:pPr>
    </w:p>
    <w:p>
      <w:pPr>
        <w:ind w:left="820" w:right="180" w:hanging="229"/>
        <w:spacing w:after="0" w:line="235" w:lineRule="auto"/>
        <w:tabs>
          <w:tab w:leader="none" w:pos="816" w:val="left"/>
        </w:tabs>
        <w:numPr>
          <w:ilvl w:val="0"/>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Our ability to grow our company is dependent upon the commercial success of CABOMETYX in its approved indicatons and the contnued clinical development, regulatory approval, clinical acceptance and commercial success of the cabozantnib franchise in additonal indicatons.</w:t>
      </w:r>
    </w:p>
    <w:p>
      <w:pPr>
        <w:spacing w:after="0" w:line="55" w:lineRule="exact"/>
        <w:rPr>
          <w:rFonts w:ascii="Calibri" w:cs="Calibri" w:eastAsia="Calibri" w:hAnsi="Calibri"/>
          <w:sz w:val="18"/>
          <w:szCs w:val="18"/>
          <w:i w:val="1"/>
          <w:iCs w:val="1"/>
          <w:color w:val="auto"/>
        </w:rPr>
      </w:pPr>
    </w:p>
    <w:p>
      <w:pPr>
        <w:ind w:left="820" w:right="100" w:hanging="229"/>
        <w:spacing w:after="0" w:line="235" w:lineRule="auto"/>
        <w:tabs>
          <w:tab w:leader="none" w:pos="816" w:val="left"/>
        </w:tabs>
        <w:numPr>
          <w:ilvl w:val="0"/>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If we are unable to obtain or maintain coverage and reimbursement for our products from government and other third-party payers, our business will sufer.</w:t>
      </w:r>
    </w:p>
    <w:p>
      <w:pPr>
        <w:spacing w:after="0" w:line="55" w:lineRule="exact"/>
        <w:rPr>
          <w:rFonts w:ascii="Calibri" w:cs="Calibri" w:eastAsia="Calibri" w:hAnsi="Calibri"/>
          <w:sz w:val="18"/>
          <w:szCs w:val="18"/>
          <w:i w:val="1"/>
          <w:iCs w:val="1"/>
          <w:color w:val="auto"/>
        </w:rPr>
      </w:pPr>
    </w:p>
    <w:p>
      <w:pPr>
        <w:jc w:val="both"/>
        <w:ind w:left="820" w:right="220" w:hanging="229"/>
        <w:spacing w:after="0" w:line="235" w:lineRule="auto"/>
        <w:tabs>
          <w:tab w:leader="none" w:pos="816" w:val="left"/>
        </w:tabs>
        <w:numPr>
          <w:ilvl w:val="0"/>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Pricing for pharmaceutcal products, both in the U.S. and in foreign countries, has come under increasing atenton and scrutny by federal, state and foreign natonal governments, legislatve bodies and enforcement agencies. Initatves arising from this scrutny may result in changes that have the efect of reducing our revenue or harming our business or reputaton.</w:t>
      </w:r>
    </w:p>
    <w:p>
      <w:pPr>
        <w:spacing w:after="0" w:line="56" w:lineRule="exact"/>
        <w:rPr>
          <w:rFonts w:ascii="Calibri" w:cs="Calibri" w:eastAsia="Calibri" w:hAnsi="Calibri"/>
          <w:sz w:val="18"/>
          <w:szCs w:val="18"/>
          <w:i w:val="1"/>
          <w:iCs w:val="1"/>
          <w:color w:val="auto"/>
        </w:rPr>
      </w:pPr>
    </w:p>
    <w:p>
      <w:pPr>
        <w:ind w:left="820" w:right="120" w:hanging="229"/>
        <w:spacing w:after="0" w:line="235" w:lineRule="auto"/>
        <w:tabs>
          <w:tab w:leader="none" w:pos="816" w:val="left"/>
        </w:tabs>
        <w:numPr>
          <w:ilvl w:val="0"/>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The tming of the entrance of generic compettors to CABOMETYX and legislatve and regulatory acton designed to reduce barriers to the development, approval and adopton of generic drugs in the U.S. could limit the revenue we derive from our products, most notably CABOMETYX, which could have a material adverse impact on our business, fnancial conditon and results of operatons.</w:t>
      </w:r>
    </w:p>
    <w:p>
      <w:pPr>
        <w:spacing w:after="0" w:line="51" w:lineRule="exact"/>
        <w:rPr>
          <w:rFonts w:ascii="Calibri" w:cs="Calibri" w:eastAsia="Calibri" w:hAnsi="Calibri"/>
          <w:sz w:val="18"/>
          <w:szCs w:val="18"/>
          <w:i w:val="1"/>
          <w:iCs w:val="1"/>
          <w:color w:val="auto"/>
        </w:rPr>
      </w:pPr>
    </w:p>
    <w:p>
      <w:pPr>
        <w:ind w:left="820" w:hanging="229"/>
        <w:spacing w:after="0"/>
        <w:tabs>
          <w:tab w:leader="none" w:pos="820" w:val="left"/>
        </w:tabs>
        <w:numPr>
          <w:ilvl w:val="0"/>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We may be unable to expand our discovery and development pipeline, which could limit our growth and revenue potental.</w:t>
      </w:r>
    </w:p>
    <w:p>
      <w:pPr>
        <w:spacing w:after="0" w:line="55" w:lineRule="exact"/>
        <w:rPr>
          <w:rFonts w:ascii="Calibri" w:cs="Calibri" w:eastAsia="Calibri" w:hAnsi="Calibri"/>
          <w:sz w:val="18"/>
          <w:szCs w:val="18"/>
          <w:i w:val="1"/>
          <w:iCs w:val="1"/>
          <w:color w:val="auto"/>
        </w:rPr>
      </w:pPr>
    </w:p>
    <w:p>
      <w:pPr>
        <w:jc w:val="both"/>
        <w:ind w:left="820" w:right="120" w:hanging="229"/>
        <w:spacing w:after="0" w:line="235" w:lineRule="auto"/>
        <w:tabs>
          <w:tab w:leader="none" w:pos="816" w:val="left"/>
        </w:tabs>
        <w:numPr>
          <w:ilvl w:val="0"/>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Clinical testng of cabozantnib for new indicatons, or of our other new product candidates, such as zanzalintnib, is a lengthy, costly, complex and uncertain process that may ultmately fail to demonstrate sufciently diferentated safety and efcacy data for those products to compete in our highly compettve market environment.</w:t>
      </w:r>
    </w:p>
    <w:p>
      <w:pPr>
        <w:spacing w:after="0" w:line="56" w:lineRule="exact"/>
        <w:rPr>
          <w:rFonts w:ascii="Calibri" w:cs="Calibri" w:eastAsia="Calibri" w:hAnsi="Calibri"/>
          <w:sz w:val="18"/>
          <w:szCs w:val="18"/>
          <w:i w:val="1"/>
          <w:iCs w:val="1"/>
          <w:color w:val="auto"/>
        </w:rPr>
      </w:pPr>
    </w:p>
    <w:p>
      <w:pPr>
        <w:ind w:left="820" w:right="40" w:hanging="229"/>
        <w:spacing w:after="0" w:line="235" w:lineRule="auto"/>
        <w:tabs>
          <w:tab w:leader="none" w:pos="816" w:val="left"/>
        </w:tabs>
        <w:numPr>
          <w:ilvl w:val="0"/>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The regulatory approval processes of the U.S. Food and Drug Administraton and comparable foreign regulatory authorites are lengthy, uncertain and subject to change, and may not result in regulatory approvals for additonal cabozantnib indicatons or for our other product candidates, such as zanzalintnib, which could have a material adverse impact on our business, fnancial conditon and results of operatons.</w:t>
      </w:r>
    </w:p>
    <w:p>
      <w:pPr>
        <w:spacing w:after="0" w:line="56" w:lineRule="exact"/>
        <w:rPr>
          <w:rFonts w:ascii="Calibri" w:cs="Calibri" w:eastAsia="Calibri" w:hAnsi="Calibri"/>
          <w:sz w:val="18"/>
          <w:szCs w:val="18"/>
          <w:i w:val="1"/>
          <w:iCs w:val="1"/>
          <w:color w:val="auto"/>
        </w:rPr>
      </w:pPr>
    </w:p>
    <w:p>
      <w:pPr>
        <w:ind w:left="820" w:right="940" w:hanging="229"/>
        <w:spacing w:after="0" w:line="235" w:lineRule="auto"/>
        <w:tabs>
          <w:tab w:leader="none" w:pos="816" w:val="left"/>
        </w:tabs>
        <w:numPr>
          <w:ilvl w:val="0"/>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Our proftability could be negatvely impacted if expenses associated with our extensive drug discovery, clinical development, business development and commercializaton actvites grow more quickly than the revenues we generate.</w:t>
      </w:r>
    </w:p>
    <w:p>
      <w:pPr>
        <w:spacing w:after="0" w:line="55" w:lineRule="exact"/>
        <w:rPr>
          <w:rFonts w:ascii="Calibri" w:cs="Calibri" w:eastAsia="Calibri" w:hAnsi="Calibri"/>
          <w:sz w:val="18"/>
          <w:szCs w:val="18"/>
          <w:i w:val="1"/>
          <w:iCs w:val="1"/>
          <w:color w:val="auto"/>
        </w:rPr>
      </w:pPr>
    </w:p>
    <w:p>
      <w:pPr>
        <w:ind w:left="820" w:right="60" w:hanging="229"/>
        <w:spacing w:after="0" w:line="235" w:lineRule="auto"/>
        <w:tabs>
          <w:tab w:leader="none" w:pos="816" w:val="left"/>
        </w:tabs>
        <w:numPr>
          <w:ilvl w:val="0"/>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Our clinical, regulatory and commercial collaboratons with major companies make us reliant on those companies for their contnued performance and investments, which subjects us to a number of risks. For example, we rely 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20" w:right="320"/>
        <w:spacing w:after="0" w:line="252" w:lineRule="auto"/>
        <w:rPr>
          <w:sz w:val="20"/>
          <w:szCs w:val="20"/>
          <w:color w:val="auto"/>
        </w:rPr>
      </w:pPr>
      <w:r>
        <w:rPr>
          <w:rFonts w:ascii="Calibri" w:cs="Calibri" w:eastAsia="Calibri" w:hAnsi="Calibri"/>
          <w:sz w:val="17"/>
          <w:szCs w:val="17"/>
          <w:i w:val="1"/>
          <w:iCs w:val="1"/>
          <w:color w:val="auto"/>
        </w:rPr>
        <w:t>Ipsen Pharma SAS (Ipsen) and Takeda Pharmaceutcal Company Limited (Takeda) for the commercial success of CABOMETYX in its approved indicatons outside of the U.S., and we are unable to control the amount or tming of resources expended by these collaboraton partners in the commercializaton of CABOMETYX in its approved indicatons outside of the U.S. In additon, our growth potental is dependent in part upon companies with which we have entered research collaboratons, in-licensing arrangements and similar business development relatonships.</w:t>
      </w:r>
    </w:p>
    <w:p>
      <w:pPr>
        <w:spacing w:after="0" w:line="46" w:lineRule="exact"/>
        <w:rPr>
          <w:sz w:val="20"/>
          <w:szCs w:val="20"/>
          <w:color w:val="auto"/>
        </w:rPr>
      </w:pPr>
    </w:p>
    <w:p>
      <w:pPr>
        <w:ind w:left="820" w:right="60" w:hanging="229"/>
        <w:spacing w:after="0" w:line="235" w:lineRule="auto"/>
        <w:tabs>
          <w:tab w:leader="none" w:pos="816" w:val="left"/>
        </w:tabs>
        <w:numPr>
          <w:ilvl w:val="0"/>
          <w:numId w:val="3"/>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We are subject to healthcare laws, regulatons and enforcement, as well as laws and regulatons relatng to privacy, data collecton and processing of personal data; our failure to comply with those and other laws could have a material adverse impact on our business, fnancial conditon and results of operatons.</w:t>
      </w:r>
    </w:p>
    <w:p>
      <w:pPr>
        <w:spacing w:after="0" w:line="56" w:lineRule="exact"/>
        <w:rPr>
          <w:rFonts w:ascii="Calibri" w:cs="Calibri" w:eastAsia="Calibri" w:hAnsi="Calibri"/>
          <w:sz w:val="18"/>
          <w:szCs w:val="18"/>
          <w:i w:val="1"/>
          <w:iCs w:val="1"/>
          <w:color w:val="auto"/>
        </w:rPr>
      </w:pPr>
    </w:p>
    <w:p>
      <w:pPr>
        <w:ind w:left="820" w:right="540" w:hanging="229"/>
        <w:spacing w:after="0" w:line="235" w:lineRule="auto"/>
        <w:tabs>
          <w:tab w:leader="none" w:pos="816" w:val="left"/>
        </w:tabs>
        <w:numPr>
          <w:ilvl w:val="0"/>
          <w:numId w:val="3"/>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Data breaches and other cybersecurity incidents impactng our informaton technology operatons and infrastructure could compromise our intellectual property or other sensitve informaton, damage our operatons and cause signifcant harm to our business and reputaton.</w:t>
      </w:r>
    </w:p>
    <w:p>
      <w:pPr>
        <w:spacing w:after="0" w:line="55" w:lineRule="exact"/>
        <w:rPr>
          <w:rFonts w:ascii="Calibri" w:cs="Calibri" w:eastAsia="Calibri" w:hAnsi="Calibri"/>
          <w:sz w:val="18"/>
          <w:szCs w:val="18"/>
          <w:i w:val="1"/>
          <w:iCs w:val="1"/>
          <w:color w:val="auto"/>
        </w:rPr>
      </w:pPr>
    </w:p>
    <w:p>
      <w:pPr>
        <w:ind w:left="820" w:right="180" w:hanging="229"/>
        <w:spacing w:after="0" w:line="235" w:lineRule="auto"/>
        <w:tabs>
          <w:tab w:leader="none" w:pos="816" w:val="left"/>
        </w:tabs>
        <w:numPr>
          <w:ilvl w:val="0"/>
          <w:numId w:val="3"/>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If we are unable to adequately protect our intellectual property, third partes may be able to use our technology, which could adversely afect our ability to compete in the market.</w:t>
      </w:r>
    </w:p>
    <w:p>
      <w:pPr>
        <w:spacing w:after="0" w:line="55" w:lineRule="exact"/>
        <w:rPr>
          <w:rFonts w:ascii="Calibri" w:cs="Calibri" w:eastAsia="Calibri" w:hAnsi="Calibri"/>
          <w:sz w:val="18"/>
          <w:szCs w:val="18"/>
          <w:i w:val="1"/>
          <w:iCs w:val="1"/>
          <w:color w:val="auto"/>
        </w:rPr>
      </w:pPr>
    </w:p>
    <w:p>
      <w:pPr>
        <w:ind w:left="820" w:right="860" w:hanging="229"/>
        <w:spacing w:after="0" w:line="235" w:lineRule="auto"/>
        <w:tabs>
          <w:tab w:leader="none" w:pos="816" w:val="left"/>
        </w:tabs>
        <w:numPr>
          <w:ilvl w:val="0"/>
          <w:numId w:val="3"/>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The loss of key personnel or the inability to retain and, where necessary, atract additonal personnel could impair our ability to operate successfully.</w:t>
      </w:r>
    </w:p>
    <w:p>
      <w:pPr>
        <w:spacing w:after="0" w:line="55" w:lineRule="exact"/>
        <w:rPr>
          <w:rFonts w:ascii="Calibri" w:cs="Calibri" w:eastAsia="Calibri" w:hAnsi="Calibri"/>
          <w:sz w:val="18"/>
          <w:szCs w:val="18"/>
          <w:i w:val="1"/>
          <w:iCs w:val="1"/>
          <w:color w:val="auto"/>
        </w:rPr>
      </w:pPr>
    </w:p>
    <w:p>
      <w:pPr>
        <w:ind w:left="820" w:hanging="229"/>
        <w:spacing w:after="0" w:line="235" w:lineRule="auto"/>
        <w:tabs>
          <w:tab w:leader="none" w:pos="816" w:val="left"/>
        </w:tabs>
        <w:numPr>
          <w:ilvl w:val="0"/>
          <w:numId w:val="3"/>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Our goals and disclosures related to environmental, social and governance maters subjects us to risks, including risks to our market percepton and stock price.</w:t>
      </w:r>
    </w:p>
    <w:p>
      <w:pPr>
        <w:spacing w:after="0" w:line="15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BASIS OF PRESENTATION</w:t>
      </w:r>
    </w:p>
    <w:p>
      <w:pPr>
        <w:spacing w:after="0" w:line="163"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i w:val="1"/>
          <w:iCs w:val="1"/>
          <w:color w:val="auto"/>
        </w:rPr>
        <w:t>We have adopted a 52- or 53-week fscal year policy that generally ends on the Friday closest to December 31st. Fiscal year 2024, which was a 53-week fscal year, ended on January 3, 2025; fscal year 2023, which was a 52-week fscal year, ended on December 29, 2023; and fscal year 2022, which was a 52-week fscal year, ended on December 30, 2022. For convenience, references in this report as of and for the fscal years ended January 3, 2025, December 29, 2023 and December 30, 2022, are indicated as being as of and for the years ended December 31, 2024, 2023 and 2022, respectvely. In fscal year 2025, the annual period will end on January 2, 2026 and will be a 52-week fscal year.</w:t>
      </w:r>
    </w:p>
    <w:p>
      <w:pPr>
        <w:spacing w:after="0" w:line="1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63"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Exelixis, Inc. (Exelixis, we, our or us) is an oncology company innovatng next-generaton medicines and combinaton regimens at the forefront of cancer care. We have produced four marketed pharmaceutcal products, two of which are formulatons of our fagship molecule, cabozantnib, and we are steadily advancing and evolving our product pipeline portolio, including our lead investgatonal asset, zanzalintnib, currently the focus of an extensive late-stage clinical development program. With a ratonal and disciplined approach to investment, we are leveraging our internal experience and expertse, and the strength of strategic partnerships, to identfy and pursue opportunites across the landscape of scientfc modalites, including small molecules, biotherapeutcs and antbody-drug conjugates (ADCs).</w:t>
      </w:r>
    </w:p>
    <w:p>
      <w:pPr>
        <w:spacing w:after="0" w:line="167"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Sales related to cabozantnib account for the majority of our revenues. Cabozantnib is an inhibitor of multple tyrosine kinases, including MET, AXL, VEGF receptors and RET and has been approved by the U.S. Food and Drug Administraton (FDA) and in 67 other countries: as CABOMETYX® (cabozantnib) tablets for advanced renal cell carcinoma (RCC) (both alone and in combinaton with Bristol-Myers Squibb Company’s (BMS) nivolumab (OPDIVO®)), for previously treated hepatocellular carcinoma (HCC) and for previously treated, radioactve iodine (RAI)-refractory diferentated thyroid cancer (DTC); and as COMETRIQ® (cabozantnib) capsules for progressive, metastatc medullary thyroid cancer (MTC). For physicians treatng these types of cancer, cabozantnib has become or is becoming an important medicine in their selecton of efectve therapies.</w:t>
      </w:r>
    </w:p>
    <w:p>
      <w:pPr>
        <w:spacing w:after="0" w:line="167" w:lineRule="exact"/>
        <w:rPr>
          <w:sz w:val="20"/>
          <w:szCs w:val="20"/>
          <w:color w:val="auto"/>
        </w:rPr>
      </w:pPr>
    </w:p>
    <w:p>
      <w:pPr>
        <w:ind w:right="460" w:firstLine="648"/>
        <w:spacing w:after="0" w:line="235" w:lineRule="auto"/>
        <w:rPr>
          <w:sz w:val="20"/>
          <w:szCs w:val="20"/>
          <w:color w:val="auto"/>
        </w:rPr>
      </w:pPr>
      <w:r>
        <w:rPr>
          <w:rFonts w:ascii="Calibri" w:cs="Calibri" w:eastAsia="Calibri" w:hAnsi="Calibri"/>
          <w:sz w:val="18"/>
          <w:szCs w:val="18"/>
          <w:color w:val="auto"/>
        </w:rPr>
        <w:t>The other two products resultng from our discovery eforts are: COTELLIC® (cobimetnib), an inhibitor of MEK approved as part of multple combinaton regimens to treat specifc forms of advanced melanoma and marketed under a collaboraton with Genentech, Inc. (a member of the Roche Group) (Genentech); and MINNEBRO® (esaxerenone), an oral, non-steroidal, selectve blocker of the mineralocortcoid receptor (MR), approved for the treatment of hypertension in Japan and licensed to Daiichi Sankyo Company, Limited (Daiichi Sankyo). See “—Collaboratons and Business Development Actvites—Other Collaboratons.”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2024 was our eighth consecutve year of annual proftability; it featured growth in net product revenues of approximately 11% year-over-year as a result of increased sales of our cabozantnib products in the U.S., supplemented by an approximately 12% year-over-year increase in royaltes earned pursuant to collaboraton agreements with our ex-U.S. partners. We plan to contnue leveraging our operatng cash fows to advance a broad array of diverse biotherapeutcs and small molecule programs for the treatment of cancer, as well as to support ongoing company-sponsored and externally sponsored trials evaluatng cabozantnib. Furthest along in our pipeline is zanzalintnib, a novel, potent, third-generaton oral tyrosine kinase inhibitor (TKI) that targets VEGF receptors, MET and the TAM kinases (TYRO3, AXL and MER). Our zanzalintnib program includes a series of ongoing and planned pivotal trials to explore its therapeutc potental in colorectal cancer (CRC), RCC, non-clear cell (ncc)RCC, squamous cell cancers of the head and neck (SCCHN) and neuroendocrine tumors (NET), as well as earlier-stage trials. Our other pipeline programs in phase 1 development each have best-in-class potental and include: XL309, a small molecule inhibitor of USP1, which has emerged as a synthetc lethal target in the context of BRCA-mutated tumors; XB010, an ADC consistng of a monomethyl auristatn E (MMAE) payload conjugated to a monoclonal antbody (mAb) targetng the tumor antgen 5T4; and XL495, a small molecule inhibitor of PKMYT1. We complement our internal drug discovery and development eforts by in-licensing investgatonal oncology assets or obtaining optons to acquire other investgatonal oncology assets from third partes if they demonstrate evidence of clinical success. Examples of this approach include XL309 and ADU-1805, a clinical-stage and potentally best-in-class mAb that targets SIRPα.</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Exelixis Marketed Products: CABOMETYX and COMETRIQ</w:t>
      </w:r>
    </w:p>
    <w:p>
      <w:pPr>
        <w:spacing w:after="0" w:line="163" w:lineRule="exact"/>
        <w:rPr>
          <w:sz w:val="20"/>
          <w:szCs w:val="20"/>
          <w:color w:val="auto"/>
        </w:rPr>
      </w:pPr>
    </w:p>
    <w:p>
      <w:pPr>
        <w:jc w:val="both"/>
        <w:ind w:right="200" w:firstLine="648"/>
        <w:spacing w:after="0" w:line="235" w:lineRule="auto"/>
        <w:rPr>
          <w:sz w:val="20"/>
          <w:szCs w:val="20"/>
          <w:color w:val="auto"/>
        </w:rPr>
      </w:pPr>
      <w:r>
        <w:rPr>
          <w:rFonts w:ascii="Calibri" w:cs="Calibri" w:eastAsia="Calibri" w:hAnsi="Calibri"/>
          <w:sz w:val="18"/>
          <w:szCs w:val="18"/>
          <w:color w:val="auto"/>
        </w:rPr>
        <w:t>As detailed below, CABOMETYX and COMETRIQ have been approved to treat patents with various forms of cancer by the FDA for the U.S. market, the European Medicines Agency (EMA) for the European Union (EU) market and the Japanese Pharmaceutcals and Medical Devices Agency (PMDA) for the Japanese market, as well as by comparable regulatory authorites across other markets worldwide.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30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Calibri" w:cs="Calibri" w:eastAsia="Calibri" w:hAnsi="Calibri"/>
                <w:sz w:val="16"/>
                <w:szCs w:val="16"/>
                <w:b w:val="1"/>
                <w:bCs w:val="1"/>
                <w:color w:val="auto"/>
              </w:rPr>
              <w:t>Product</w:t>
            </w:r>
          </w:p>
        </w:tc>
        <w:tc>
          <w:tcPr>
            <w:tcW w:w="2780" w:type="dxa"/>
            <w:vAlign w:val="bottom"/>
            <w:tcBorders>
              <w:top w:val="single" w:sz="8" w:color="auto"/>
              <w:bottom w:val="single" w:sz="8" w:color="CCEEFF"/>
              <w:right w:val="single" w:sz="8" w:color="auto"/>
            </w:tcBorders>
            <w:shd w:val="clear" w:color="auto" w:fill="CCEEFF"/>
          </w:tcPr>
          <w:p>
            <w:pPr>
              <w:spacing w:after="0"/>
              <w:rPr>
                <w:sz w:val="20"/>
                <w:szCs w:val="20"/>
                <w:color w:val="auto"/>
              </w:rPr>
            </w:pPr>
            <w:r>
              <w:rPr>
                <w:rFonts w:ascii="Calibri" w:cs="Calibri" w:eastAsia="Calibri" w:hAnsi="Calibri"/>
                <w:sz w:val="16"/>
                <w:szCs w:val="16"/>
                <w:b w:val="1"/>
                <w:bCs w:val="1"/>
                <w:color w:val="auto"/>
              </w:rPr>
              <w:t>Indicaton</w:t>
            </w:r>
          </w:p>
        </w:tc>
        <w:tc>
          <w:tcPr>
            <w:tcW w:w="2020" w:type="dxa"/>
            <w:vAlign w:val="bottom"/>
            <w:tcBorders>
              <w:top w:val="single" w:sz="8" w:color="auto"/>
              <w:bottom w:val="single" w:sz="8" w:color="CCEEFF"/>
              <w:right w:val="single" w:sz="8" w:color="auto"/>
            </w:tcBorders>
            <w:shd w:val="clear" w:color="auto" w:fill="CCEEFF"/>
          </w:tcPr>
          <w:p>
            <w:pPr>
              <w:spacing w:after="0"/>
              <w:rPr>
                <w:sz w:val="20"/>
                <w:szCs w:val="20"/>
                <w:color w:val="auto"/>
              </w:rPr>
            </w:pPr>
            <w:r>
              <w:rPr>
                <w:rFonts w:ascii="Calibri" w:cs="Calibri" w:eastAsia="Calibri" w:hAnsi="Calibri"/>
                <w:sz w:val="16"/>
                <w:szCs w:val="16"/>
                <w:b w:val="1"/>
                <w:bCs w:val="1"/>
                <w:color w:val="auto"/>
              </w:rPr>
              <w:t>Approval Date</w:t>
            </w:r>
          </w:p>
        </w:tc>
        <w:tc>
          <w:tcPr>
            <w:tcW w:w="236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Calibri" w:cs="Calibri" w:eastAsia="Calibri" w:hAnsi="Calibri"/>
                <w:sz w:val="16"/>
                <w:szCs w:val="16"/>
                <w:b w:val="1"/>
                <w:bCs w:val="1"/>
                <w:color w:val="auto"/>
              </w:rPr>
              <w:t>Regimen</w:t>
            </w:r>
          </w:p>
        </w:tc>
        <w:tc>
          <w:tcPr>
            <w:tcW w:w="180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Calibri" w:cs="Calibri" w:eastAsia="Calibri" w:hAnsi="Calibri"/>
                <w:sz w:val="16"/>
                <w:szCs w:val="16"/>
                <w:b w:val="1"/>
                <w:bCs w:val="1"/>
                <w:color w:val="auto"/>
              </w:rPr>
              <w:t>Major Markets</w:t>
            </w:r>
          </w:p>
        </w:tc>
        <w:tc>
          <w:tcPr>
            <w:tcW w:w="0" w:type="dxa"/>
            <w:vAlign w:val="bottom"/>
          </w:tcPr>
          <w:p>
            <w:pPr>
              <w:spacing w:after="0"/>
              <w:rPr>
                <w:sz w:val="1"/>
                <w:szCs w:val="1"/>
                <w:color w:val="auto"/>
              </w:rPr>
            </w:pPr>
          </w:p>
        </w:tc>
      </w:tr>
      <w:tr>
        <w:trPr>
          <w:trHeight w:val="160"/>
        </w:trPr>
        <w:tc>
          <w:tcPr>
            <w:tcW w:w="2300" w:type="dxa"/>
            <w:vAlign w:val="bottom"/>
            <w:tcBorders>
              <w:top w:val="single" w:sz="8" w:color="auto"/>
              <w:left w:val="single" w:sz="8" w:color="auto"/>
              <w:right w:val="single" w:sz="8" w:color="auto"/>
            </w:tcBorders>
          </w:tcPr>
          <w:p>
            <w:pPr>
              <w:ind w:left="40"/>
              <w:spacing w:after="0" w:line="160" w:lineRule="exact"/>
              <w:rPr>
                <w:sz w:val="20"/>
                <w:szCs w:val="20"/>
                <w:color w:val="auto"/>
              </w:rPr>
            </w:pPr>
            <w:r>
              <w:rPr>
                <w:rFonts w:ascii="Calibri" w:cs="Calibri" w:eastAsia="Calibri" w:hAnsi="Calibri"/>
                <w:sz w:val="17"/>
                <w:szCs w:val="17"/>
                <w:color w:val="auto"/>
              </w:rPr>
              <w:t>CABOMETYX®</w:t>
            </w:r>
          </w:p>
        </w:tc>
        <w:tc>
          <w:tcPr>
            <w:tcW w:w="2780" w:type="dxa"/>
            <w:vAlign w:val="bottom"/>
            <w:tcBorders>
              <w:top w:val="single" w:sz="8" w:color="auto"/>
            </w:tcBorders>
          </w:tcPr>
          <w:p>
            <w:pPr>
              <w:spacing w:after="0" w:line="160" w:lineRule="exact"/>
              <w:rPr>
                <w:sz w:val="20"/>
                <w:szCs w:val="20"/>
                <w:color w:val="auto"/>
              </w:rPr>
            </w:pPr>
            <w:r>
              <w:rPr>
                <w:rFonts w:ascii="Calibri" w:cs="Calibri" w:eastAsia="Calibri" w:hAnsi="Calibri"/>
                <w:sz w:val="16"/>
                <w:szCs w:val="16"/>
                <w:b w:val="1"/>
                <w:bCs w:val="1"/>
                <w:color w:val="auto"/>
              </w:rPr>
              <w:t>Renal Cell Carcinoma (RCC)</w:t>
            </w:r>
          </w:p>
        </w:tc>
        <w:tc>
          <w:tcPr>
            <w:tcW w:w="20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spacing w:after="0"/>
              <w:rPr>
                <w:sz w:val="13"/>
                <w:szCs w:val="13"/>
                <w:color w:val="auto"/>
              </w:rPr>
            </w:pPr>
          </w:p>
        </w:tc>
        <w:tc>
          <w:tcPr>
            <w:tcW w:w="18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300" w:type="dxa"/>
            <w:vAlign w:val="bottom"/>
            <w:tcBorders>
              <w:left w:val="single" w:sz="8" w:color="auto"/>
              <w:right w:val="single" w:sz="8" w:color="auto"/>
            </w:tcBorders>
            <w:vMerge w:val="restart"/>
          </w:tcPr>
          <w:p>
            <w:pPr>
              <w:ind w:left="40"/>
              <w:spacing w:after="0" w:line="215" w:lineRule="exact"/>
              <w:rPr>
                <w:sz w:val="20"/>
                <w:szCs w:val="20"/>
                <w:color w:val="auto"/>
              </w:rPr>
            </w:pPr>
            <w:r>
              <w:rPr>
                <w:rFonts w:ascii="Calibri" w:cs="Calibri" w:eastAsia="Calibri" w:hAnsi="Calibri"/>
                <w:sz w:val="18"/>
                <w:szCs w:val="18"/>
                <w:color w:val="auto"/>
              </w:rPr>
              <w:t>(cabozantnib)</w:t>
            </w:r>
          </w:p>
        </w:tc>
        <w:tc>
          <w:tcPr>
            <w:tcW w:w="27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30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spacing w:after="0" w:line="201" w:lineRule="exact"/>
              <w:rPr>
                <w:sz w:val="20"/>
                <w:szCs w:val="20"/>
                <w:color w:val="auto"/>
              </w:rPr>
            </w:pPr>
            <w:r>
              <w:rPr>
                <w:rFonts w:ascii="Calibri" w:cs="Calibri" w:eastAsia="Calibri" w:hAnsi="Calibri"/>
                <w:sz w:val="18"/>
                <w:szCs w:val="18"/>
                <w:color w:val="auto"/>
                <w:w w:val="99"/>
              </w:rPr>
              <w:t>Patents with advanced RCC who have</w:t>
            </w:r>
          </w:p>
        </w:tc>
        <w:tc>
          <w:tcPr>
            <w:tcW w:w="2020" w:type="dxa"/>
            <w:vAlign w:val="bottom"/>
            <w:tcBorders>
              <w:right w:val="single" w:sz="8" w:color="auto"/>
            </w:tcBorders>
            <w:vMerge w:val="restart"/>
          </w:tcPr>
          <w:p>
            <w:pPr>
              <w:spacing w:after="0" w:line="201" w:lineRule="exact"/>
              <w:rPr>
                <w:sz w:val="20"/>
                <w:szCs w:val="20"/>
                <w:color w:val="auto"/>
              </w:rPr>
            </w:pPr>
            <w:r>
              <w:rPr>
                <w:rFonts w:ascii="Calibri" w:cs="Calibri" w:eastAsia="Calibri" w:hAnsi="Calibri"/>
                <w:sz w:val="18"/>
                <w:szCs w:val="18"/>
                <w:color w:val="auto"/>
              </w:rPr>
              <w:t>April 25, 2016</w:t>
            </w:r>
          </w:p>
        </w:tc>
        <w:tc>
          <w:tcPr>
            <w:tcW w:w="2360" w:type="dxa"/>
            <w:vAlign w:val="bottom"/>
            <w:tcBorders>
              <w:right w:val="single" w:sz="8" w:color="auto"/>
            </w:tcBorders>
            <w:vMerge w:val="restart"/>
          </w:tcPr>
          <w:p>
            <w:pPr>
              <w:ind w:left="20"/>
              <w:spacing w:after="0" w:line="201" w:lineRule="exact"/>
              <w:rPr>
                <w:sz w:val="20"/>
                <w:szCs w:val="20"/>
                <w:color w:val="auto"/>
              </w:rPr>
            </w:pPr>
            <w:r>
              <w:rPr>
                <w:rFonts w:ascii="Calibri" w:cs="Calibri" w:eastAsia="Calibri" w:hAnsi="Calibri"/>
                <w:sz w:val="18"/>
                <w:szCs w:val="18"/>
                <w:color w:val="auto"/>
              </w:rPr>
              <w:t>Monotherapy</w:t>
            </w:r>
          </w:p>
        </w:tc>
        <w:tc>
          <w:tcPr>
            <w:tcW w:w="1800" w:type="dxa"/>
            <w:vAlign w:val="bottom"/>
            <w:tcBorders>
              <w:right w:val="single" w:sz="8" w:color="auto"/>
            </w:tcBorders>
            <w:vMerge w:val="restart"/>
          </w:tcPr>
          <w:p>
            <w:pPr>
              <w:ind w:left="20"/>
              <w:spacing w:after="0" w:line="201" w:lineRule="exact"/>
              <w:rPr>
                <w:sz w:val="20"/>
                <w:szCs w:val="20"/>
                <w:color w:val="auto"/>
              </w:rPr>
            </w:pPr>
            <w:r>
              <w:rPr>
                <w:rFonts w:ascii="Calibri" w:cs="Calibri" w:eastAsia="Calibri" w:hAnsi="Calibri"/>
                <w:sz w:val="18"/>
                <w:szCs w:val="18"/>
                <w:color w:val="auto"/>
              </w:rPr>
              <w:t>U.S.</w:t>
            </w:r>
          </w:p>
        </w:tc>
        <w:tc>
          <w:tcPr>
            <w:tcW w:w="0" w:type="dxa"/>
            <w:vAlign w:val="bottom"/>
          </w:tcPr>
          <w:p>
            <w:pPr>
              <w:spacing w:after="0"/>
              <w:rPr>
                <w:sz w:val="1"/>
                <w:szCs w:val="1"/>
                <w:color w:val="auto"/>
              </w:rPr>
            </w:pPr>
          </w:p>
        </w:tc>
      </w:tr>
      <w:tr>
        <w:trPr>
          <w:trHeight w:val="82"/>
        </w:trPr>
        <w:tc>
          <w:tcPr>
            <w:tcW w:w="2300" w:type="dxa"/>
            <w:vAlign w:val="bottom"/>
            <w:tcBorders>
              <w:left w:val="single" w:sz="8" w:color="auto"/>
              <w:right w:val="single" w:sz="8" w:color="auto"/>
            </w:tcBorders>
          </w:tcPr>
          <w:p>
            <w:pPr>
              <w:spacing w:after="0"/>
              <w:rPr>
                <w:sz w:val="7"/>
                <w:szCs w:val="7"/>
                <w:color w:val="auto"/>
              </w:rPr>
            </w:pPr>
          </w:p>
        </w:tc>
        <w:tc>
          <w:tcPr>
            <w:tcW w:w="2780" w:type="dxa"/>
            <w:vAlign w:val="bottom"/>
            <w:tcBorders>
              <w:right w:val="single" w:sz="8" w:color="auto"/>
            </w:tcBorders>
            <w:vMerge w:val="continue"/>
          </w:tcPr>
          <w:p>
            <w:pPr>
              <w:spacing w:after="0"/>
              <w:rPr>
                <w:sz w:val="7"/>
                <w:szCs w:val="7"/>
                <w:color w:val="auto"/>
              </w:rPr>
            </w:pPr>
          </w:p>
        </w:tc>
        <w:tc>
          <w:tcPr>
            <w:tcW w:w="2020" w:type="dxa"/>
            <w:vAlign w:val="bottom"/>
            <w:tcBorders>
              <w:right w:val="single" w:sz="8" w:color="auto"/>
            </w:tcBorders>
            <w:vMerge w:val="continue"/>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w w:val="99"/>
              </w:rPr>
              <w:t>received prior ant-angiogenic therapy</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300" w:type="dxa"/>
            <w:vAlign w:val="bottom"/>
            <w:tcBorders>
              <w:left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3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1" w:lineRule="exact"/>
              <w:rPr>
                <w:sz w:val="20"/>
                <w:szCs w:val="20"/>
                <w:color w:val="auto"/>
              </w:rPr>
            </w:pPr>
            <w:r>
              <w:rPr>
                <w:rFonts w:ascii="Calibri" w:cs="Calibri" w:eastAsia="Calibri" w:hAnsi="Calibri"/>
                <w:sz w:val="18"/>
                <w:szCs w:val="18"/>
                <w:color w:val="auto"/>
              </w:rPr>
              <w:t>Advanced RCC in adults following</w:t>
            </w:r>
          </w:p>
        </w:tc>
        <w:tc>
          <w:tcPr>
            <w:tcW w:w="2020" w:type="dxa"/>
            <w:vAlign w:val="bottom"/>
            <w:tcBorders>
              <w:right w:val="single" w:sz="8" w:color="auto"/>
            </w:tcBorders>
          </w:tcPr>
          <w:p>
            <w:pPr>
              <w:spacing w:after="0" w:line="201" w:lineRule="exact"/>
              <w:rPr>
                <w:sz w:val="20"/>
                <w:szCs w:val="20"/>
                <w:color w:val="auto"/>
              </w:rPr>
            </w:pPr>
            <w:r>
              <w:rPr>
                <w:rFonts w:ascii="Calibri" w:cs="Calibri" w:eastAsia="Calibri" w:hAnsi="Calibri"/>
                <w:sz w:val="18"/>
                <w:szCs w:val="18"/>
                <w:color w:val="auto"/>
              </w:rPr>
              <w:t>September 9, 2016</w:t>
            </w:r>
          </w:p>
        </w:tc>
        <w:tc>
          <w:tcPr>
            <w:tcW w:w="2360" w:type="dxa"/>
            <w:vAlign w:val="bottom"/>
            <w:tcBorders>
              <w:right w:val="single" w:sz="8" w:color="auto"/>
            </w:tcBorders>
          </w:tcPr>
          <w:p>
            <w:pPr>
              <w:ind w:left="20"/>
              <w:spacing w:after="0" w:line="201" w:lineRule="exact"/>
              <w:rPr>
                <w:sz w:val="20"/>
                <w:szCs w:val="20"/>
                <w:color w:val="auto"/>
              </w:rPr>
            </w:pPr>
            <w:r>
              <w:rPr>
                <w:rFonts w:ascii="Calibri" w:cs="Calibri" w:eastAsia="Calibri" w:hAnsi="Calibri"/>
                <w:sz w:val="18"/>
                <w:szCs w:val="18"/>
                <w:color w:val="auto"/>
              </w:rPr>
              <w:t>Monotherapy</w:t>
            </w:r>
          </w:p>
        </w:tc>
        <w:tc>
          <w:tcPr>
            <w:tcW w:w="1800" w:type="dxa"/>
            <w:vAlign w:val="bottom"/>
            <w:tcBorders>
              <w:right w:val="single" w:sz="8" w:color="auto"/>
            </w:tcBorders>
          </w:tcPr>
          <w:p>
            <w:pPr>
              <w:ind w:left="20"/>
              <w:spacing w:after="0" w:line="201" w:lineRule="exact"/>
              <w:rPr>
                <w:sz w:val="20"/>
                <w:szCs w:val="20"/>
                <w:color w:val="auto"/>
              </w:rPr>
            </w:pPr>
            <w:r>
              <w:rPr>
                <w:rFonts w:ascii="Calibri" w:cs="Calibri" w:eastAsia="Calibri" w:hAnsi="Calibri"/>
                <w:sz w:val="18"/>
                <w:szCs w:val="18"/>
                <w:color w:val="auto"/>
              </w:rPr>
              <w:t>EU</w:t>
            </w: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prior VEGF-targeted therapy</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300" w:type="dxa"/>
            <w:vAlign w:val="bottom"/>
            <w:tcBorders>
              <w:left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Patents with advanced RCC</w:t>
            </w:r>
          </w:p>
        </w:tc>
        <w:tc>
          <w:tcPr>
            <w:tcW w:w="2020" w:type="dxa"/>
            <w:vAlign w:val="bottom"/>
            <w:tcBorders>
              <w:right w:val="single" w:sz="8" w:color="auto"/>
            </w:tcBorders>
          </w:tcPr>
          <w:p>
            <w:pPr>
              <w:spacing w:after="0" w:line="208" w:lineRule="exact"/>
              <w:rPr>
                <w:sz w:val="20"/>
                <w:szCs w:val="20"/>
                <w:color w:val="auto"/>
              </w:rPr>
            </w:pPr>
            <w:r>
              <w:rPr>
                <w:rFonts w:ascii="Calibri" w:cs="Calibri" w:eastAsia="Calibri" w:hAnsi="Calibri"/>
                <w:sz w:val="18"/>
                <w:szCs w:val="18"/>
                <w:color w:val="auto"/>
              </w:rPr>
              <w:t>December 19, 2017</w:t>
            </w:r>
          </w:p>
        </w:tc>
        <w:tc>
          <w:tcPr>
            <w:tcW w:w="236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Monotherapy</w:t>
            </w:r>
          </w:p>
        </w:tc>
        <w:tc>
          <w:tcPr>
            <w:tcW w:w="1800" w:type="dxa"/>
            <w:vAlign w:val="bottom"/>
            <w:tcBorders>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U.S.</w:t>
            </w:r>
          </w:p>
        </w:tc>
        <w:tc>
          <w:tcPr>
            <w:tcW w:w="0" w:type="dxa"/>
            <w:vAlign w:val="bottom"/>
          </w:tcPr>
          <w:p>
            <w:pPr>
              <w:spacing w:after="0"/>
              <w:rPr>
                <w:sz w:val="1"/>
                <w:szCs w:val="1"/>
                <w:color w:val="auto"/>
              </w:rPr>
            </w:pPr>
          </w:p>
        </w:tc>
      </w:tr>
      <w:tr>
        <w:trPr>
          <w:trHeight w:val="28"/>
        </w:trPr>
        <w:tc>
          <w:tcPr>
            <w:tcW w:w="2300" w:type="dxa"/>
            <w:vAlign w:val="bottom"/>
            <w:tcBorders>
              <w:left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1" w:lineRule="exact"/>
              <w:rPr>
                <w:sz w:val="20"/>
                <w:szCs w:val="20"/>
                <w:color w:val="auto"/>
              </w:rPr>
            </w:pPr>
            <w:r>
              <w:rPr>
                <w:rFonts w:ascii="Calibri" w:cs="Calibri" w:eastAsia="Calibri" w:hAnsi="Calibri"/>
                <w:sz w:val="18"/>
                <w:szCs w:val="18"/>
                <w:color w:val="auto"/>
              </w:rPr>
              <w:t>First-line treatment of adults with</w:t>
            </w:r>
          </w:p>
        </w:tc>
        <w:tc>
          <w:tcPr>
            <w:tcW w:w="2020" w:type="dxa"/>
            <w:vAlign w:val="bottom"/>
            <w:tcBorders>
              <w:right w:val="single" w:sz="8" w:color="auto"/>
            </w:tcBorders>
          </w:tcPr>
          <w:p>
            <w:pPr>
              <w:spacing w:after="0" w:line="201" w:lineRule="exact"/>
              <w:rPr>
                <w:sz w:val="20"/>
                <w:szCs w:val="20"/>
                <w:color w:val="auto"/>
              </w:rPr>
            </w:pPr>
            <w:r>
              <w:rPr>
                <w:rFonts w:ascii="Calibri" w:cs="Calibri" w:eastAsia="Calibri" w:hAnsi="Calibri"/>
                <w:sz w:val="18"/>
                <w:szCs w:val="18"/>
                <w:color w:val="auto"/>
              </w:rPr>
              <w:t>May 17, 2018</w:t>
            </w:r>
          </w:p>
        </w:tc>
        <w:tc>
          <w:tcPr>
            <w:tcW w:w="2360" w:type="dxa"/>
            <w:vAlign w:val="bottom"/>
            <w:tcBorders>
              <w:right w:val="single" w:sz="8" w:color="auto"/>
            </w:tcBorders>
          </w:tcPr>
          <w:p>
            <w:pPr>
              <w:ind w:left="20"/>
              <w:spacing w:after="0" w:line="201" w:lineRule="exact"/>
              <w:rPr>
                <w:sz w:val="20"/>
                <w:szCs w:val="20"/>
                <w:color w:val="auto"/>
              </w:rPr>
            </w:pPr>
            <w:r>
              <w:rPr>
                <w:rFonts w:ascii="Calibri" w:cs="Calibri" w:eastAsia="Calibri" w:hAnsi="Calibri"/>
                <w:sz w:val="18"/>
                <w:szCs w:val="18"/>
                <w:color w:val="auto"/>
              </w:rPr>
              <w:t>Monotherapy</w:t>
            </w:r>
          </w:p>
        </w:tc>
        <w:tc>
          <w:tcPr>
            <w:tcW w:w="1800" w:type="dxa"/>
            <w:vAlign w:val="bottom"/>
            <w:tcBorders>
              <w:right w:val="single" w:sz="8" w:color="auto"/>
            </w:tcBorders>
          </w:tcPr>
          <w:p>
            <w:pPr>
              <w:ind w:left="20"/>
              <w:spacing w:after="0" w:line="201" w:lineRule="exact"/>
              <w:rPr>
                <w:sz w:val="20"/>
                <w:szCs w:val="20"/>
                <w:color w:val="auto"/>
              </w:rPr>
            </w:pPr>
            <w:r>
              <w:rPr>
                <w:rFonts w:ascii="Calibri" w:cs="Calibri" w:eastAsia="Calibri" w:hAnsi="Calibri"/>
                <w:sz w:val="18"/>
                <w:szCs w:val="18"/>
                <w:color w:val="auto"/>
              </w:rPr>
              <w:t>EU</w:t>
            </w: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intermediate- or poor-risk advanced</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6" w:lineRule="exact"/>
              <w:rPr>
                <w:sz w:val="20"/>
                <w:szCs w:val="20"/>
                <w:color w:val="auto"/>
              </w:rPr>
            </w:pPr>
            <w:r>
              <w:rPr>
                <w:rFonts w:ascii="Calibri" w:cs="Calibri" w:eastAsia="Calibri" w:hAnsi="Calibri"/>
                <w:sz w:val="18"/>
                <w:szCs w:val="18"/>
                <w:color w:val="auto"/>
              </w:rPr>
              <w:t>RCC</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300" w:type="dxa"/>
            <w:vAlign w:val="bottom"/>
            <w:tcBorders>
              <w:left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300" w:type="dxa"/>
            <w:vAlign w:val="bottom"/>
            <w:tcBorders>
              <w:left w:val="single" w:sz="8" w:color="auto"/>
              <w:right w:val="single" w:sz="8" w:color="auto"/>
            </w:tcBorders>
          </w:tcPr>
          <w:p>
            <w:pPr>
              <w:spacing w:after="0"/>
              <w:rPr>
                <w:sz w:val="13"/>
                <w:szCs w:val="13"/>
                <w:color w:val="auto"/>
              </w:rPr>
            </w:pPr>
          </w:p>
        </w:tc>
        <w:tc>
          <w:tcPr>
            <w:tcW w:w="278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Patents with curatvely unresectable</w:t>
            </w:r>
          </w:p>
        </w:tc>
        <w:tc>
          <w:tcPr>
            <w:tcW w:w="202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March 25, 2020</w:t>
            </w:r>
          </w:p>
        </w:tc>
        <w:tc>
          <w:tcPr>
            <w:tcW w:w="236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Monotherapy</w:t>
            </w:r>
          </w:p>
        </w:tc>
        <w:tc>
          <w:tcPr>
            <w:tcW w:w="180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Japan</w:t>
            </w: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or metastatc RCC</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300" w:type="dxa"/>
            <w:vAlign w:val="bottom"/>
            <w:tcBorders>
              <w:left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300" w:type="dxa"/>
            <w:vAlign w:val="bottom"/>
            <w:tcBorders>
              <w:left w:val="single" w:sz="8" w:color="auto"/>
              <w:right w:val="single" w:sz="8" w:color="auto"/>
            </w:tcBorders>
          </w:tcPr>
          <w:p>
            <w:pPr>
              <w:spacing w:after="0"/>
              <w:rPr>
                <w:sz w:val="13"/>
                <w:szCs w:val="13"/>
                <w:color w:val="auto"/>
              </w:rPr>
            </w:pPr>
          </w:p>
        </w:tc>
        <w:tc>
          <w:tcPr>
            <w:tcW w:w="278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First-line treatment of patents with</w:t>
            </w:r>
          </w:p>
        </w:tc>
        <w:tc>
          <w:tcPr>
            <w:tcW w:w="202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January 22, 2021</w:t>
            </w:r>
          </w:p>
        </w:tc>
        <w:tc>
          <w:tcPr>
            <w:tcW w:w="236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Combinaton with nivolumab</w:t>
            </w:r>
          </w:p>
        </w:tc>
        <w:tc>
          <w:tcPr>
            <w:tcW w:w="180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U.S.</w:t>
            </w: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advanced RCC</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300" w:type="dxa"/>
            <w:vAlign w:val="bottom"/>
            <w:tcBorders>
              <w:left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300" w:type="dxa"/>
            <w:vAlign w:val="bottom"/>
            <w:tcBorders>
              <w:left w:val="single" w:sz="8" w:color="auto"/>
              <w:right w:val="single" w:sz="8" w:color="auto"/>
            </w:tcBorders>
          </w:tcPr>
          <w:p>
            <w:pPr>
              <w:spacing w:after="0"/>
              <w:rPr>
                <w:sz w:val="13"/>
                <w:szCs w:val="13"/>
                <w:color w:val="auto"/>
              </w:rPr>
            </w:pPr>
          </w:p>
        </w:tc>
        <w:tc>
          <w:tcPr>
            <w:tcW w:w="278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First-line treatment for patents with</w:t>
            </w:r>
          </w:p>
        </w:tc>
        <w:tc>
          <w:tcPr>
            <w:tcW w:w="202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March 31, 2021</w:t>
            </w:r>
          </w:p>
        </w:tc>
        <w:tc>
          <w:tcPr>
            <w:tcW w:w="236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Combinaton with nivolumab</w:t>
            </w:r>
          </w:p>
        </w:tc>
        <w:tc>
          <w:tcPr>
            <w:tcW w:w="180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EU</w:t>
            </w: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advanced RCC</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300" w:type="dxa"/>
            <w:vAlign w:val="bottom"/>
            <w:tcBorders>
              <w:left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300" w:type="dxa"/>
            <w:vAlign w:val="bottom"/>
            <w:tcBorders>
              <w:left w:val="single" w:sz="8" w:color="auto"/>
              <w:right w:val="single" w:sz="8" w:color="auto"/>
            </w:tcBorders>
          </w:tcPr>
          <w:p>
            <w:pPr>
              <w:spacing w:after="0"/>
              <w:rPr>
                <w:sz w:val="13"/>
                <w:szCs w:val="13"/>
                <w:color w:val="auto"/>
              </w:rPr>
            </w:pPr>
          </w:p>
        </w:tc>
        <w:tc>
          <w:tcPr>
            <w:tcW w:w="278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Patents with unresectable or</w:t>
            </w:r>
          </w:p>
        </w:tc>
        <w:tc>
          <w:tcPr>
            <w:tcW w:w="202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August 25, 2021</w:t>
            </w:r>
          </w:p>
        </w:tc>
        <w:tc>
          <w:tcPr>
            <w:tcW w:w="236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Combinaton with nivolumab</w:t>
            </w:r>
          </w:p>
        </w:tc>
        <w:tc>
          <w:tcPr>
            <w:tcW w:w="180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Japan</w:t>
            </w: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metastatc RCC</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300" w:type="dxa"/>
            <w:vAlign w:val="bottom"/>
            <w:tcBorders>
              <w:left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00" w:type="dxa"/>
            <w:vAlign w:val="bottom"/>
            <w:tcBorders>
              <w:left w:val="single" w:sz="8" w:color="auto"/>
              <w:right w:val="single" w:sz="8" w:color="auto"/>
            </w:tcBorders>
          </w:tcPr>
          <w:p>
            <w:pPr>
              <w:spacing w:after="0"/>
              <w:rPr>
                <w:sz w:val="16"/>
                <w:szCs w:val="16"/>
                <w:color w:val="auto"/>
              </w:rPr>
            </w:pPr>
          </w:p>
        </w:tc>
        <w:tc>
          <w:tcPr>
            <w:tcW w:w="2780" w:type="dxa"/>
            <w:vAlign w:val="bottom"/>
          </w:tcPr>
          <w:p>
            <w:pPr>
              <w:spacing w:after="0" w:line="187" w:lineRule="exact"/>
              <w:rPr>
                <w:sz w:val="20"/>
                <w:szCs w:val="20"/>
                <w:color w:val="auto"/>
              </w:rPr>
            </w:pPr>
            <w:r>
              <w:rPr>
                <w:rFonts w:ascii="Calibri" w:cs="Calibri" w:eastAsia="Calibri" w:hAnsi="Calibri"/>
                <w:sz w:val="16"/>
                <w:szCs w:val="16"/>
                <w:b w:val="1"/>
                <w:bCs w:val="1"/>
                <w:color w:val="auto"/>
              </w:rPr>
              <w:t>Hepatocellular Carcinoma (HCC)</w:t>
            </w:r>
          </w:p>
        </w:tc>
        <w:tc>
          <w:tcPr>
            <w:tcW w:w="20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300" w:type="dxa"/>
            <w:vAlign w:val="bottom"/>
            <w:tcBorders>
              <w:left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300" w:type="dxa"/>
            <w:vAlign w:val="bottom"/>
            <w:tcBorders>
              <w:left w:val="single" w:sz="8" w:color="auto"/>
              <w:right w:val="single" w:sz="8" w:color="auto"/>
            </w:tcBorders>
          </w:tcPr>
          <w:p>
            <w:pPr>
              <w:spacing w:after="0"/>
              <w:rPr>
                <w:sz w:val="13"/>
                <w:szCs w:val="13"/>
                <w:color w:val="auto"/>
              </w:rPr>
            </w:pPr>
          </w:p>
        </w:tc>
        <w:tc>
          <w:tcPr>
            <w:tcW w:w="278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HCC in adults who have previously</w:t>
            </w:r>
          </w:p>
        </w:tc>
        <w:tc>
          <w:tcPr>
            <w:tcW w:w="202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November 15, 2018</w:t>
            </w:r>
          </w:p>
        </w:tc>
        <w:tc>
          <w:tcPr>
            <w:tcW w:w="236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Monotherapy</w:t>
            </w:r>
          </w:p>
        </w:tc>
        <w:tc>
          <w:tcPr>
            <w:tcW w:w="180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EU</w:t>
            </w: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been treated with sorafenib</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300" w:type="dxa"/>
            <w:vAlign w:val="bottom"/>
            <w:tcBorders>
              <w:left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300" w:type="dxa"/>
            <w:vAlign w:val="bottom"/>
            <w:tcBorders>
              <w:left w:val="single" w:sz="8" w:color="auto"/>
              <w:right w:val="single" w:sz="8" w:color="auto"/>
            </w:tcBorders>
          </w:tcPr>
          <w:p>
            <w:pPr>
              <w:spacing w:after="0"/>
              <w:rPr>
                <w:sz w:val="13"/>
                <w:szCs w:val="13"/>
                <w:color w:val="auto"/>
              </w:rPr>
            </w:pPr>
          </w:p>
        </w:tc>
        <w:tc>
          <w:tcPr>
            <w:tcW w:w="278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Patents with HCC who have been</w:t>
            </w:r>
          </w:p>
        </w:tc>
        <w:tc>
          <w:tcPr>
            <w:tcW w:w="202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January 14, 2019</w:t>
            </w:r>
          </w:p>
        </w:tc>
        <w:tc>
          <w:tcPr>
            <w:tcW w:w="236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Monotherapy</w:t>
            </w:r>
          </w:p>
        </w:tc>
        <w:tc>
          <w:tcPr>
            <w:tcW w:w="180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U.S.</w:t>
            </w: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previously treated with sorafenib</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300" w:type="dxa"/>
            <w:vAlign w:val="bottom"/>
            <w:tcBorders>
              <w:left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300" w:type="dxa"/>
            <w:vAlign w:val="bottom"/>
            <w:tcBorders>
              <w:left w:val="single" w:sz="8" w:color="auto"/>
              <w:right w:val="single" w:sz="8" w:color="auto"/>
            </w:tcBorders>
          </w:tcPr>
          <w:p>
            <w:pPr>
              <w:spacing w:after="0"/>
              <w:rPr>
                <w:sz w:val="13"/>
                <w:szCs w:val="13"/>
                <w:color w:val="auto"/>
              </w:rPr>
            </w:pPr>
          </w:p>
        </w:tc>
        <w:tc>
          <w:tcPr>
            <w:tcW w:w="278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Patents with unresectable HCC that</w:t>
            </w:r>
          </w:p>
        </w:tc>
        <w:tc>
          <w:tcPr>
            <w:tcW w:w="202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November 27, 2020</w:t>
            </w:r>
          </w:p>
        </w:tc>
        <w:tc>
          <w:tcPr>
            <w:tcW w:w="236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Monotherapy</w:t>
            </w:r>
          </w:p>
        </w:tc>
        <w:tc>
          <w:tcPr>
            <w:tcW w:w="180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Japan</w:t>
            </w: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right w:val="single" w:sz="8" w:color="auto"/>
            </w:tcBorders>
          </w:tcPr>
          <w:p>
            <w:pPr>
              <w:spacing w:after="0"/>
              <w:rPr>
                <w:sz w:val="16"/>
                <w:szCs w:val="16"/>
                <w:color w:val="auto"/>
              </w:rPr>
            </w:pPr>
          </w:p>
        </w:tc>
        <w:tc>
          <w:tcPr>
            <w:tcW w:w="2780" w:type="dxa"/>
            <w:vAlign w:val="bottom"/>
            <w:tcBorders>
              <w:right w:val="single" w:sz="8" w:color="auto"/>
            </w:tcBorders>
          </w:tcPr>
          <w:p>
            <w:pPr>
              <w:spacing w:after="0" w:line="189" w:lineRule="exact"/>
              <w:rPr>
                <w:sz w:val="20"/>
                <w:szCs w:val="20"/>
                <w:color w:val="auto"/>
              </w:rPr>
            </w:pPr>
            <w:r>
              <w:rPr>
                <w:rFonts w:ascii="Calibri" w:cs="Calibri" w:eastAsia="Calibri" w:hAnsi="Calibri"/>
                <w:sz w:val="18"/>
                <w:szCs w:val="18"/>
                <w:color w:val="auto"/>
              </w:rPr>
              <w:t>has progressed afer cancer</w:t>
            </w:r>
          </w:p>
        </w:tc>
        <w:tc>
          <w:tcPr>
            <w:tcW w:w="20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chemotherapy</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300" w:type="dxa"/>
            <w:vAlign w:val="bottom"/>
            <w:tcBorders>
              <w:left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300" w:type="dxa"/>
            <w:vAlign w:val="bottom"/>
            <w:tcBorders>
              <w:left w:val="single" w:sz="8" w:color="auto"/>
              <w:right w:val="single" w:sz="8" w:color="auto"/>
            </w:tcBorders>
          </w:tcPr>
          <w:p>
            <w:pPr>
              <w:spacing w:after="0"/>
              <w:rPr>
                <w:sz w:val="16"/>
                <w:szCs w:val="16"/>
                <w:color w:val="auto"/>
              </w:rPr>
            </w:pPr>
          </w:p>
        </w:tc>
        <w:tc>
          <w:tcPr>
            <w:tcW w:w="2780" w:type="dxa"/>
            <w:vAlign w:val="bottom"/>
          </w:tcPr>
          <w:p>
            <w:pPr>
              <w:spacing w:after="0" w:line="187" w:lineRule="exact"/>
              <w:rPr>
                <w:sz w:val="20"/>
                <w:szCs w:val="20"/>
                <w:color w:val="auto"/>
              </w:rPr>
            </w:pPr>
            <w:r>
              <w:rPr>
                <w:rFonts w:ascii="Calibri" w:cs="Calibri" w:eastAsia="Calibri" w:hAnsi="Calibri"/>
                <w:sz w:val="16"/>
                <w:szCs w:val="16"/>
                <w:b w:val="1"/>
                <w:bCs w:val="1"/>
                <w:color w:val="auto"/>
              </w:rPr>
              <w:t>Diferentated Thyroid Cancer (DTC)</w:t>
            </w:r>
          </w:p>
        </w:tc>
        <w:tc>
          <w:tcPr>
            <w:tcW w:w="20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300" w:type="dxa"/>
            <w:vAlign w:val="bottom"/>
            <w:tcBorders>
              <w:left w:val="single" w:sz="8" w:color="auto"/>
              <w:right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300" w:type="dxa"/>
            <w:vAlign w:val="bottom"/>
            <w:tcBorders>
              <w:left w:val="single" w:sz="8" w:color="auto"/>
              <w:right w:val="single" w:sz="8" w:color="auto"/>
            </w:tcBorders>
          </w:tcPr>
          <w:p>
            <w:pPr>
              <w:spacing w:after="0"/>
              <w:rPr>
                <w:sz w:val="16"/>
                <w:szCs w:val="16"/>
                <w:color w:val="auto"/>
              </w:rPr>
            </w:pPr>
          </w:p>
        </w:tc>
        <w:tc>
          <w:tcPr>
            <w:tcW w:w="2780" w:type="dxa"/>
            <w:vAlign w:val="bottom"/>
            <w:tcBorders>
              <w:right w:val="single" w:sz="8" w:color="auto"/>
            </w:tcBorders>
          </w:tcPr>
          <w:p>
            <w:pPr>
              <w:spacing w:after="0" w:line="187" w:lineRule="exact"/>
              <w:rPr>
                <w:sz w:val="20"/>
                <w:szCs w:val="20"/>
                <w:color w:val="auto"/>
              </w:rPr>
            </w:pPr>
            <w:r>
              <w:rPr>
                <w:rFonts w:ascii="Calibri" w:cs="Calibri" w:eastAsia="Calibri" w:hAnsi="Calibri"/>
                <w:sz w:val="18"/>
                <w:szCs w:val="18"/>
                <w:color w:val="auto"/>
              </w:rPr>
              <w:t>Adult and pediatric patents 12 years</w:t>
            </w:r>
          </w:p>
        </w:tc>
        <w:tc>
          <w:tcPr>
            <w:tcW w:w="2020" w:type="dxa"/>
            <w:vAlign w:val="bottom"/>
            <w:tcBorders>
              <w:right w:val="single" w:sz="8" w:color="auto"/>
            </w:tcBorders>
          </w:tcPr>
          <w:p>
            <w:pPr>
              <w:spacing w:after="0" w:line="187" w:lineRule="exact"/>
              <w:rPr>
                <w:sz w:val="20"/>
                <w:szCs w:val="20"/>
                <w:color w:val="auto"/>
              </w:rPr>
            </w:pPr>
            <w:r>
              <w:rPr>
                <w:rFonts w:ascii="Calibri" w:cs="Calibri" w:eastAsia="Calibri" w:hAnsi="Calibri"/>
                <w:sz w:val="18"/>
                <w:szCs w:val="18"/>
                <w:color w:val="auto"/>
              </w:rPr>
              <w:t>September 17, 2021</w:t>
            </w:r>
          </w:p>
        </w:tc>
        <w:tc>
          <w:tcPr>
            <w:tcW w:w="2360" w:type="dxa"/>
            <w:vAlign w:val="bottom"/>
            <w:tcBorders>
              <w:right w:val="single" w:sz="8" w:color="auto"/>
            </w:tcBorders>
          </w:tcPr>
          <w:p>
            <w:pPr>
              <w:ind w:left="20"/>
              <w:spacing w:after="0" w:line="187" w:lineRule="exact"/>
              <w:rPr>
                <w:sz w:val="20"/>
                <w:szCs w:val="20"/>
                <w:color w:val="auto"/>
              </w:rPr>
            </w:pPr>
            <w:r>
              <w:rPr>
                <w:rFonts w:ascii="Calibri" w:cs="Calibri" w:eastAsia="Calibri" w:hAnsi="Calibri"/>
                <w:sz w:val="18"/>
                <w:szCs w:val="18"/>
                <w:color w:val="auto"/>
              </w:rPr>
              <w:t>Monotherapy</w:t>
            </w:r>
          </w:p>
        </w:tc>
        <w:tc>
          <w:tcPr>
            <w:tcW w:w="1800" w:type="dxa"/>
            <w:vAlign w:val="bottom"/>
            <w:tcBorders>
              <w:right w:val="single" w:sz="8" w:color="auto"/>
            </w:tcBorders>
          </w:tcPr>
          <w:p>
            <w:pPr>
              <w:ind w:left="20"/>
              <w:spacing w:after="0" w:line="187" w:lineRule="exact"/>
              <w:rPr>
                <w:sz w:val="20"/>
                <w:szCs w:val="20"/>
                <w:color w:val="auto"/>
              </w:rPr>
            </w:pPr>
            <w:r>
              <w:rPr>
                <w:rFonts w:ascii="Calibri" w:cs="Calibri" w:eastAsia="Calibri" w:hAnsi="Calibri"/>
                <w:sz w:val="18"/>
                <w:szCs w:val="18"/>
                <w:color w:val="auto"/>
              </w:rPr>
              <w:t>U.S.</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3" w:lineRule="exact"/>
              <w:rPr>
                <w:sz w:val="20"/>
                <w:szCs w:val="20"/>
                <w:color w:val="auto"/>
              </w:rPr>
            </w:pPr>
            <w:r>
              <w:rPr>
                <w:rFonts w:ascii="Calibri" w:cs="Calibri" w:eastAsia="Calibri" w:hAnsi="Calibri"/>
                <w:sz w:val="18"/>
                <w:szCs w:val="18"/>
                <w:color w:val="auto"/>
                <w:w w:val="97"/>
              </w:rPr>
              <w:t>of age and older with locally advanced</w:t>
            </w:r>
          </w:p>
        </w:tc>
        <w:tc>
          <w:tcPr>
            <w:tcW w:w="202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3" w:lineRule="exact"/>
              <w:rPr>
                <w:sz w:val="20"/>
                <w:szCs w:val="20"/>
                <w:color w:val="auto"/>
              </w:rPr>
            </w:pPr>
            <w:r>
              <w:rPr>
                <w:rFonts w:ascii="Calibri" w:cs="Calibri" w:eastAsia="Calibri" w:hAnsi="Calibri"/>
                <w:sz w:val="18"/>
                <w:szCs w:val="18"/>
                <w:color w:val="auto"/>
                <w:w w:val="99"/>
              </w:rPr>
              <w:t>or metastatc DTC that has progressed</w:t>
            </w:r>
          </w:p>
        </w:tc>
        <w:tc>
          <w:tcPr>
            <w:tcW w:w="202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3" w:lineRule="exact"/>
              <w:rPr>
                <w:sz w:val="20"/>
                <w:szCs w:val="20"/>
                <w:color w:val="auto"/>
              </w:rPr>
            </w:pPr>
            <w:r>
              <w:rPr>
                <w:rFonts w:ascii="Calibri" w:cs="Calibri" w:eastAsia="Calibri" w:hAnsi="Calibri"/>
                <w:sz w:val="18"/>
                <w:szCs w:val="18"/>
                <w:color w:val="auto"/>
              </w:rPr>
              <w:t>following prior VEGF receptor-</w:t>
            </w:r>
          </w:p>
        </w:tc>
        <w:tc>
          <w:tcPr>
            <w:tcW w:w="202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3" w:lineRule="exact"/>
              <w:rPr>
                <w:sz w:val="20"/>
                <w:szCs w:val="20"/>
                <w:color w:val="auto"/>
              </w:rPr>
            </w:pPr>
            <w:r>
              <w:rPr>
                <w:rFonts w:ascii="Calibri" w:cs="Calibri" w:eastAsia="Calibri" w:hAnsi="Calibri"/>
                <w:sz w:val="18"/>
                <w:szCs w:val="18"/>
                <w:color w:val="auto"/>
              </w:rPr>
              <w:t>targeted therapy and who are RAI-</w:t>
            </w:r>
          </w:p>
        </w:tc>
        <w:tc>
          <w:tcPr>
            <w:tcW w:w="202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refractory or ineligible</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2300" w:type="dxa"/>
            <w:vAlign w:val="bottom"/>
            <w:tcBorders>
              <w:left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00" w:type="dxa"/>
            <w:vAlign w:val="bottom"/>
            <w:tcBorders>
              <w:left w:val="single" w:sz="8" w:color="auto"/>
              <w:right w:val="single" w:sz="8" w:color="auto"/>
            </w:tcBorders>
          </w:tcPr>
          <w:p>
            <w:pPr>
              <w:spacing w:after="0"/>
              <w:rPr>
                <w:sz w:val="16"/>
                <w:szCs w:val="16"/>
                <w:color w:val="auto"/>
              </w:rPr>
            </w:pPr>
          </w:p>
        </w:tc>
        <w:tc>
          <w:tcPr>
            <w:tcW w:w="2780" w:type="dxa"/>
            <w:vAlign w:val="bottom"/>
            <w:tcBorders>
              <w:right w:val="single" w:sz="8" w:color="auto"/>
            </w:tcBorders>
          </w:tcPr>
          <w:p>
            <w:pPr>
              <w:spacing w:after="0" w:line="187" w:lineRule="exact"/>
              <w:rPr>
                <w:sz w:val="20"/>
                <w:szCs w:val="20"/>
                <w:color w:val="auto"/>
              </w:rPr>
            </w:pPr>
            <w:r>
              <w:rPr>
                <w:rFonts w:ascii="Calibri" w:cs="Calibri" w:eastAsia="Calibri" w:hAnsi="Calibri"/>
                <w:sz w:val="18"/>
                <w:szCs w:val="18"/>
                <w:color w:val="auto"/>
              </w:rPr>
              <w:t>Adult patents with locally advanced</w:t>
            </w:r>
          </w:p>
        </w:tc>
        <w:tc>
          <w:tcPr>
            <w:tcW w:w="2020" w:type="dxa"/>
            <w:vAlign w:val="bottom"/>
            <w:tcBorders>
              <w:right w:val="single" w:sz="8" w:color="auto"/>
            </w:tcBorders>
          </w:tcPr>
          <w:p>
            <w:pPr>
              <w:spacing w:after="0" w:line="187" w:lineRule="exact"/>
              <w:rPr>
                <w:sz w:val="20"/>
                <w:szCs w:val="20"/>
                <w:color w:val="auto"/>
              </w:rPr>
            </w:pPr>
            <w:r>
              <w:rPr>
                <w:rFonts w:ascii="Calibri" w:cs="Calibri" w:eastAsia="Calibri" w:hAnsi="Calibri"/>
                <w:sz w:val="18"/>
                <w:szCs w:val="18"/>
                <w:color w:val="auto"/>
              </w:rPr>
              <w:t>May 3, 2022</w:t>
            </w:r>
          </w:p>
        </w:tc>
        <w:tc>
          <w:tcPr>
            <w:tcW w:w="2360" w:type="dxa"/>
            <w:vAlign w:val="bottom"/>
            <w:tcBorders>
              <w:right w:val="single" w:sz="8" w:color="auto"/>
            </w:tcBorders>
          </w:tcPr>
          <w:p>
            <w:pPr>
              <w:ind w:left="20"/>
              <w:spacing w:after="0" w:line="187" w:lineRule="exact"/>
              <w:rPr>
                <w:sz w:val="20"/>
                <w:szCs w:val="20"/>
                <w:color w:val="auto"/>
              </w:rPr>
            </w:pPr>
            <w:r>
              <w:rPr>
                <w:rFonts w:ascii="Calibri" w:cs="Calibri" w:eastAsia="Calibri" w:hAnsi="Calibri"/>
                <w:sz w:val="18"/>
                <w:szCs w:val="18"/>
                <w:color w:val="auto"/>
              </w:rPr>
              <w:t>Monotherapy</w:t>
            </w:r>
          </w:p>
        </w:tc>
        <w:tc>
          <w:tcPr>
            <w:tcW w:w="1800" w:type="dxa"/>
            <w:vAlign w:val="bottom"/>
            <w:tcBorders>
              <w:right w:val="single" w:sz="8" w:color="auto"/>
            </w:tcBorders>
          </w:tcPr>
          <w:p>
            <w:pPr>
              <w:ind w:left="20"/>
              <w:spacing w:after="0" w:line="187" w:lineRule="exact"/>
              <w:rPr>
                <w:sz w:val="20"/>
                <w:szCs w:val="20"/>
                <w:color w:val="auto"/>
              </w:rPr>
            </w:pPr>
            <w:r>
              <w:rPr>
                <w:rFonts w:ascii="Calibri" w:cs="Calibri" w:eastAsia="Calibri" w:hAnsi="Calibri"/>
                <w:sz w:val="18"/>
                <w:szCs w:val="18"/>
                <w:color w:val="auto"/>
              </w:rPr>
              <w:t>EU</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3" w:lineRule="exact"/>
              <w:rPr>
                <w:sz w:val="20"/>
                <w:szCs w:val="20"/>
                <w:color w:val="auto"/>
              </w:rPr>
            </w:pPr>
            <w:r>
              <w:rPr>
                <w:rFonts w:ascii="Calibri" w:cs="Calibri" w:eastAsia="Calibri" w:hAnsi="Calibri"/>
                <w:sz w:val="18"/>
                <w:szCs w:val="18"/>
                <w:color w:val="auto"/>
              </w:rPr>
              <w:t>or metastatc DTC, refractory pr not</w:t>
            </w:r>
          </w:p>
        </w:tc>
        <w:tc>
          <w:tcPr>
            <w:tcW w:w="202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3" w:lineRule="exact"/>
              <w:rPr>
                <w:sz w:val="20"/>
                <w:szCs w:val="20"/>
                <w:color w:val="auto"/>
              </w:rPr>
            </w:pPr>
            <w:r>
              <w:rPr>
                <w:rFonts w:ascii="Calibri" w:cs="Calibri" w:eastAsia="Calibri" w:hAnsi="Calibri"/>
                <w:sz w:val="18"/>
                <w:szCs w:val="18"/>
                <w:color w:val="auto"/>
              </w:rPr>
              <w:t>eligible to RAI who have progressed</w:t>
            </w:r>
          </w:p>
        </w:tc>
        <w:tc>
          <w:tcPr>
            <w:tcW w:w="202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during or afer prior systemic therapy</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300" w:type="dxa"/>
            <w:vAlign w:val="bottom"/>
            <w:tcBorders>
              <w:left w:val="single" w:sz="8" w:color="auto"/>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300" w:type="dxa"/>
            <w:vAlign w:val="bottom"/>
            <w:tcBorders>
              <w:left w:val="single" w:sz="8" w:color="auto"/>
              <w:right w:val="single" w:sz="8" w:color="auto"/>
            </w:tcBorders>
          </w:tcPr>
          <w:p>
            <w:pPr>
              <w:ind w:left="40"/>
              <w:spacing w:after="0" w:line="160" w:lineRule="exact"/>
              <w:rPr>
                <w:sz w:val="20"/>
                <w:szCs w:val="20"/>
                <w:color w:val="auto"/>
              </w:rPr>
            </w:pPr>
            <w:r>
              <w:rPr>
                <w:rFonts w:ascii="Calibri" w:cs="Calibri" w:eastAsia="Calibri" w:hAnsi="Calibri"/>
                <w:sz w:val="17"/>
                <w:szCs w:val="17"/>
                <w:color w:val="auto"/>
              </w:rPr>
              <w:t>COMETRIQ®</w:t>
            </w:r>
          </w:p>
        </w:tc>
        <w:tc>
          <w:tcPr>
            <w:tcW w:w="2780" w:type="dxa"/>
            <w:vAlign w:val="bottom"/>
          </w:tcPr>
          <w:p>
            <w:pPr>
              <w:spacing w:after="0" w:line="160" w:lineRule="exact"/>
              <w:rPr>
                <w:sz w:val="20"/>
                <w:szCs w:val="20"/>
                <w:color w:val="auto"/>
              </w:rPr>
            </w:pPr>
            <w:r>
              <w:rPr>
                <w:rFonts w:ascii="Calibri" w:cs="Calibri" w:eastAsia="Calibri" w:hAnsi="Calibri"/>
                <w:sz w:val="16"/>
                <w:szCs w:val="16"/>
                <w:b w:val="1"/>
                <w:bCs w:val="1"/>
                <w:color w:val="auto"/>
              </w:rPr>
              <w:t>Medullary Thyroid Cancer (MTC)</w:t>
            </w:r>
          </w:p>
        </w:tc>
        <w:tc>
          <w:tcPr>
            <w:tcW w:w="20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300" w:type="dxa"/>
            <w:vAlign w:val="bottom"/>
            <w:tcBorders>
              <w:left w:val="single" w:sz="8" w:color="auto"/>
              <w:right w:val="single" w:sz="8" w:color="auto"/>
            </w:tcBorders>
            <w:vMerge w:val="restart"/>
          </w:tcPr>
          <w:p>
            <w:pPr>
              <w:ind w:left="40"/>
              <w:spacing w:after="0" w:line="215" w:lineRule="exact"/>
              <w:rPr>
                <w:sz w:val="20"/>
                <w:szCs w:val="20"/>
                <w:color w:val="auto"/>
              </w:rPr>
            </w:pPr>
            <w:r>
              <w:rPr>
                <w:rFonts w:ascii="Calibri" w:cs="Calibri" w:eastAsia="Calibri" w:hAnsi="Calibri"/>
                <w:sz w:val="18"/>
                <w:szCs w:val="18"/>
                <w:color w:val="auto"/>
              </w:rPr>
              <w:t>(cabozantnib)</w:t>
            </w:r>
          </w:p>
        </w:tc>
        <w:tc>
          <w:tcPr>
            <w:tcW w:w="27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30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spacing w:after="0" w:line="160" w:lineRule="exact"/>
              <w:rPr>
                <w:sz w:val="20"/>
                <w:szCs w:val="20"/>
                <w:color w:val="auto"/>
              </w:rPr>
            </w:pPr>
            <w:r>
              <w:rPr>
                <w:rFonts w:ascii="Calibri" w:cs="Calibri" w:eastAsia="Calibri" w:hAnsi="Calibri"/>
                <w:sz w:val="17"/>
                <w:szCs w:val="17"/>
                <w:color w:val="auto"/>
              </w:rPr>
              <w:t>Patents with progressive, metastatc</w:t>
            </w:r>
          </w:p>
        </w:tc>
        <w:tc>
          <w:tcPr>
            <w:tcW w:w="2020" w:type="dxa"/>
            <w:vAlign w:val="bottom"/>
            <w:tcBorders>
              <w:right w:val="single" w:sz="8" w:color="auto"/>
            </w:tcBorders>
            <w:vMerge w:val="restart"/>
          </w:tcPr>
          <w:p>
            <w:pPr>
              <w:spacing w:after="0" w:line="160" w:lineRule="exact"/>
              <w:rPr>
                <w:sz w:val="20"/>
                <w:szCs w:val="20"/>
                <w:color w:val="auto"/>
              </w:rPr>
            </w:pPr>
            <w:r>
              <w:rPr>
                <w:rFonts w:ascii="Calibri" w:cs="Calibri" w:eastAsia="Calibri" w:hAnsi="Calibri"/>
                <w:sz w:val="17"/>
                <w:szCs w:val="17"/>
                <w:color w:val="auto"/>
              </w:rPr>
              <w:t>November 29, 2012</w:t>
            </w:r>
          </w:p>
        </w:tc>
        <w:tc>
          <w:tcPr>
            <w:tcW w:w="2360" w:type="dxa"/>
            <w:vAlign w:val="bottom"/>
            <w:tcBorders>
              <w:right w:val="single" w:sz="8" w:color="auto"/>
            </w:tcBorders>
            <w:vMerge w:val="restart"/>
          </w:tcPr>
          <w:p>
            <w:pPr>
              <w:ind w:left="20"/>
              <w:spacing w:after="0" w:line="160" w:lineRule="exact"/>
              <w:rPr>
                <w:sz w:val="20"/>
                <w:szCs w:val="20"/>
                <w:color w:val="auto"/>
              </w:rPr>
            </w:pPr>
            <w:r>
              <w:rPr>
                <w:rFonts w:ascii="Calibri" w:cs="Calibri" w:eastAsia="Calibri" w:hAnsi="Calibri"/>
                <w:sz w:val="17"/>
                <w:szCs w:val="17"/>
                <w:color w:val="auto"/>
              </w:rPr>
              <w:t>Monotherapy</w:t>
            </w:r>
          </w:p>
        </w:tc>
        <w:tc>
          <w:tcPr>
            <w:tcW w:w="1800" w:type="dxa"/>
            <w:vAlign w:val="bottom"/>
            <w:tcBorders>
              <w:right w:val="single" w:sz="8" w:color="auto"/>
            </w:tcBorders>
            <w:vMerge w:val="restart"/>
          </w:tcPr>
          <w:p>
            <w:pPr>
              <w:ind w:left="20"/>
              <w:spacing w:after="0" w:line="160" w:lineRule="exact"/>
              <w:rPr>
                <w:sz w:val="20"/>
                <w:szCs w:val="20"/>
                <w:color w:val="auto"/>
              </w:rPr>
            </w:pPr>
            <w:r>
              <w:rPr>
                <w:rFonts w:ascii="Calibri" w:cs="Calibri" w:eastAsia="Calibri" w:hAnsi="Calibri"/>
                <w:sz w:val="17"/>
                <w:szCs w:val="17"/>
                <w:color w:val="auto"/>
              </w:rPr>
              <w:t>U.S.</w:t>
            </w:r>
          </w:p>
        </w:tc>
        <w:tc>
          <w:tcPr>
            <w:tcW w:w="0" w:type="dxa"/>
            <w:vAlign w:val="bottom"/>
          </w:tcPr>
          <w:p>
            <w:pPr>
              <w:spacing w:after="0"/>
              <w:rPr>
                <w:sz w:val="1"/>
                <w:szCs w:val="1"/>
                <w:color w:val="auto"/>
              </w:rPr>
            </w:pPr>
          </w:p>
        </w:tc>
      </w:tr>
      <w:tr>
        <w:trPr>
          <w:trHeight w:val="42"/>
        </w:trPr>
        <w:tc>
          <w:tcPr>
            <w:tcW w:w="2300" w:type="dxa"/>
            <w:vAlign w:val="bottom"/>
            <w:tcBorders>
              <w:left w:val="single" w:sz="8" w:color="auto"/>
              <w:right w:val="single" w:sz="8" w:color="auto"/>
            </w:tcBorders>
          </w:tcPr>
          <w:p>
            <w:pPr>
              <w:spacing w:after="0"/>
              <w:rPr>
                <w:sz w:val="3"/>
                <w:szCs w:val="3"/>
                <w:color w:val="auto"/>
              </w:rPr>
            </w:pPr>
          </w:p>
        </w:tc>
        <w:tc>
          <w:tcPr>
            <w:tcW w:w="2780" w:type="dxa"/>
            <w:vAlign w:val="bottom"/>
            <w:tcBorders>
              <w:right w:val="single" w:sz="8" w:color="auto"/>
            </w:tcBorders>
            <w:vMerge w:val="continue"/>
          </w:tcPr>
          <w:p>
            <w:pPr>
              <w:spacing w:after="0"/>
              <w:rPr>
                <w:sz w:val="3"/>
                <w:szCs w:val="3"/>
                <w:color w:val="auto"/>
              </w:rPr>
            </w:pPr>
          </w:p>
        </w:tc>
        <w:tc>
          <w:tcPr>
            <w:tcW w:w="2020" w:type="dxa"/>
            <w:vAlign w:val="bottom"/>
            <w:tcBorders>
              <w:right w:val="single" w:sz="8" w:color="auto"/>
            </w:tcBorders>
            <w:vMerge w:val="continue"/>
          </w:tcPr>
          <w:p>
            <w:pPr>
              <w:spacing w:after="0"/>
              <w:rPr>
                <w:sz w:val="3"/>
                <w:szCs w:val="3"/>
                <w:color w:val="auto"/>
              </w:rPr>
            </w:pPr>
          </w:p>
        </w:tc>
        <w:tc>
          <w:tcPr>
            <w:tcW w:w="2360" w:type="dxa"/>
            <w:vAlign w:val="bottom"/>
            <w:tcBorders>
              <w:right w:val="single" w:sz="8" w:color="auto"/>
            </w:tcBorders>
            <w:vMerge w:val="continue"/>
          </w:tcPr>
          <w:p>
            <w:pPr>
              <w:spacing w:after="0"/>
              <w:rPr>
                <w:sz w:val="3"/>
                <w:szCs w:val="3"/>
                <w:color w:val="auto"/>
              </w:rPr>
            </w:pPr>
          </w:p>
        </w:tc>
        <w:tc>
          <w:tcPr>
            <w:tcW w:w="18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MTC</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300" w:type="dxa"/>
            <w:vAlign w:val="bottom"/>
            <w:tcBorders>
              <w:left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300" w:type="dxa"/>
            <w:vAlign w:val="bottom"/>
            <w:tcBorders>
              <w:left w:val="single" w:sz="8" w:color="auto"/>
              <w:right w:val="single" w:sz="8" w:color="auto"/>
            </w:tcBorders>
          </w:tcPr>
          <w:p>
            <w:pPr>
              <w:spacing w:after="0"/>
              <w:rPr>
                <w:sz w:val="13"/>
                <w:szCs w:val="13"/>
                <w:color w:val="auto"/>
              </w:rPr>
            </w:pPr>
          </w:p>
        </w:tc>
        <w:tc>
          <w:tcPr>
            <w:tcW w:w="278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Adult patents with progressive,</w:t>
            </w:r>
          </w:p>
        </w:tc>
        <w:tc>
          <w:tcPr>
            <w:tcW w:w="2020" w:type="dxa"/>
            <w:vAlign w:val="bottom"/>
            <w:tcBorders>
              <w:right w:val="single" w:sz="8" w:color="auto"/>
            </w:tcBorders>
          </w:tcPr>
          <w:p>
            <w:pPr>
              <w:spacing w:after="0" w:line="160" w:lineRule="exact"/>
              <w:rPr>
                <w:sz w:val="20"/>
                <w:szCs w:val="20"/>
                <w:color w:val="auto"/>
              </w:rPr>
            </w:pPr>
            <w:r>
              <w:rPr>
                <w:rFonts w:ascii="Calibri" w:cs="Calibri" w:eastAsia="Calibri" w:hAnsi="Calibri"/>
                <w:sz w:val="17"/>
                <w:szCs w:val="17"/>
                <w:color w:val="auto"/>
              </w:rPr>
              <w:t>March 25, 2014</w:t>
            </w:r>
          </w:p>
        </w:tc>
        <w:tc>
          <w:tcPr>
            <w:tcW w:w="236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Monotherapy</w:t>
            </w:r>
          </w:p>
        </w:tc>
        <w:tc>
          <w:tcPr>
            <w:tcW w:w="1800" w:type="dxa"/>
            <w:vAlign w:val="bottom"/>
            <w:tcBorders>
              <w:right w:val="single" w:sz="8" w:color="auto"/>
            </w:tcBorders>
          </w:tcPr>
          <w:p>
            <w:pPr>
              <w:ind w:left="20"/>
              <w:spacing w:after="0" w:line="160" w:lineRule="exact"/>
              <w:rPr>
                <w:sz w:val="20"/>
                <w:szCs w:val="20"/>
                <w:color w:val="auto"/>
              </w:rPr>
            </w:pPr>
            <w:r>
              <w:rPr>
                <w:rFonts w:ascii="Calibri" w:cs="Calibri" w:eastAsia="Calibri" w:hAnsi="Calibri"/>
                <w:sz w:val="17"/>
                <w:szCs w:val="17"/>
                <w:color w:val="auto"/>
              </w:rPr>
              <w:t>EU</w:t>
            </w: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right w:val="single" w:sz="8" w:color="auto"/>
            </w:tcBorders>
          </w:tcPr>
          <w:p>
            <w:pPr>
              <w:spacing w:after="0"/>
              <w:rPr>
                <w:sz w:val="16"/>
                <w:szCs w:val="16"/>
                <w:color w:val="auto"/>
              </w:rPr>
            </w:pPr>
          </w:p>
        </w:tc>
        <w:tc>
          <w:tcPr>
            <w:tcW w:w="2780" w:type="dxa"/>
            <w:vAlign w:val="bottom"/>
            <w:tcBorders>
              <w:right w:val="single" w:sz="8" w:color="auto"/>
            </w:tcBorders>
          </w:tcPr>
          <w:p>
            <w:pPr>
              <w:spacing w:after="0" w:line="189" w:lineRule="exact"/>
              <w:rPr>
                <w:sz w:val="20"/>
                <w:szCs w:val="20"/>
                <w:color w:val="auto"/>
              </w:rPr>
            </w:pPr>
            <w:r>
              <w:rPr>
                <w:rFonts w:ascii="Calibri" w:cs="Calibri" w:eastAsia="Calibri" w:hAnsi="Calibri"/>
                <w:sz w:val="18"/>
                <w:szCs w:val="18"/>
                <w:color w:val="auto"/>
              </w:rPr>
              <w:t>unresectable locally advanced or</w:t>
            </w:r>
          </w:p>
        </w:tc>
        <w:tc>
          <w:tcPr>
            <w:tcW w:w="20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line="215" w:lineRule="exact"/>
              <w:rPr>
                <w:sz w:val="20"/>
                <w:szCs w:val="20"/>
                <w:color w:val="auto"/>
              </w:rPr>
            </w:pPr>
            <w:r>
              <w:rPr>
                <w:rFonts w:ascii="Calibri" w:cs="Calibri" w:eastAsia="Calibri" w:hAnsi="Calibri"/>
                <w:sz w:val="18"/>
                <w:szCs w:val="18"/>
                <w:color w:val="auto"/>
              </w:rPr>
              <w:t>metastatc MTC</w:t>
            </w:r>
          </w:p>
        </w:tc>
        <w:tc>
          <w:tcPr>
            <w:tcW w:w="20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27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73" w:right="31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 w:firstLine="648"/>
        <w:spacing w:after="0" w:line="251" w:lineRule="auto"/>
        <w:rPr>
          <w:sz w:val="20"/>
          <w:szCs w:val="20"/>
          <w:color w:val="auto"/>
        </w:rPr>
      </w:pPr>
      <w:r>
        <w:rPr>
          <w:rFonts w:ascii="Calibri" w:cs="Calibri" w:eastAsia="Calibri" w:hAnsi="Calibri"/>
          <w:sz w:val="17"/>
          <w:szCs w:val="17"/>
          <w:color w:val="auto"/>
        </w:rPr>
        <w:t>In 2024, 2023 and 2022, we generated $1,809.4 million, $1,628.9 million and $1,401.2 million, respectvely, in net product revenues from sales of CABOMETYX and COMETRIQ. Outside the U.S., we rely on collaboraton partners for the commercializaton of our cabozantnib products; Ipsen is responsible for all territories outside of the U.S. and Japan, and Takeda is responsible for the Japanese market. In 2024, 2023 and 2022, we earned $166.9 million, $148.5 million and $121.4 million, respectvely, of royaltes on net sales of cabozantnib products outside of the U.S. For additonal informaton on the terms of our collaboraton agreements with Ipsen and Takeda, see “—Collaboratons and Business Development Actvites—Cabozantnib Commercial Collaboratons</w:t>
      </w:r>
      <w:r>
        <w:rPr>
          <w:rFonts w:ascii="Calibri" w:cs="Calibri" w:eastAsia="Calibri" w:hAnsi="Calibri"/>
          <w:sz w:val="17"/>
          <w:szCs w:val="17"/>
          <w:i w:val="1"/>
          <w:iCs w:val="1"/>
          <w:color w:val="auto"/>
        </w:rPr>
        <w:t>.</w:t>
      </w:r>
      <w:r>
        <w:rPr>
          <w:rFonts w:ascii="Calibri" w:cs="Calibri" w:eastAsia="Calibri" w:hAnsi="Calibri"/>
          <w:sz w:val="17"/>
          <w:szCs w:val="17"/>
          <w:color w:val="auto"/>
        </w:rPr>
        <w:t>”</w:t>
      </w:r>
    </w:p>
    <w:p>
      <w:pPr>
        <w:spacing w:after="0" w:line="15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Renal Cell Carcinoma - CABOMETYX is a Leading TKI Treatment Opton for Patents with Advanced RCC</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CABOMETYX has become a standard of care for the treatment of patents with advanced RCC, and a growing number of these patents have been or will be treated with CABOMETYX. In 2024, approximately 33,200 patents with advanced kidney cancer required systemic therapy in the U.S., with over 21,000 patents receiving frst-line treatment.</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Since CABOMETYX was frst approved, we have deployed our Medical Afairs and Commercial teams to educate physicians about CABOMETYX. We believe that the commercial success of CABOMETYX is atributable to the strength of the clinical data refected in its FDA-approved labeling for advanced RCC. The indicatons for the treatment of advanced RCC in the CABOMETYX label are based on the results of the METEOR, CABOSUN and CheckMate -9ER clinical trials. In July 2015, we announced positve results of METEOR, a phase 3 pivotal trial comparing CABOMETYX to everolimus in patents with advanced RCC who have experienced disease progression following treatment with at least one prior VEGF receptor inhibitor. These results formed the basis for FDA approval in April 2016, following which CABOMETYX became the frst single-agent therapy approved in the U.S. for previously treated advanced RCC to demonstrate statstcally signifcant and clinically meaningful improvements in three key efcacy parameters in a global pivotal trial: overall survival (OS); progression-free survival (PFS); and objectve response rate (ORR). To date, CABOMETYX remains the only single-agent therapy to have achieved these clinical results in previously treated advanced RCC. In October 2016, we announced positve results from CABOSUN, a randomized, open-label, actve-controlled phase 2 trial conducted by the Alliance for Clinical Trials in Oncology (the Alliance), comparing cabozantnib with sunitnib in patents with previously untreated advanced RCC with intermediate- or poor-risk disease. These results formed the basis for FDA approval in December 2017 of CABOMETYX for previously untreated patents with advanced RCC. For this patent populaton, CABOMETYX is the only approved single-agent therapy to demonstrate improved PFS compared with sunitnib, a frst-generaton TKI that was the previous standard of care.</w:t>
      </w:r>
    </w:p>
    <w:p>
      <w:pPr>
        <w:spacing w:after="0" w:line="16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CABOMETYX has also demonstrated positve clinical results in combinaton with immune checkpoint inhibitors (ICIs), most notably in CheckMate</w:t>
      </w:r>
    </w:p>
    <w:p>
      <w:pPr>
        <w:spacing w:after="0" w:line="235" w:lineRule="auto"/>
        <w:rPr>
          <w:sz w:val="20"/>
          <w:szCs w:val="20"/>
          <w:color w:val="auto"/>
        </w:rPr>
      </w:pPr>
      <w:r>
        <w:rPr>
          <w:rFonts w:ascii="Calibri" w:cs="Calibri" w:eastAsia="Calibri" w:hAnsi="Calibri"/>
          <w:sz w:val="18"/>
          <w:szCs w:val="18"/>
          <w:color w:val="auto"/>
        </w:rPr>
        <w:t>-9ER, an open-label, randomized, multnatonal phase 3 pivotal trial evaluatng CABOMETYX in combinaton with nivolumab versus sunitnib in patents with</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previously untreated, advanced or metastatc RCC. Results from CheckMate -9ER demonstrated that the combinaton of CABOMETYX and nivolumab doubled</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PFS and ORR and reduced the risk of disease progression or death by 40% compared with sunitnib and formed the basis for FDA approval of the combinaton</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in January 2021 as a frst-line treatment of patents with advanced RCC. At fve years of follow-up, the CheckMate -9ER results contnued to show superior PFS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and ORR in patents treated with CABOMETYX in combinaton with nivolumab over sunitnib, regardless of risk classifcaton (as determined by Internatonal</w:t>
      </w:r>
    </w:p>
    <w:p>
      <w:pPr>
        <w:spacing w:after="0" w:line="235" w:lineRule="auto"/>
        <w:rPr>
          <w:sz w:val="20"/>
          <w:szCs w:val="20"/>
          <w:color w:val="auto"/>
        </w:rPr>
      </w:pPr>
      <w:r>
        <w:rPr>
          <w:rFonts w:ascii="Calibri" w:cs="Calibri" w:eastAsia="Calibri" w:hAnsi="Calibri"/>
          <w:sz w:val="18"/>
          <w:szCs w:val="18"/>
          <w:color w:val="auto"/>
        </w:rPr>
        <w:t>Metastatc Renal Cell Carcinoma Database Consortum scores). Superior OS was also observed in patents treated with the combinaton. These updated</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results will be featured in an oral presentaton at the American Society of Clinical Oncology (ASCO) Genitourinary Cancers Symposium in February 2025 (ASCO</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GU 2025).</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In additon, the Natonal Comprehensive Cancer Network (NCCN), the naton’s foremost non-proft alliance of leading cancer centers, has included the combinaton of CABOMETYX with nivolumab in its Clinical Practce Guidelines for Kidney Cancer as a Category 1 preferred opton for the frst-line treatment of patents with clear cell RCC across all risk groups, and as a Category 2A other recommended opton for frst-line nccRCC. The NCCN also lists single-agent CABOMETYX as a recommended regimen for patents with previously treated advanced clear cell RCC, supportng CABOMETYX’s positon in the RCC treatment landscape across lines of therapy.</w:t>
      </w:r>
    </w:p>
    <w:p>
      <w:pPr>
        <w:spacing w:after="0" w:line="166"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In 2024, in markets outside the U.S., we contnued to work closely with our collaboraton partner Ipsen in support of its regulatory strategy and commercializaton eforts for CABOMETYX, both as a single agent and in combinaton with nivolumab, as well as in preparaton for submission of applicatons for potental additonal approvals of CABOMETYX, and similarly with our collaboraton partner Takeda with respect to the Japanese market. As a result of the approvals of CABOMETYX and/or the combinaton of CABOMETYX with nivolumab for RCC indicatons in 67 countries outside of the U.S., including the Member States of the EU, Japan, the U.K., Canada, Brazil, Taiwan, South Korea, Australia and Hong Kong,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color w:val="auto"/>
        </w:rPr>
        <w:t>CABOMETYX has contnued to grow markedly outside the U.S. both in sales revenue and the number of RCC patents beneftng from its clinical efect.</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Hepatocellular Carcinoma - CABOMETYX Ofers an Important Alternatve for Patents with Previously Treated HCC</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Liver cancer is a leading cause of cancer death worldwide, accountng for more than 800,000 new cases and 700,000 deaths each year. In the U.S., the incidence of liver cancer has tripled over the past four decades. Although HCC is the most common form of liver cancer, making up about three-fourths of the more than 42,200 cases of liver cancer estmated to be diagnosed in the U.S. during 2025, this patent populaton has long been underserved. Prior to 2017, therapies for the treatment of HCC were limited in number. Biopharmaceutcal companies have since developed new and demonstrably more efectve therapies for previously untreated patents, including ICI combinaton therapies. These new treatment optons have improved longer-term outcomes for HCC patents, thereby resultng in a greater number of them receiving multple lines of therapy. Thus, the second- and later-line market for HCC therapies has become increasingly compettve, and we believe this trend may contnue over the coming years, with monotherapy CABOMETYX maintaining an important place in the HCC treatment landscape.</w:t>
      </w:r>
    </w:p>
    <w:p>
      <w:pPr>
        <w:spacing w:after="0" w:line="169"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The FDA approved the HCC indicaton for CABOMETYX in January 2019 was based on our phase 3 pivotal study, CELESTIAL. The CELESTIAL study met its primary endpoint, demonstratng that cabozantnib signifcantly improved OS compared to placebo. The NCCN has included CABOMETYX in its Clinical Practce Guidelines for Hepatocellular Carcinoma as a Category 1 opton for the treatment of patents with HCC as a subsequent-line systemic therapy if disease progression occurs, providing further support for CABOMETYX as an important treatment opton for eligible HCC patents.</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Outside the U.S., the EMA’s approval of CABOMETYX provided physicians in the EU with a second approved therapy for the second-line treatment of this aggressive and difcult-to-treat cancer, and approvals from Health Canada and the Japanese PMDA brought a much-needed treatment opton to HCC patents in those countries. In additon to the Member States of the EU, Japan, the U.K. and Canada, CABOMETYX is also approved for previously treated HCC indicatons in Brazil, Taiwan, South Korea, Australia and Hong Kong, among other countries.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Diferentated Thyroid Cancer - An Opportunity for CABOMETYX to Help an Underserved Patent Populaton</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Approximately 44,000 new cases of thyroid cancer will be diagnosed in the U.S. in 2025. Diferentated thyroid tumors, which make up about 90% of all thyroid cancers, are typically treated with surgery followed by ablaton of the remaining thyroid with RAI. Approximately 5% to 15% of diferentated thyroid tumors are resistant to RAI treatment. With limited treatment optons, these patents have a life expectancy of only three to six years from the tme metastatc lesions are detected. In December 2020, we announced that COSMIC-311, our phase 3 pivotal trial evaluatng cabozantnib in patents with RAI-refractory DTC who have progressed afer receiving up to two prior VEGF receptor-targeted therapies, met one of its two primary endpoints, demonstratng a statstcally signifcant improvement in PFS compared with placebo. In September 2021, the FDA approved CABOMETYX for the treatment of adult and pediatric patents 12 years of age and older with locally advanced or metastatc DTC that has progressed following prior VEGF receptor-targeted therapy and who are RAI-refractory or ineligible. Since our commercial launch of CABOMETYX in this patent group, we have established a strong market positon for CABOMETYX amongst these previously treated DTC patents.</w:t>
      </w:r>
    </w:p>
    <w:p>
      <w:pPr>
        <w:spacing w:after="0" w:line="170"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Outside the U.S., our collaboraton partner Ipsen received approval from the EMA in May 2022 for CABOMETYX as a monotherapy for the treatment of adult patents with locally advanced or metastatc DTC, refractory or not eligible to RAI who have progressed during or afer prior systemic therapy, which followed an approval from Health Canada in April 2022 to market CABOMETYX for a similar DTC indicaton.</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Medullary Thyroid Cancer - COMETRIQ, the First Commercial Approval of Cabozantnib</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Estmates suggest that there will be approximately 970 MTC cases diagnosed in the U.S. in 2025, and COMETRIQ has served as an important treatment opton for these patents since January 2013. The FDA approved COMETRIQ for progressive, metastatc MTC based on our phase 3 trial, EXAM. The EXAM trial met its primary endpoint, demonstratng a statstcally signifcant and clinically meaningful prolongaton in PFS for cabozantnib compared with placebo. We are contnuing to market COMETRIQ capsules for MTC patents at the labeled dose of 140 mg.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3" w:right="39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Exelixis Development Programs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Cabozantnib Development Program</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Cabozantnib inhibits the actvity of tyrosine kinases, including MET, AXL, VEGF receptors and RET. These receptor tyrosine kinases are involved in both normal cellular functon and in pathologic processes such as oncogenesis, metastasis, tumor angiogenesis, drug resistance and maintenance of the tumor microenvironment. Beyond the established clinical benefts of cabozantnib in its approved indicatons, objectve responses have been observed in patents treated with cabozantnib in additonal individual tumor types investgated in early- and late-stage clinical trials, refectng the medicine’s broad clinical potental. We are contnuing to evaluate cabozantnib in combinaton with ICIs in late-stage clinical trials that we sponsor, along with our collaboraton partners. Independent investgators also conduct trials evaluatng cabozantnib through our Cooperatve Research and Development Agreement (CRADA) with the Natonal Cancer Insttute’s Cancer Therapy Evaluaton Program (NCI-CTEP) or our investgator sponsored trial (IST) program. In additon to facilitatng label expansion for the cabozantnib franchise, including our regulatory submissions for cabozantnib to treat NET based on the positve results from the phase 3 CABINET study, data sets from these externally sponsored clinical trials may also prove valuable by informing our development plans for zanzalintnib. Moreover, our collaboraton partners Ipsen and Takeda have conducted trials in their respectve territories through independently-sponsored programs, as well as co-funding select cabozantnib trials with us.</w:t>
      </w:r>
    </w:p>
    <w:p>
      <w:pPr>
        <w:spacing w:after="0" w:line="167"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Combinaton Studies with BMS</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In February 2017, we entered into a clinical collaboraton agreement with BMS for the purpose of conductng clinical studies combining cabozantnib with BMS’ PD-1 ICI, nivolumab, with or without BMS’ CTLA-4 ICI, ipilimumab. Based on the data from CheckMate -9ER, the frst clinical trial conducted under this collaboraton, the FDA approved CABOMETYX in combinaton with nivolumab on January 22, 2021, as a frst-line treatment of patents with advanced RCC. In May 2019, we initated COSMIC-313, a multcenter, randomized, double-blinded, controlled phase 3 pivotal trial evaluatng the triplet combinaton of cabozantnib, nivolumab and ipilimumab versus the combinaton of nivolumab and ipilimumab in patents with previously untreated advanced intermediate-or poor-risk RCC. Patents were randomized 1:1 to the experimental arm of the triplet combinaton or to the control arm of nivolumab and ipilimumab in combinaton with matched placebo. In August 2024, we announced the fnal analysis for the secondary endpoint of OS, which demonstrated that the experimental arm did not demonstrate an OS beneft over the control arm. Based on these results and the evoluton of the frst-line RCC treatment landscape since this study was initated, we are not pursuing marketng authorizaton based on COSMIC-313. Data from the fnal analysis of OS in COSMIC-313 will be presented at the ASCO GU 2025. For additonal informaton on the terms of the BMS clinical collaboraton agreement, see “—Collaboratons and Business Development Actvites—Cabozantnib Development Collaboratons—BMS Collaboraton</w:t>
      </w:r>
      <w:r>
        <w:rPr>
          <w:rFonts w:ascii="Calibri" w:cs="Calibri" w:eastAsia="Calibri" w:hAnsi="Calibri"/>
          <w:sz w:val="21"/>
          <w:szCs w:val="21"/>
          <w:i w:val="1"/>
          <w:iCs w:val="1"/>
          <w:color w:val="auto"/>
        </w:rPr>
        <w:t>.</w:t>
      </w:r>
      <w:r>
        <w:rPr>
          <w:rFonts w:ascii="Calibri" w:cs="Calibri" w:eastAsia="Calibri" w:hAnsi="Calibri"/>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Combinaton Studies with Roche</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We have also entered into collaboratons with F. Hofmann-La Roche Ltd. (Roche) for the purpose of evaluatng the combinaton of cabozantnib and Roche’s ant-PD-L1 ICI, atezolizumab, diversifying our exploraton of cabozantnib combinatons with ICIs.</w:t>
      </w:r>
    </w:p>
    <w:p>
      <w:pPr>
        <w:spacing w:after="0" w:line="164"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i w:val="1"/>
          <w:iCs w:val="1"/>
          <w:color w:val="auto"/>
        </w:rPr>
        <w:t>COSMIC-021 - Locally Advanced or Metastatc Solid Tumors</w:t>
      </w:r>
      <w:r>
        <w:rPr>
          <w:rFonts w:ascii="Calibri" w:cs="Calibri" w:eastAsia="Calibri" w:hAnsi="Calibri"/>
          <w:sz w:val="18"/>
          <w:szCs w:val="18"/>
          <w:color w:val="auto"/>
        </w:rPr>
        <w:t>. In February 2017, we entered into a master clinical supply agreement with Roche. As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part of the clinical supply agreement, in June 2017, we initated COSMIC-021, a large phase 1b study evaluatng the safety and tolerability of cabozantnib in combinaton with atezolizumab in patents with a wide variety of locally advanced or metastatc solid tumors. We are the trial sponsor of COSMIC-021, and Roche is providing atezolizumab free of charge. The study is divided into two parts: a dose-escalaton phase, which was completed in 2018; and an expansion cohort phase, which completed enrollment in January 2022. Enrollment in the expansion phase of this study included 20 combinaton therapy tumor expansion cohorts in non-small cell lung cancer (NSCLC), mCRPC, RCC and various other tumor types.</w:t>
      </w:r>
    </w:p>
    <w:p>
      <w:pPr>
        <w:spacing w:after="0" w:line="167"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i w:val="1"/>
          <w:iCs w:val="1"/>
          <w:color w:val="auto"/>
        </w:rPr>
        <w:t xml:space="preserve">CONTACT trials. </w:t>
      </w:r>
      <w:r>
        <w:rPr>
          <w:rFonts w:ascii="Calibri" w:cs="Calibri" w:eastAsia="Calibri" w:hAnsi="Calibri"/>
          <w:sz w:val="18"/>
          <w:szCs w:val="18"/>
          <w:color w:val="auto"/>
        </w:rPr>
        <w:t>Informed by the encouraging efcacy and safety data that emerged from COSMIC-021, we entered into a joint clinical research</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agreement with Roche in December 2019, pursuant to which the partes co-funded and undertook three pivotal phase 3 studies evaluatng the combinaton of cabozantnib and atezolizumab. Two of these trials, CONTACT-01 in advanced NSCLC and CONTACT-03 in RCC (each sponsored by Roche) did not meet their respectve primary endpoints. The third trial, CONTACT-02, is sponsored by us and evaluates the combinaton in patents with mCRPC as described below. For additonal informaton on the terms of the Roche joint clinical research agreement, see “Collaboratons and Business Development Actvites – Cabozantnib Development Collaboratons – Roche Collaboraton.”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 xml:space="preserve">CONTACT-02 - mCRPC. </w:t>
      </w:r>
      <w:r>
        <w:rPr>
          <w:rFonts w:ascii="Calibri" w:cs="Calibri" w:eastAsia="Calibri" w:hAnsi="Calibri"/>
          <w:sz w:val="18"/>
          <w:szCs w:val="18"/>
          <w:color w:val="auto"/>
        </w:rPr>
        <w:t>In June 2020, we and Roche initated CONTACT-02, a global, multcenter, randomized, open-label phase 3 pivotal trial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evaluatng cabozantnib in combinaton with atezolizumab versus a second novel hormonal therapy (NHT) (either abiraterone and prednisone or enzalutamide) in patents with measurable extra-pelvic mCRPC who have progressed afer treatment with one prior NHT. CONTACT-02 is informed by positve early-stage results from an mCRPC cohort of COSMIC-021, as well as by COMET-1, our earlier phase 3 trial that evaluated monotherapy cabozantnib in mCRPC. The CONTACT-02 trial enrolled 575 patents at 275 sites globally, and enrollment was completed in the second half of 2023. Patents were randomized 1:1 to the experimental arm of cabozantnib in combinaton with atezolizumab or to the control arm of a second NHT. The two primary efcacy endpoints for CONTACT-02 are BIRC-assessed PFS per Response Evaluaton Criteria in Solid Tumors (RECIST) v. 1.1 and OS; key secondary and other efcacy endpoints include ORR, prostate-specifc antgen response rate and duraton of response (DOR). In August 2023, we announced positve top-line results that the trial met one of two primary endpoints, demonstratng a statstcally signifcant improvement in PFS (HR: 0.65; 95% CI: 0.50-0.84; p=0.0007) in the predefned PFS intent-to-treat populaton (i.e., the frst 400 randomized patents), and these data were presented at the American Society of Clinical Oncology Genitourinary Cancers Symposium in January 2024. For the second primary endpoint of OS, the fnal analysis for CONTACT-02, which was presented during the GU Tumours Profered Paper Session: GU Tumours at the European Society for Medical Oncology Congress in September 2024 (ESMO 2024), showed a trend that favored the combinaton of cabozantnib and atezolizumab but was not statstcally signifcant. Of note, the trend in OS beneft was consistently observed in key subgroups, including in patents with liver metastases— a subgroup of mCRPC patents with the poorest prognosis in need of new treatment optons, and one we antcipate will grow in the coming years. The safety profle observed in the trial was refectve of the known safety profles for each single agent and was consistent with the known tolerability profle of approved ICI-TKI combinatons in advanced solid tumors. We contnue to evaluate the tming of a potental regulatory submission to the FDA. Both Ipsen and Takeda opted into and are co-funding the trial.</w:t>
      </w:r>
    </w:p>
    <w:p>
      <w:pPr>
        <w:spacing w:after="0" w:line="176" w:lineRule="exact"/>
        <w:rPr>
          <w:sz w:val="20"/>
          <w:szCs w:val="20"/>
          <w:color w:val="auto"/>
        </w:rPr>
      </w:pPr>
    </w:p>
    <w:p>
      <w:pPr>
        <w:ind w:right="180" w:firstLine="648"/>
        <w:spacing w:after="0" w:line="235" w:lineRule="auto"/>
        <w:rPr>
          <w:sz w:val="20"/>
          <w:szCs w:val="20"/>
          <w:color w:val="auto"/>
        </w:rPr>
      </w:pPr>
      <w:r>
        <w:rPr>
          <w:rFonts w:ascii="Calibri" w:cs="Calibri" w:eastAsia="Calibri" w:hAnsi="Calibri"/>
          <w:sz w:val="18"/>
          <w:szCs w:val="18"/>
          <w:color w:val="auto"/>
        </w:rPr>
        <w:t>According to the American Cancer Society, in 2025, approximately 313,000 new cases of prostate cancer will be diagnosed in the U.S., and over 35,000 people will die from the disease. Prostate cancer that has spread beyond the prostate and does not respond to androgen-suppression therapies—a common treatment for prostate cancer—is known as mCRPC. Men diagnosed with mCRPC ofen have a poor prognosis, which has an estmated survival of less than one to two years. We believe that cabozantnib in combinaton with atezolizumab, if ultmately approved by the FDA for an mCRPC indicaton, may be a compelling chemotherapy-free treatment opton to respond to this signifcant unmet need.</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Trials Conducted through our CRADA with NCI-CTEP and our IST Program</w:t>
      </w:r>
    </w:p>
    <w:p>
      <w:pPr>
        <w:spacing w:after="0" w:line="163"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Clinical trials conducted with support from external partners have enabled further expansion of the cabozantnib development program with less burden on our internal development resources. In October 2011, we entered into a CRADA with NCI-CTEP for the clinical development of cabozantnib and have extended its term through October 2026. The CRADA refects a commitment by NCI-CTEP to provide funding for the broad exploraton of cabozantnib’s potental in a wide variety of cancers, each representng a substantal unmet medical need. Investgatonal New Drug (IND) applicatons for trials under the CRADA are held by NCI-CTEP. NCI-CTEP also retains rights to any inventons made in whole or in part by NCI-CTEP investgators. However, for inventons that claim the use and/or the compositon of cabozantnib, we have an automatc opton to elect a worldwide, non-exclusive license to cabozantnib inventons for commercial purposes, with the right to sublicense to afliates or collaborators working on our behalf, as well as an additonal, separate opton to negotate an exclusive license to cabozantnib inventons. Further, before any trial proposed under the CRADA may commence, the protocol is subject to our review and approval. As refected by the results from completed trials and ongoing clinical trials, we believe our CRADA with NCI-CTEP has facilitated and may contnue to facilitate the expansion of the cabozantnib franchise in a cost-efcient manner. A summary of key trials under this collaboraton is provided below.</w:t>
      </w:r>
    </w:p>
    <w:p>
      <w:pPr>
        <w:spacing w:after="0" w:line="154" w:lineRule="exact"/>
        <w:rPr>
          <w:sz w:val="20"/>
          <w:szCs w:val="20"/>
          <w:color w:val="auto"/>
        </w:rPr>
      </w:pPr>
    </w:p>
    <w:p>
      <w:pPr>
        <w:ind w:right="100" w:firstLine="648"/>
        <w:spacing w:after="0" w:line="237" w:lineRule="auto"/>
        <w:rPr>
          <w:sz w:val="20"/>
          <w:szCs w:val="20"/>
          <w:color w:val="auto"/>
        </w:rPr>
      </w:pPr>
      <w:r>
        <w:rPr>
          <w:rFonts w:ascii="Calibri" w:cs="Calibri" w:eastAsia="Calibri" w:hAnsi="Calibri"/>
          <w:sz w:val="18"/>
          <w:szCs w:val="18"/>
          <w:i w:val="1"/>
          <w:iCs w:val="1"/>
          <w:color w:val="auto"/>
        </w:rPr>
        <w:t>CABINET - NET</w:t>
      </w:r>
      <w:r>
        <w:rPr>
          <w:rFonts w:ascii="Calibri" w:cs="Calibri" w:eastAsia="Calibri" w:hAnsi="Calibri"/>
          <w:sz w:val="21"/>
          <w:szCs w:val="21"/>
          <w:i w:val="1"/>
          <w:iCs w:val="1"/>
          <w:color w:val="auto"/>
        </w:rPr>
        <w: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Alliance led the CABINET phase 3 pivotal study under the CRADA that evaluated cabozantnib versus placebo in patents who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experienced progression afer prior systemic therapy in two independently powered cohorts: one for advanced pancreatc NET (pNET) that enrolled 93 patents; and another for extra-pancreatc NET (epNET), historically referred to as carcinoid tumors) that enrolled 193 patents. Patents in both cohorts were randomized 2:1 to either the experimental arm of 60 mg cabozantnib daily or placebo, respectvely. The primary endpoint for both studies was PFS per RECIST v. 1.1. In August 2023, enrollment into the study was stopped, patents were unblinded and those on placebo were ofered treatment with cabozantnib due to dramatc improvements in PFS observed at interim analyses and based upon local investgator assessment. The data from CABINET demonstrated that cabozantnib substantally prolonged the tme to disease progression or death in both pNET (HR: 0.27; 95% CI: 0.14-0.49; P&lt;0.0001) and epNET (HR: 0.45; 95% CI: 0.30-0.66; P&lt;0.0001) cohorts, and that the safety profle of cabozantnib observed in the trial was consistent with its known safety profle. In August 2024, we announced that the FDA had accepted our sNDA seeking approval for cabozantnib 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 xml:space="preserve">treat adult patents with previously treated, locally advanced/unresectable or metastatc, well- or moderately diferentated pNET or epNET, granted standard review in the U.S., and assigned a Prescripton Drug User Fee Act (PDUFA) target acton date of April 3, 2025. The FDA also granted orphan drug designaton to cabozantnib for the treatment of pNET. Detailed fnal results from CABINET were presented during the NETs and Endocrine Tumours Profered Paper Session at the ESMO 2024 and were concurrently published in </w:t>
      </w:r>
      <w:r>
        <w:rPr>
          <w:rFonts w:ascii="Calibri" w:cs="Calibri" w:eastAsia="Calibri" w:hAnsi="Calibri"/>
          <w:sz w:val="17"/>
          <w:szCs w:val="17"/>
          <w:i w:val="1"/>
          <w:iCs w:val="1"/>
          <w:color w:val="auto"/>
        </w:rPr>
        <w:t>The New England Journal of Medicine</w:t>
      </w:r>
      <w:r>
        <w:rPr>
          <w:rFonts w:ascii="Calibri" w:cs="Calibri" w:eastAsia="Calibri" w:hAnsi="Calibri"/>
          <w:sz w:val="17"/>
          <w:szCs w:val="17"/>
          <w:color w:val="auto"/>
        </w:rPr>
        <w:t xml:space="preserve"> (NEJM). In November 2024, we announced that our sNDA would be discussed at an Oncologic Drugs Advisory Commitee (ODAC) meetng in March 2025; however, in January 2025, we announced that the FDA had notfed us that our sNDA would no longer be the subject of discussion at an ODAC. At the ASCO Gastrointestnal Cancers Symposium in January 2025 (ASCO GI 2025), the Alliance presented results in 116 patents in the epNET cohort with advanced gastrointestnal NET showing that cabozantnib was associated with an improvement in PFS compared with placebo in this subgroup of patents (PFS HR 0.50 (95%CI, 0.28-0.88)).</w:t>
      </w:r>
    </w:p>
    <w:p>
      <w:pPr>
        <w:spacing w:after="0" w:line="154"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In 2024, the estmated prevalence of NET in the U.S. was more than 380,000 people and between 161,000 to 192,000 people are living with unresectable, locally advanced or metastatc NET. The number of people diagnosed with NET each year has been increasing. Most NET take years to develop and grow slowly, but eventually all patents with advanced or metastatc NET will develop refractory and progressing disease. NET can develop in any part of the body as epNET, but most commonly start in the gastrointestnal (GI) tract or in the lungs. The fve-year survival rates for advanced GI-NET and lung epNET are 68% and 55%, respectvely. NET can also start in the pancreas as pNET. While less common, pNET can be more aggressive and the fve-year survival rate for advanced pNET is only 23%.</w:t>
      </w:r>
    </w:p>
    <w:p>
      <w:pPr>
        <w:spacing w:after="0" w:line="167"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PDIGREE is a phase 3 trial led by The Alliance that is enrolling 1,046 intermediate- or poor-risk advanced RCC patents who have a clear cell component in their tumors. All patents are initally treated with up to 4 cycles of inducton ipilimumab combined with nivolumab. Subsequently, patents are treated based on their response to the inducton therapy. Patents achieving a complete response (CR) contnue on maintenance nivolumab, while patents with progressive disease (PD) are switched to cabozantnib monotherapy. Patents who neither achieve a CR nor develop PD during inducton are randomized 1:1 to either maintenance nivolumab or nivolumab in combinaton with cabozantnib 40 mg daily. The primary endpoint is OS, while PFS, CR rate, ORR and safety are among the secondary endpoints.</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Pipeline Development Programs - Advancing Exelixis’ Future Cancer Therapy Candidates</w:t>
      </w:r>
    </w:p>
    <w:p>
      <w:pPr>
        <w:spacing w:after="0" w:line="163"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To contnue growing our pipeline, we are investng heavily in the identfcaton, exploraton and advancement of new molecules that are clinically diferentated with the potental to improve the standard of care for cancer patents. Several product candidates have progressed into clinical trials, including both small molecules and biotherapeutcs that we have discovered or in-licensed and believe have the potental to treat a variety of cancers. Below are summaries of our current and planned clinical development actvites outside of the cabozantnib franchise.</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Zanzalintnib Development Program</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Zanzalintnib is a novel, potent, third-generaton oral TKI that targets VEGF receptors, MET and the TAM kinases (TYRO3, AXL and MER) implicated in cancer’s growth and spread, and is our frst in-house compound to enter the clinic following our re-initaton of drug discovery actvites in 2017. Zanzalintnib has a pharmacokinetc half-life of approximately one day, supportng once-daily dosing, which could translate into more efectve management of adverse events and a potentally favorable safety profle compared with other VEGF-receptor TKIs. Taken together with the promising ant-tumor actvity, we believe zanzalintnib is positoned to be a best-in-class VEGF-receptor TKI in a wide range of solid tumors when used as a monotherapy, as well as in combinaton regimens. Accordingly, we are evaluatng zanzalintnib in a growing development program that builds on our prior experience with cabozantnib and targets indicatons with high unmet need. Beyond our established collaboratons, we will contnue to explore additonal opportunites for novel combinatons with zanzalintnib.</w:t>
      </w:r>
    </w:p>
    <w:p>
      <w:pPr>
        <w:spacing w:after="0" w:line="169"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STELLAR-001 - Advanced Solid Tumors</w:t>
      </w:r>
      <w:r>
        <w:rPr>
          <w:rFonts w:ascii="Calibri" w:cs="Calibri" w:eastAsia="Calibri" w:hAnsi="Calibri"/>
          <w:sz w:val="18"/>
          <w:szCs w:val="18"/>
          <w:color w:val="auto"/>
        </w:rPr>
        <w:t>. Initated in 2019, STELLAR-001 is a multcenter phase 1b/2 clinical trial evaluatng the pharmacokinetcs,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safety, tolerability and preliminary ant-tumor actvity of zanzalintnib and is divided into dose-escalaton and expansion phases designed to evaluate zanzalintnib both as a monotherapy and in combinaton with atezolizumab in a variety of solid tumors. We previously presented data from STELLAR-001 during poster sessions at the 2022 ESMO Congress, which demonstrated preliminary clinical actvity similar to that observed with cabozantnib, across a range of solid tumors and dose levels, with a manageable safety profle. The phase 2 recommended dose for both monotherapy zanzalintnib and zanzalintnib in combinaton with atezolizumab was determined to be 100 mg once daily. Enrollment into the STELLAR-001 expansion cohorts for clear cell RCC, nccRCC, hormone-receptor positve breast cancer, mCRPC and CRC is complete, and we presented inital results evaluatng monotherapy zanzalintnib in patents with previously treated clear cell RCC during the Oral Abstracts session at the Internatonal Kidney Cancer Symposium (IKCS) in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November 2023. At a median follow-up tme of 8.3 months, the fndings demonstrated an ORR of 38% per RECIST v. 1.1 for the entre clear cell RCC cohort of 32 patents, including an ORR of 57% among the 14 patents who were not previously treated with cabozantnib; the disease control rate was 88%. The ORR for the 26 patents who had received prior VEGF receptor-TKIs was 35%, including responses in four of the 17 patents (24%) who had received prior cabozantnib. Preliminary results from a randomized expansion cohort of patents with metastatc CRC (n=107) from STELLAR-001 were presented at the ASCO GI 2025. In the overall populaton, all efcacy parameters, ORR, PFS and OS, favored the combinaton of atezolizumab plus zanzalintnib versus zanzalintnib monotherapy (PFS HR 0.65 (95% CI, 0.42-0.99); OS HR 0.89 (95% CI, 0.56-1.42)). With median follow up tmes of approximately 19 months for both arms, the ORR was 7.4% vs. 1.9%. In a subgroup analysis of patents without liver metastases (n=17 in each arm), ORR, PFS and OS also favored the combinaton of atezolizumab plus zanzalintnib versus zanzalintnib monotherapy (PFS HR 0.37 (95% CI, 0.15-0.91); OS HR 0.74 (95% CI, 0.27-2.04)). In this subgroup, the ORR was 17.6% vs 5.9%. We contnue to be encouraged by zanzalintnib’s emerging tolerability and actvity profle, both as a monotherapy and in combinaton with ICIs.</w:t>
      </w:r>
    </w:p>
    <w:p>
      <w:pPr>
        <w:spacing w:after="0" w:line="17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 xml:space="preserve">STELLAR-002 - Advanced Solid Tumors. </w:t>
      </w:r>
      <w:r>
        <w:rPr>
          <w:rFonts w:ascii="Calibri" w:cs="Calibri" w:eastAsia="Calibri" w:hAnsi="Calibri"/>
          <w:sz w:val="18"/>
          <w:szCs w:val="18"/>
          <w:color w:val="auto"/>
        </w:rPr>
        <w:t>In December 2021, we initated STELLAR-002, a multcenter phase 1b/2 clinical trial evaluatng the safety,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tolerability and efcacy of zanzalintnib in combinaton with either nivolumab, nivolumab and ipilimumab, or a fxed-dose combinaton of nivolumab and relatlimab, a lymphocyte actvaton gene-3-blocking (LAG-3) antbody developed by BMS. STELLAR-002 is divided into dose-escalaton and expansion phases. We have established recommended doses of zanzalintnib for these combinaton regimens and are exploring them in a diverse array of solid tumor expansion cohorts, including clear cell RCC, nccRCC, HCC, mCRPC and CRC. The key efcacy endpoints are investgator-assessed ORR per RECIST v. 1.1, PFS and OS. Monotherapy zanzalintnib may also be evaluated to support regulatory requirements for dosing and contributon of components. We antcipate inital clinical data readouts from STELLAR-002 in the frst half of 2025.</w:t>
      </w:r>
    </w:p>
    <w:p>
      <w:pPr>
        <w:spacing w:after="0" w:line="168" w:lineRule="exact"/>
        <w:rPr>
          <w:sz w:val="20"/>
          <w:szCs w:val="20"/>
          <w:color w:val="auto"/>
        </w:rPr>
      </w:pPr>
    </w:p>
    <w:p>
      <w:pPr>
        <w:ind w:right="100" w:firstLine="648"/>
        <w:spacing w:after="0" w:line="216" w:lineRule="exact"/>
        <w:rPr>
          <w:sz w:val="20"/>
          <w:szCs w:val="20"/>
          <w:color w:val="auto"/>
        </w:rPr>
      </w:pPr>
      <w:r>
        <w:rPr>
          <w:rFonts w:ascii="Calibri" w:cs="Calibri" w:eastAsia="Calibri" w:hAnsi="Calibri"/>
          <w:sz w:val="17"/>
          <w:szCs w:val="17"/>
          <w:i w:val="1"/>
          <w:iCs w:val="1"/>
          <w:color w:val="auto"/>
        </w:rPr>
        <w:t xml:space="preserve">STELLAR-009 - Advanced Clear Cell RCC and Other Solid Tumors. </w:t>
      </w:r>
      <w:r>
        <w:rPr>
          <w:rFonts w:ascii="Calibri" w:cs="Calibri" w:eastAsia="Calibri" w:hAnsi="Calibri"/>
          <w:sz w:val="17"/>
          <w:szCs w:val="17"/>
          <w:color w:val="auto"/>
        </w:rPr>
        <w:t>In December 2023, we initated STELLAR-009, a targeted phase 1b/2 trial evaluatng</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the safety, tolerability and pharmacokinetcs of zanzalintnib in combinaton with AB521, an inhibitor of hypoxia-inducible factor-2 alpha (HIF-2</w:t>
      </w:r>
      <w:r>
        <w:rPr>
          <w:rFonts w:ascii="Arial Unicode MS" w:cs="Arial Unicode MS" w:eastAsia="Arial Unicode MS" w:hAnsi="Arial Unicode MS"/>
          <w:sz w:val="17"/>
          <w:szCs w:val="17"/>
          <w:color w:val="auto"/>
        </w:rPr>
        <w:t>⍺</w:t>
      </w:r>
      <w:r>
        <w:rPr>
          <w:rFonts w:ascii="Calibri" w:cs="Calibri" w:eastAsia="Calibri" w:hAnsi="Calibri"/>
          <w:sz w:val="17"/>
          <w:szCs w:val="17"/>
          <w:color w:val="auto"/>
        </w:rPr>
        <w:t>) developed by Arcus Biosciences, Inc. (Arcus). In September 2024, we halted enrollment following the joint decision between us and Arcus to wind down the study and end our clinical collaboraton given the two companies’ difering strategies with respect to potental TKI-HIF combinaton regimens to treat RCC.</w:t>
      </w:r>
    </w:p>
    <w:p>
      <w:pPr>
        <w:spacing w:after="0" w:line="165"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i w:val="1"/>
          <w:iCs w:val="1"/>
          <w:color w:val="auto"/>
        </w:rPr>
        <w:t>STELLAR-303 - CRC</w:t>
      </w:r>
      <w:r>
        <w:rPr>
          <w:rFonts w:ascii="Calibri" w:cs="Calibri" w:eastAsia="Calibri" w:hAnsi="Calibri"/>
          <w:sz w:val="18"/>
          <w:szCs w:val="18"/>
          <w:color w:val="auto"/>
        </w:rPr>
        <w:t>. In June 2022, we initated STELLAR-303, a global, multcenter, randomized, open-label phase 3 pivotal trial evaluatng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zanzalintnib in combinaton with atezolizumab versus regorafenib in patents with metastatc, refractory non-microsatellite instability-high or non-mismatch repair-defcient CRC. We announced completon of enrollment into STELLAR-303 in August 2024, and preliminary results are expected in the second half of 2025, dependent on study event rates. Patents are randomized 1:1 to the experimental arm of zanzalintnib in combinaton with atezolizumab or to the control arm of regorafenib. Under the amended trial protocol, the primary efcacy endpoint for STELLAR-303 is OS in those patents without liver metastases, followed by OS in the full intent-to-treat populaton. Additonal key endpoints include investgator-assessed PFS, ORR and DOR per RECIST v. 1.1 in each populaton.</w:t>
      </w:r>
    </w:p>
    <w:p>
      <w:pPr>
        <w:spacing w:after="0" w:line="168"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CRC is the third most common cancer and the third-leading cause of cancer-related deaths in the U.S. According to the American Cancer Society, approximately 154,000 new cases will be diagnosed in the U.S. and around 53,000 people will die from the disease in 2025. CRC is most frequently diagnosed among people aged 65-74 and is more common in men and those of non-Hispanic American Indian/Alaska Natve descent. Nearly a quarter of CRC cases are diagnosed at the metastatc stage, at which point the fve-year survival rate is just 15%. It has been estmated that approximately 40-52% of metastatc CRC cases exhibit a RAS mutaton</w:t>
      </w:r>
      <w:r>
        <w:rPr>
          <w:rFonts w:ascii="Calibri" w:cs="Calibri" w:eastAsia="Calibri" w:hAnsi="Calibri"/>
          <w:sz w:val="21"/>
          <w:szCs w:val="21"/>
          <w:color w:val="auto"/>
        </w:rPr>
        <w:t>.</w:t>
      </w:r>
    </w:p>
    <w:p>
      <w:pPr>
        <w:spacing w:after="0" w:line="171"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i w:val="1"/>
          <w:iCs w:val="1"/>
          <w:color w:val="auto"/>
        </w:rPr>
        <w:t>STELLAR-304 - Non-Clear Cell RCC</w:t>
      </w:r>
      <w:r>
        <w:rPr>
          <w:rFonts w:ascii="Calibri" w:cs="Calibri" w:eastAsia="Calibri" w:hAnsi="Calibri"/>
          <w:sz w:val="18"/>
          <w:szCs w:val="18"/>
          <w:color w:val="auto"/>
        </w:rPr>
        <w:t>. In December 2022, we initated STELLAR-304, a global, multcenter, randomized, open-label phase 3 pivotal trial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evaluatng zanzalintnib in combinaton with nivolumab versus sunitnib in previously untreated patents with advanced nccRCC. The trial aims to enroll approximately 291 patents at approximately 173 sites globally by mid-2025. Patents are being randomized 2:1 to the experimental arm of zanzalintnib in combinaton with nivolumab or to the control arm of sunitnib, respectvely. The primary efcacy endpoints for STELLAR-304 are BIRC-assessed PFS and ORR per RECIST v 1.1. The secondary efcacy endpoint is OS. Based on current enrollment status in the trial, the primary endpoint of PFS is expected to be available in the second half of 2025, dependent on study event rates.</w:t>
      </w:r>
    </w:p>
    <w:p>
      <w:pPr>
        <w:spacing w:after="0" w:line="167"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Non-clear cell RCC represents about 25% of RCC cases. Many of the therapies approved for advanced nccRCC are predominately based on data from ccRCC studies because nccRCC tumors are histologically diverse and rare in occurrence with historically poor outcomes.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STELLAR-305 - Squamous Cell Cancers of the Head and Neck (SCCHN)</w:t>
      </w:r>
      <w:r>
        <w:rPr>
          <w:rFonts w:ascii="Calibri" w:cs="Calibri" w:eastAsia="Calibri" w:hAnsi="Calibri"/>
          <w:sz w:val="18"/>
          <w:szCs w:val="18"/>
          <w:color w:val="auto"/>
        </w:rPr>
        <w:t>. In December 2023, we initated STELLAR-305, a global, multcenter,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randomized, double-blinded phase 2/3 pivotal trial evaluatng zanzalintnib in combinaton with pembrolizumab, an ant-PD-1 ICI developed by Merck &amp; Co., Inc. (Merck &amp; Co.), versus monotherapy pembrolizumab in patents with previously untreated PD-L1-positve recurrent or metastatc SCCHN. The trial aims to enroll approximately 600 patents at approximately 215 sites globally and enrollment is ongoing. Patents will be randomized 1:1 to receive zanzalintnib in combinaton with pembrolizumab or placebo in combinaton with pembrolizumab. The primary efcacy endpoints for STELLAR-305 are BIRC-assessed PFS per RECIST v. 1.1 and OS. Secondary endpoints include investgator-assessed PFS per RECIST v. 1.1 and ORR and DOR per RECIST v. 1.1 as assessed by both BIRC and the investgator.</w:t>
      </w:r>
    </w:p>
    <w:p>
      <w:pPr>
        <w:spacing w:after="0" w:line="168"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SCCHN comprises head and neck cancers that begin in the squamous cells that line the mucosal surfaces of the head and neck. Accountng for about 90% of all head and neck cancers, SCCHN is classifed by its locaton: it can occur in the oral cavity, oropharynx, nasal cavity and paranasal sinuses, nasopharynx, larynx or hypopharynx. Approximately 50,000 new cases of SCCHN are diagnosed in the U.S. every year, and SCCHN is more common among men and people over the age of 50. Depending on the site of the cancer and level of metastases, the fve-year survival rate for metastatc SCCHN ranges from 4-35%.</w:t>
      </w:r>
    </w:p>
    <w:p>
      <w:pPr>
        <w:spacing w:after="0" w:line="166" w:lineRule="exact"/>
        <w:rPr>
          <w:sz w:val="20"/>
          <w:szCs w:val="20"/>
          <w:color w:val="auto"/>
        </w:rPr>
      </w:pPr>
    </w:p>
    <w:p>
      <w:pPr>
        <w:ind w:right="180" w:firstLine="648"/>
        <w:spacing w:after="0" w:line="235" w:lineRule="auto"/>
        <w:rPr>
          <w:sz w:val="20"/>
          <w:szCs w:val="20"/>
          <w:color w:val="auto"/>
        </w:rPr>
      </w:pPr>
      <w:r>
        <w:rPr>
          <w:rFonts w:ascii="Calibri" w:cs="Calibri" w:eastAsia="Calibri" w:hAnsi="Calibri"/>
          <w:sz w:val="18"/>
          <w:szCs w:val="18"/>
          <w:color w:val="auto"/>
        </w:rPr>
        <w:t>Beyond STELLAR-303, STELLAR-304 and STELLAR-305, we intend to initate additonal early-stage and pivotal trials evaluatng zanzalintnib across a broad array of future potental indicatons, including STELLAR-311, a planned phase 3 pivotal trial evaluatng zanzalintnib versus everolimus as a frst oral therapy in patents with advanced NET, regardless of site of origin, which we antcipate will commence in the frst half of 2025.</w:t>
      </w:r>
    </w:p>
    <w:p>
      <w:pPr>
        <w:spacing w:after="0" w:line="165"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To further expand our exploraton of the clinical potental of zanzalintnib, in October 2024, we announced our entry into a clinical development collaboraton with MSD Internatonal Business GmbH, known as Merck within the United States and Canada (Merck) to evaluate zanzalintnib in combinaton with KEYTRUDA® (pembrolizumab) in SCCHN and in combinaton with WELIREG® (belzutfan), Merck's oral HIF-2α inhibitor, in RCC. Under the collaboraton, Merck will supply KEYTRUDA for our ongoing phase 3 STELLAR-305 trial in SCCHN. In additon, Merck will sponsor a phase 1/2 trial and two phase 3 pivotal trials in RCC; Merck will fund one of these phase 3 studies, and we will co-fund the phase 1/2 study and the other phase 3 study, as well as supply zanzalintnib and cabozantnib. We maintain all global commercial and marketng rights to zanzalintnib.</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XL309 Development Program</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September 2023, we entered into an exclusive global license agreement with Insilico Medicine US, Inc. and its afliate, Insilico Medicine Hong Kong Limited, along with their parent company and certain other afliated enttes (individually and collectvely referred to as Insilico). The agreement with Insilico grants us global rights to develop and commercialize XL309, a potentally best-in-class small molecule inhibitor of USP1, a synthetc lethal target in the context of BRCA-mutated tumors. XL309 is currently being evaluated in a phase 1 clinical trial to explore its pharmacokinetcs, safety, tolerability and preliminary ant-tumor actvity in patents with advanced solid tumors as a monotherapy and in combinaton with olaparib, PARP1/2 inhibitor, and enrollment is ongoing. XL309 has potental in patents whose tumors are no longer responsive to PARP inhibitors (PARPi), including ovarian, breast and prostate cancers. XL309 also has potental in combinaton with PARPi agents to deepen and prolong the response seen to PARPi, as well as to broaden the actvity beyond that observed in patents with tumors that harbor a BRCA1/2 mutaton. Exelixis plans to present data from the XL309 program at a scientfc meetng in 2025. For more informaton on the Insilico license agreement, see “—Collaboratons and Business Development Actvites—Research Collaboratons and In-licensing Arrangements.”</w:t>
      </w:r>
    </w:p>
    <w:p>
      <w:pPr>
        <w:spacing w:after="0" w:line="166"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ADU-1805 Development Program</w:t>
      </w:r>
    </w:p>
    <w:p>
      <w:pPr>
        <w:spacing w:after="0" w:line="163"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In November 2022, we executed an exclusive opton and license agreement and clinical development collaboraton with Sairopa B.V. (Sairopa) providing us with the right to exclusively in-license ADU-1805, a clinical-stage and potentally best-in-class mAb developed by Sairopa that targets SIRPα. In February 2023, the FDA cleared the inital IND for ADU-1805 to evaluate the safety and pharmacokinetcs of ADU-1805 in adults with advanced solid tumors. ADU-1805 is currently being evaluated in a phase 1 clinical trial to explore its pharmacokinetcs, safety, tolerability and preliminary ant-tumor actvity in patents with advanced or metastatc refractory solid tumors, and enrollment is ongoing. The ADU-1805 study includes plans to investgate the compound’s potental in combinaton with approved ICIs, including pembrolizumab. For more informaton on the Sairopa opton arrangement, see “—Collaboratons and Business Development Actvites—Research Collaboratons and In-licensing Arrangements.”</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A complete listng of all ongoing trials can be found at www.ClinicalTrials.gov.</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Terminaton of CBX-12 and XB002 Development Programs</w:t>
      </w:r>
    </w:p>
    <w:p>
      <w:pPr>
        <w:spacing w:after="0" w:line="163" w:lineRule="exact"/>
        <w:rPr>
          <w:sz w:val="20"/>
          <w:szCs w:val="20"/>
          <w:color w:val="auto"/>
        </w:rPr>
      </w:pPr>
    </w:p>
    <w:p>
      <w:pPr>
        <w:ind w:right="80" w:firstLine="648"/>
        <w:spacing w:after="0" w:line="251" w:lineRule="auto"/>
        <w:rPr>
          <w:sz w:val="20"/>
          <w:szCs w:val="20"/>
          <w:color w:val="auto"/>
        </w:rPr>
      </w:pPr>
      <w:r>
        <w:rPr>
          <w:rFonts w:ascii="Calibri" w:cs="Calibri" w:eastAsia="Calibri" w:hAnsi="Calibri"/>
          <w:sz w:val="17"/>
          <w:szCs w:val="17"/>
          <w:color w:val="auto"/>
        </w:rPr>
        <w:t>In January 2024, we elected to terminate our collaboraton agreement, executed in November 2022 with Cybrexa Therapeutcs, LLC (Cybrexa), and relinquish all rights with respect to CBX-12 (alphalexTM exatecan), a clinical-stage, peptde-drug conjugate that utlizes Cybrexa’s proprietary alphalex technology to enhance delivery of exatecan to tumor cells. In August 2024, we announced that we will discontnue the development of XB002, our tssue factor (TF) targetng ADC, as part of our portolio prioritzaton eforts. Based on available data, the compound is unlikely to improve upon tsotumab vedotn or other compettor TF-targetng ADCs currently in development. We plan to disclose data from the phase 1 JEWEL-101 study, evaluatng XB002 in advance solid tumors, at a later date. We plan to reallocate resources to new pivotal trials with zanzalintnib, advancing XL309 and our growing pipeline.</w:t>
      </w:r>
    </w:p>
    <w:p>
      <w:pPr>
        <w:spacing w:after="0" w:line="1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Expansion of the Exelixis Pipeline</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Increasing the number of novel ant-cancer agents in our pipeline is essental to our overall strategy and business goals. We are working to expand our oncology product pipeline through drug discovery eforts, which encompass our diverse biotherapeutcs and small molecule programs exploring multple modalites and mechanisms of acton. This approach provides a high degree of fexibility with respect to target selecton and allows us to prioritze those targets that we believe have the greatest chance of yielding impactul therapeutcs. As part of our strategy, our drug discovery actvites have included and contnue to include research collaboratons, in-licensing arrangements and other strategic transactons that collectvely incorporate a wide range of technology platorms and assets and increase our probability of success. As of the date of this Annual Report on Form 10-K, we expect to progress up to three new development candidates into preclinical development during 2025. We will contnue to engage in pipeline expansion initatves with the goal of discovering, acquiring and/or in-licensing promising investgatonal oncology assets and then further characterize and develop them utlizing our established preclinical and clinical development infrastructure.</w:t>
      </w:r>
    </w:p>
    <w:p>
      <w:pPr>
        <w:spacing w:after="0" w:line="165"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Biotherapeutcs Programs</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We are advancing a variety of biotherapeutcs that have the potental to become ant-cancer therapies, including bispecifc antbodies and ADCs. ADCs in partcular present a unique opportunity for new cancer treatments, given their capabilites to deliver ant-cancer drug payloads to targets with increased precision while minimizing impact on healthy tssues. We have established multple research collaboratons and in-licensing arrangements and entered into other strategic transactons, aimed at conserving capital and managing risks, that provide us with access to antbodies, binders, payloads and conjugaton technologies, which are the components employed to generate next-generaton ADCs or multspecifc antbodies. In additon to the opton deal with Sairopa, some of our actve research collaboratons for biotherapeutcs programs include collaboratons with:</w:t>
      </w:r>
    </w:p>
    <w:p>
      <w:pPr>
        <w:spacing w:after="0" w:line="53" w:lineRule="exact"/>
        <w:rPr>
          <w:sz w:val="20"/>
          <w:szCs w:val="20"/>
          <w:color w:val="auto"/>
        </w:rPr>
      </w:pPr>
    </w:p>
    <w:p>
      <w:pPr>
        <w:ind w:left="820" w:right="680" w:hanging="229"/>
        <w:spacing w:after="0" w:line="209" w:lineRule="auto"/>
        <w:tabs>
          <w:tab w:leader="none" w:pos="816"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Adagene Inc. (Adagene), which is focused on using Adagene’s SAFEbody</w:t>
      </w:r>
      <w:r>
        <w:rPr>
          <w:rFonts w:ascii="Calibri" w:cs="Calibri" w:eastAsia="Calibri" w:hAnsi="Calibri"/>
          <w:sz w:val="23"/>
          <w:szCs w:val="23"/>
          <w:color w:val="auto"/>
          <w:vertAlign w:val="superscript"/>
        </w:rPr>
        <w:t>TM</w:t>
      </w:r>
      <w:r>
        <w:rPr>
          <w:rFonts w:ascii="Calibri" w:cs="Calibri" w:eastAsia="Calibri" w:hAnsi="Calibri"/>
          <w:sz w:val="18"/>
          <w:szCs w:val="18"/>
          <w:color w:val="auto"/>
        </w:rPr>
        <w:t xml:space="preserve"> technology to develop novel masked ADCs or other innovatve biotherapeutcs with potental for improved therapeutc index;</w:t>
      </w:r>
    </w:p>
    <w:p>
      <w:pPr>
        <w:spacing w:after="0" w:line="56" w:lineRule="exact"/>
        <w:rPr>
          <w:rFonts w:ascii="Calibri" w:cs="Calibri" w:eastAsia="Calibri" w:hAnsi="Calibri"/>
          <w:sz w:val="18"/>
          <w:szCs w:val="18"/>
          <w:color w:val="auto"/>
        </w:rPr>
      </w:pPr>
    </w:p>
    <w:p>
      <w:pPr>
        <w:ind w:left="820" w:right="60" w:hanging="229"/>
        <w:spacing w:after="0" w:line="235" w:lineRule="auto"/>
        <w:tabs>
          <w:tab w:leader="none" w:pos="816"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Catalent, Inc. (Catalent), which is focused on the discovery and development of multple ADCs using Catalent’s proprietary SMARTag® site-specifc bioconjugaton technology; and</w:t>
      </w:r>
    </w:p>
    <w:p>
      <w:pPr>
        <w:spacing w:after="0" w:line="55" w:lineRule="exact"/>
        <w:rPr>
          <w:rFonts w:ascii="Calibri" w:cs="Calibri" w:eastAsia="Calibri" w:hAnsi="Calibri"/>
          <w:sz w:val="18"/>
          <w:szCs w:val="18"/>
          <w:color w:val="auto"/>
        </w:rPr>
      </w:pPr>
    </w:p>
    <w:p>
      <w:pPr>
        <w:ind w:left="820" w:right="380" w:hanging="229"/>
        <w:spacing w:after="0" w:line="235" w:lineRule="auto"/>
        <w:tabs>
          <w:tab w:leader="none" w:pos="816"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Invenra, Inc. (Invenra), which is focused on the discovery and development of novel binders and multspecifc antbodies for the treatment of cancer.</w:t>
      </w:r>
    </w:p>
    <w:p>
      <w:pPr>
        <w:spacing w:after="0" w:line="164"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We have made signifcant progress under our research collaboratons and in-licensing arrangements and believe we will contnue to do so in 2025 and future years. For example, in August 2024, we announced the initaton of a phase 1 clinical trial evaluatng XB010, both as a monotherapy and in combinaton with pembrolizumab, in patents with advanced solid tumors, following the FDA’s acceptance of our IND applicaton, and enrollment is ongoing. XB010 is our frst ADC advanced internally and consists of an MMAE payload conjugated to a mAb targetng the tumor antgen 5T4. XB010 was constructed using Catalent’s SMARTag site-specifc bioconjugaton platorm, and its 5T4-targetng mAb was discovered in collaboraton with Invenra.</w:t>
      </w:r>
    </w:p>
    <w:p>
      <w:pPr>
        <w:spacing w:after="0" w:line="166"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As a direct result of these arrangements, we are advancing four biotherapeutcs development candidates toward potental IND flings in 2025 and 2026: XB628, XB371, XB064 and XB033. XB628 is a bispecifc antbody that targets PD-L1 and natural killer cell receptor group 2A (NKG2A), identfed as key regulators of natural killer cell actvity, and was discovered, in part, in collaboraton with Invenra. XB371 is a next-generaton TF-targetng ADC that consists of a topoisomerase inhibitor payload conjugated to a mAb targetng TF and was discovered, in part, in collaboraton with Catalent.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3" w:right="37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XB064 is a high-afnity mAb that targets immunoglobin-like transcript 2 (ILT2), which is associated with resistance to PD-1 pathway inhibitors, with potental to combine broadly with our internal pipeline and approved immunotherapy agents, and was discovered, in part, in collaboraton with Invenra. XB033 is an ADC targetng the tumor antgen IL13Rα2, and was discovered, in part, in collaboraton with Invenra and Catalent. For additonal informaton on these specifc research collaboratons and in-licensing arrangements related to our biotherapeutcs programs, see “—Collaboratons and Business Development Actvites—Research Collaboratons and In-licensing Arrangements.”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Small Molecule Programs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Since its formaton in 2000, our drug discovery group has advanced over 25 compounds to the IND-stage, either independently or with collaboraton partners, and today we deploy our drug discovery expertse to advance small molecule programs toward and through preclinical development. These eforts are led by our experienced scientsts, including some of the same scientsts who led the eforts to discover cabozantnib, cobimetnib and esaxerenone, each of which are now commercially distributed drug products. The furthest along of our internally-discovered small molecule product candidates is zanzalintnib, which is now being evaluated in phase 3 clinical trials, followed by XL495, which is being evaluated in a phase 1 clinical trial. We also augment our small molecule discovery actvites through research collaboratons and in-licensing arrangements. An example of this is XL309, in-licensed from Insilico and currently being evaluated in a phase 1 clinical trial. For additonal informaton on our development plans for XL309, see “Exelixis Development Programs— Pipeline Development Programs – Advancing Exelixis’ Future Cancer Therapy Candidates—XL309 Development Program” and for additonal informaton on our research collaboratons and in-licensing arrangements related to our small molecule programs, see “—Collaboratons and Business Development Actvites—Research Collaboratons and In-licensing Arrangements.” We also contnue to make progress on multple lead optmizaton programs for inhibitors of a variety of targets that we believe play signifcant roles in tumor growth, and we antcipate that some of these other programs could reach development candidate status in 2025 and beyond.</w:t>
      </w:r>
    </w:p>
    <w:p>
      <w:pPr>
        <w:spacing w:after="0" w:line="1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Collaboratons and Business Development Actvites</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We have established multple collaboratons with leading biopharmaceutcal companies for the commercializaton and further development of the cabozantnib franchise, as well as research collaboratons and in-licensing arrangements to enhance our early-stage pipeline and expand our ability to discover novel therapies.</w:t>
      </w:r>
    </w:p>
    <w:p>
      <w:pPr>
        <w:spacing w:after="0" w:line="165"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Under our commercial collaboratons, we are enttled to receive milestones and royaltes or, in the case of cobimetnib, royaltes from sales outside the U.S. and a share of profts (or losses) from commercializaton in the U.S. Under our research collaboratons and in-licensing arrangements, we are obligated to pay milestones and royaltes to our various partners.</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Cabozantnib Commercial Collaboratons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Ipsen Collaboraton</w:t>
      </w:r>
    </w:p>
    <w:p>
      <w:pPr>
        <w:spacing w:after="0" w:line="163" w:lineRule="exact"/>
        <w:rPr>
          <w:sz w:val="20"/>
          <w:szCs w:val="20"/>
          <w:color w:val="auto"/>
        </w:rPr>
      </w:pPr>
    </w:p>
    <w:p>
      <w:pPr>
        <w:ind w:right="40" w:firstLine="648"/>
        <w:spacing w:after="0" w:line="251" w:lineRule="auto"/>
        <w:rPr>
          <w:sz w:val="20"/>
          <w:szCs w:val="20"/>
          <w:color w:val="auto"/>
        </w:rPr>
      </w:pPr>
      <w:r>
        <w:rPr>
          <w:rFonts w:ascii="Calibri" w:cs="Calibri" w:eastAsia="Calibri" w:hAnsi="Calibri"/>
          <w:sz w:val="17"/>
          <w:szCs w:val="17"/>
          <w:color w:val="auto"/>
        </w:rPr>
        <w:t>In February 2016, we entered into a collaboraton and license agreement with Ipsen for the commercializaton and further development of cabozantnib. Under the collaboraton agreement, Ipsen received exclusive commercializaton rights for current and potental future cabozantnib indicatons outside of the U.S., Canada and Japan. The collaboraton agreement has been subsequently amended on multple occasions, including in December 2016 to include commercializaton rights in Canada. We have also agreed to collaborate with Ipsen on the development of cabozantnib for current and potental future indicatons. The partes’ eforts are governed through a joint steering commitee and appropriate subcommitees established to guide and oversee the collaboraton’s operaton and strategic directon; however, we retain fnal decision-making authority with respect to cabozantnib’s ongoing development.</w:t>
      </w:r>
    </w:p>
    <w:p>
      <w:pPr>
        <w:spacing w:after="0" w:line="156"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In consideraton for the exclusive license and other rights contained in the collaboraton agreement, including commercializaton rights in Canada, Ipsen paid us aggregate upfront payments of $210.0 million in 2016. As of December 31, 2024, we achieved aggregate milestone payments of $654.2 million related to regulatory and commercial progress by Ipsen since the incepton of the collaboraton agreement, including (a) a commercial milestone payment during 2024 for $150.0 million based on Ipsen achieving $600 million in cumulatve net sales of cabozantnib in its related license territory over four consecutve quarters; (b) a CAD$3.0 million commercial milestone payment from Ipsen upon its achievement of CAD$30.0 million in cumulatve net sales of cabozantnib over four consecutve quarters in Canada; and, (c) a $12.5 million regulatory milestone payment from Ipsen upon submission of a variaton applicaton to the EMA for evaluatng cabozantnib versus placebo in patents with either advanced pNET or advanced epNET who experienced progression afer prior systematc therapy.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3" w:right="37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20" w:firstLine="648"/>
        <w:spacing w:after="0" w:line="251" w:lineRule="auto"/>
        <w:rPr>
          <w:sz w:val="20"/>
          <w:szCs w:val="20"/>
          <w:color w:val="auto"/>
        </w:rPr>
      </w:pPr>
      <w:r>
        <w:rPr>
          <w:rFonts w:ascii="Calibri" w:cs="Calibri" w:eastAsia="Calibri" w:hAnsi="Calibri"/>
          <w:sz w:val="17"/>
          <w:szCs w:val="17"/>
          <w:color w:val="auto"/>
        </w:rPr>
        <w:t>We are also eligible to receive future development and regulatory milestone payments from Ipsen, totaling an aggregate of $7.0 million upon additonal approvals of cabozantnib in future indicatons and/or jurisdictons, as well as contngent payments of up to $200.0 million and CAD$23.5 million associated with future sales milestones. We will further receive royaltes on net sales of cabozantnib by Ipsen outside of the U.S. and Japan. We are enttled to receive a tered royalty of 22% to 26% on annual net sales, with separate ters for Canada; these 22% to 26% royalty ters reset each calendar year. As of December 31, 2024, we have earned royaltes of $671.9 million on net sales of cabozantnib by Ipsen since the incepton of the collaboraton agreement.</w:t>
      </w:r>
    </w:p>
    <w:p>
      <w:pPr>
        <w:spacing w:after="0" w:line="157"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We received notfcaton that, efectve January 1, 2021, Royalty Pharma plc (Royalty Pharma) acquired from GlaxoSmithKline (GSK) all rights, ttle and interest in royaltes on total net sales of any product containing cabozantnib for non-U.S. markets for the full term of the royalty and for the U.S. market through September 2026, afer which tme U.S. royaltes will revert back to GSK. Accordingly, and consistent with our historical agreement with GSK, we are required to pay a 3% royalty to Royalty Pharma on total net sales of any product containing cabozantnib, including net sales by Ipsen.</w:t>
      </w:r>
    </w:p>
    <w:p>
      <w:pPr>
        <w:spacing w:after="0" w:line="165"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We are responsible for funding cabozantnib-related development costs for those trials in existence at the tme we entered into the collaboraton agreement with Ipsen; global development costs for additonal trials are shared between the partes, with Ipsen reimbursing us for 35% of such costs, provided Ipsen chooses to opt into such trials. In accordance with the collaboraton agreement, Ipsen has opted into and is co-funding certain clinical trials, including: CheckMate -9ER, COSMIC-021, COSMIC-311, COSMIC-312, CONTACT-01, CONTACT-02 and CABINET.</w:t>
      </w:r>
    </w:p>
    <w:p>
      <w:pPr>
        <w:spacing w:after="0" w:line="165"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remain responsible for manufacturing and supply of cabozantnib for all development and commercializaton actvites under the collaboraton agreement. We entered into a supply agreement with Ipsen to supply fnished and labeled drug product for distributon in the territories outside of the U.S. and Japan for the term of the collaboraton agreement as well as a quality agreement that provides respectve quality responsibilites for the aforementoned supply. At the tme we entered into the collaboraton agreement, the partes also entered into a pharmacovigilance agreement, which defnes each partner’s responsibilites for safety reportng. The pharmacovigilance agreement requires us to maintain the global safety database for cabozantnib. To meet our obligatons to regulatory authorites for the reportng of safety data from territories outside of the U.S. and Japan from sources other than our sponsored global clinical development trials, we rely on data collected and reported to us by Ipsen.</w:t>
      </w:r>
    </w:p>
    <w:p>
      <w:pPr>
        <w:spacing w:after="0" w:line="168"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Unless earlier terminated, the collaboraton agreement has a term that contnues, on a product-by-product and country-by-country basis, untl the later of (1) the expiraton of patent claims related to cabozantnib, (2) the expiraton of regulatory exclusivity covering cabozantnib or (3) ten years afer the frst commercial sale of cabozantnib, other than COMETRIQ. The supply agreement will contnue in efect untl expiraton or terminaton of the collaboraton agreement. The collaboraton agreement may be terminated for cause by either party based on uncured material breach of either the collaboraton agreement or the supply agreement by the other party, bankruptcy of the other party or for safety reasons. We may terminate the collaboraton agreement if Ipsen challenges or opposes any patent covered by the collaboraton agreement. Ipsen may terminate the collaboraton agreement if the FDA or EMA orders or requires substantally all cabozantnib clinical trials to be terminated. Ipsen also has the right to terminate the collaboraton agreement on a region-by-region basis afer the frst commercial sale of cabozantnib in advanced RCC in the given region. Upon terminaton by either party, all licenses granted by us to Ipsen will automatcally terminate, and, except in the event of a terminaton by Ipsen for our material breach, the licenses granted by Ipsen to us shall survive such terminaton and shall automatcally become worldwide, or, if Ipsen were to terminate only for a partcular region, then for the terminated region. Following terminaton by us for Ipsen’s material breach, or terminaton by Ipsen without cause or because we undergo a change of control by a party engaged in a competng program, Ipsen is prohibited from competng with us for a period of tme.</w:t>
      </w:r>
    </w:p>
    <w:p>
      <w:pPr>
        <w:spacing w:after="0" w:line="167"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Takeda Collaboraton</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January 2017, we entered into a collaboraton and license agreement with Takeda, as subsequently amended to, among other things, modify the amount of reimbursements we receive for costs associated with our required pharmacovigilance actvites and milestones we are eligible to receive, as well as modify certain cost sharing obligatons related to the Japan-specifc development costs associated with CONTACT-01 and CONTACT-02. Under the collaboraton agreement, Takeda has exclusive commercializaton rights for current and potental future cabozantnib indicatons in Japan, and the partes have agreed to collaborate on the clinical development of cabozantnib in Japan. The operaton and strategic directon of the partes’ collaboraton is governed through a joint executve commitee and appropriate subcommitees.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20" w:firstLine="648"/>
        <w:spacing w:after="0" w:line="235" w:lineRule="auto"/>
        <w:rPr>
          <w:sz w:val="20"/>
          <w:szCs w:val="20"/>
          <w:color w:val="auto"/>
        </w:rPr>
      </w:pPr>
      <w:r>
        <w:rPr>
          <w:rFonts w:ascii="Calibri" w:cs="Calibri" w:eastAsia="Calibri" w:hAnsi="Calibri"/>
          <w:sz w:val="18"/>
          <w:szCs w:val="18"/>
          <w:color w:val="auto"/>
        </w:rPr>
        <w:t>In consideraton for the exclusive license and other rights contained in the collaboraton agreement, we received an upfront payment of $50.0 million from Takeda in 2017. As of December 31, 2024, we have also achieved aggregate milestone payments of $138.0 million related to regulatory and commercial progress by Takeda since the incepton of the collaboraton agreement. We are eligible to receive additonal regulatory and development milestone payments, without limit, for additonal potental future indicatons.</w:t>
      </w:r>
    </w:p>
    <w:p>
      <w:pPr>
        <w:spacing w:after="0" w:line="165"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We are further eligible to receive commercial milestones, including milestone payments earned for the frst commercial sale of a product of $108.0 million. We also receive royaltes on the net sales of cabozantnib in Japan. We are enttled to receive a tered royalty of 15% to 24% on the inital $300.0 million of net sales, and following this inital $300.0 million of net sales, we are then enttled to receive a tered royalty of 20% to 30% on annual net sales thereafer; these 20% to 30% royalty ters reset each calendar year. As of December 31, 2024, we have earned royaltes of $47.1 million on net sales of cabozantnib by Takeda since the incepton of the collaboraton agreement.</w:t>
      </w:r>
    </w:p>
    <w:p>
      <w:pPr>
        <w:spacing w:after="0" w:line="166" w:lineRule="exact"/>
        <w:rPr>
          <w:sz w:val="20"/>
          <w:szCs w:val="20"/>
          <w:color w:val="auto"/>
        </w:rPr>
      </w:pPr>
    </w:p>
    <w:p>
      <w:pPr>
        <w:ind w:right="700" w:firstLine="648"/>
        <w:spacing w:after="0" w:line="235" w:lineRule="auto"/>
        <w:rPr>
          <w:sz w:val="20"/>
          <w:szCs w:val="20"/>
          <w:color w:val="auto"/>
        </w:rPr>
      </w:pPr>
      <w:r>
        <w:rPr>
          <w:rFonts w:ascii="Calibri" w:cs="Calibri" w:eastAsia="Calibri" w:hAnsi="Calibri"/>
          <w:sz w:val="18"/>
          <w:szCs w:val="18"/>
          <w:color w:val="auto"/>
        </w:rPr>
        <w:t>Consistent with our historical agreement with GSK, we are required to pay a 3% royalty to Royalty Pharma on total net sales of any product containing cabozantnib, including net sales by Takeda.</w:t>
      </w:r>
    </w:p>
    <w:p>
      <w:pPr>
        <w:spacing w:after="0" w:line="164"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Except for CONTACT-01 and CONTACT-02, Takeda is responsible for 20% of the costs associated with the cabozantnib development plan’s current and future trials, provided Takeda opts into such trials, and 100% of costs associated with the cabozantnib development actvites that are exclusively for the beneft of Japan. In accordance with the collaboraton agreement, Takeda has opted into and is co-funding certain clinical trials, including: CheckMate -9ER; certain cohorts of COSMIC-021; CONTACT-01; and CONTACT-02.</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Under the collaboraton agreement, we are responsible for the manufacturing and supply of cabozantnib for all development and commercializaton actvites under the collaboraton agreement. We entered into a clinical supply agreement covering the supply of cabozantnib to Takeda for the term of the collaboraton agreement, as well as a quality agreement that provides respectve quality responsibilites for the aforementoned supply. At the tme we entered into the collaboraton agreement, the partes also entered into a safety data exchange agreement, which defnes each partner’s responsibility for safety reportng. This agreement requires us to maintain the global safety database for cabozantnib. To meet our obligatons to regulatory authorites for the reportng of safety data from Japan from sources other than our sponsored global clinical development trials, we rely on data collected and reported to us by Takeda.</w:t>
      </w:r>
    </w:p>
    <w:p>
      <w:pPr>
        <w:spacing w:after="0" w:line="168"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Unless earlier terminated, the collaboraton agreement has a term that contnues, on a product-by-product basis, untl the earlier of (1) two years afer frst generic entry with respect to such product in Japan or (2) the later of (A) the expiraton of patent claims related to cabozantnib and (B) the expiraton of regulatory exclusivity covering cabozantnib in Japan. The collaboraton agreement may be terminated for cause by either party based on uncured material breach by the other party, bankruptcy of the other party or for safety reasons. We may terminate the agreement if Takeda challenges or opposes any patent covered by the collaboraton agreement. Afer the commercial launch of cabozantnib in Japan, Takeda may terminate the collaboraton agreement upon twelve months’ prior writen notce following the third anniversary of the frst commercial sale of cabozantnib in Japan. Upon terminaton by either party, all licenses granted by us to Takeda will automatcally terminate, and the licenses granted by Takeda to us shall survive such terminaton and shall automatcally become worldwide.</w:t>
      </w:r>
    </w:p>
    <w:p>
      <w:pPr>
        <w:spacing w:after="0" w:line="164"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Cabozantnib Development Collaboratons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BMS Collaboraton</w:t>
      </w:r>
    </w:p>
    <w:p>
      <w:pPr>
        <w:spacing w:after="0" w:line="163" w:lineRule="exact"/>
        <w:rPr>
          <w:sz w:val="20"/>
          <w:szCs w:val="20"/>
          <w:color w:val="auto"/>
        </w:rPr>
      </w:pPr>
    </w:p>
    <w:p>
      <w:pPr>
        <w:ind w:right="600" w:firstLine="648"/>
        <w:spacing w:after="0" w:line="235" w:lineRule="auto"/>
        <w:rPr>
          <w:sz w:val="20"/>
          <w:szCs w:val="20"/>
          <w:color w:val="auto"/>
        </w:rPr>
      </w:pPr>
      <w:r>
        <w:rPr>
          <w:rFonts w:ascii="Calibri" w:cs="Calibri" w:eastAsia="Calibri" w:hAnsi="Calibri"/>
          <w:sz w:val="18"/>
          <w:szCs w:val="18"/>
          <w:color w:val="auto"/>
        </w:rPr>
        <w:t>In February 2017, we entered into a clinical trial collaboraton agreement with BMS for the purpose of exploring the therapeutc potental of cabozantnib in combinaton with BMS’s ICIs, nivolumab and/or ipilimumab, to treat a variety of types of cancer.</w:t>
      </w:r>
    </w:p>
    <w:p>
      <w:pPr>
        <w:spacing w:after="0" w:line="164" w:lineRule="exact"/>
        <w:rPr>
          <w:sz w:val="20"/>
          <w:szCs w:val="20"/>
          <w:color w:val="auto"/>
        </w:rPr>
      </w:pPr>
    </w:p>
    <w:p>
      <w:pPr>
        <w:ind w:right="60" w:firstLine="648"/>
        <w:spacing w:after="0" w:line="251" w:lineRule="auto"/>
        <w:rPr>
          <w:sz w:val="20"/>
          <w:szCs w:val="20"/>
          <w:color w:val="auto"/>
        </w:rPr>
      </w:pPr>
      <w:r>
        <w:rPr>
          <w:rFonts w:ascii="Calibri" w:cs="Calibri" w:eastAsia="Calibri" w:hAnsi="Calibri"/>
          <w:sz w:val="17"/>
          <w:szCs w:val="17"/>
          <w:color w:val="auto"/>
        </w:rPr>
        <w:t>Under the collaboraton agreement with BMS, each party granted to the other a non-exclusive, worldwide (within the collaboraton territory as defned in the collaboraton agreement and its supplemental agreements), non-transferable, royalty-free license to use the other party’s compounds in the conduct of each clinical trial. The partes’ eforts are governed through a joint development commitee established to guide and oversee the collaboraton’s operaton. Each trial is conducted under a combinaton IND applicaton, unless otherwise required by a regulatory authority. Each party is responsible for supplying fnished drug product for the applicable clinical trial, and responsibility for the payment of costs for each such trial will be determined on a trial-by-trial basis. Following the FDA’s approval of CABOMETYX in combinaton with nivolumab as a frst-line treatment of patents with advanced RCC, we and BMS commenced the commercial launch of the combinaton and have agreed to pursue commercializaton and marketng eforts independently.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Roche Collaboraton</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In February 2017, we entered into a master clinical supply agreement with Roche for the purpose of evaluatng cabozantnib and Roche’s ICI, atezolizumab, in locally advanced or metastatc solid tumors. Under this agreement, in June 2017, we initated COSMIC-021 and in December 2018, we initated COSMIC-312. We were the sponsor of both trials, and Roche provided atezolizumab free of charge. Building upon encouraging clinical actvity observed in COSMIC-021, in December 2019 we entered into a joint clinical research agreement with Roche to further evaluate the combinaton of cabozantnib with atezolizumab in patents with locally advanced or metastatc solid tumors, including in the CONTACT-01, CONTACT-02 and CONTACT-03 studies. A party to the joint clinical research agreement that proposes any additonal combined therapy trials beyond any ongoing phase 3 pivotal trials must notfy the other party and if agreed to, such additonal combined therapy trial will become part of the collaboraton; if not agreed to, the proposing party may conduct such additonal combined therapy trial independently, subject to specifed restrictons set forth in the joint clinical research agreement.</w:t>
      </w:r>
    </w:p>
    <w:p>
      <w:pPr>
        <w:spacing w:after="0" w:line="169" w:lineRule="exact"/>
        <w:rPr>
          <w:sz w:val="20"/>
          <w:szCs w:val="20"/>
          <w:color w:val="auto"/>
        </w:rPr>
      </w:pPr>
    </w:p>
    <w:p>
      <w:pPr>
        <w:ind w:right="40" w:firstLine="648"/>
        <w:spacing w:after="0" w:line="251" w:lineRule="auto"/>
        <w:rPr>
          <w:sz w:val="20"/>
          <w:szCs w:val="20"/>
          <w:color w:val="auto"/>
        </w:rPr>
      </w:pPr>
      <w:r>
        <w:rPr>
          <w:rFonts w:ascii="Calibri" w:cs="Calibri" w:eastAsia="Calibri" w:hAnsi="Calibri"/>
          <w:sz w:val="17"/>
          <w:szCs w:val="17"/>
          <w:color w:val="auto"/>
        </w:rPr>
        <w:t>Under the joint clinical research agreement, each party granted to the other a non-exclusive, worldwide (excluding, in our case, territory already the subject of a license by us to Takeda), non-transferable, royalty-free license, with a right to sublicense (subject to limitatons), to use the other party’s intellectual property and compounds solely as necessary for the party to perform its obligatons under the joint clinical research agreement. The partes’ eforts are governed through a joint steering commitee established to guide and oversee the collaboraton and the conduct of the combined therapy trials. Each party is responsible for providing, and bearing the cost of, clinical supply for all combined therapy trials. Clinical trial expenses for each jointly conducted combined therapy trial are shared equally between the partes, and for each additonal combined therapy trial not agreed to be conducted jointly, are borne by the proposing party, except that the cost of clinical supply for all combined therapy trials are borne by the party that owns the applicable product.</w:t>
      </w:r>
    </w:p>
    <w:p>
      <w:pPr>
        <w:spacing w:after="0" w:line="155"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Unless earlier terminated, the joint clinical research agreement provides that it will remain in efect untl the completon of all combined therapy trials under the collaboraton, the delivery of all related trial data to both partes, and the completon of any then agreed-upon additonal analyses. The joint clinical research agreement may be terminated for cause by either party based on any uncured material breach by the other party, bankruptcy of the other party or for safety reasons. Upon terminaton by either party, the licenses granted to each party will terminate upon completon of any ongoing actvites under the joint clinical research agreement.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Zanzalintnib Clinical Collaboratons</w:t>
      </w:r>
    </w:p>
    <w:p>
      <w:pPr>
        <w:spacing w:after="0" w:line="163" w:lineRule="exact"/>
        <w:rPr>
          <w:sz w:val="20"/>
          <w:szCs w:val="20"/>
          <w:color w:val="auto"/>
        </w:rPr>
      </w:pPr>
    </w:p>
    <w:p>
      <w:pPr>
        <w:ind w:right="340" w:firstLine="648"/>
        <w:spacing w:after="0" w:line="235" w:lineRule="auto"/>
        <w:rPr>
          <w:sz w:val="20"/>
          <w:szCs w:val="20"/>
          <w:color w:val="auto"/>
        </w:rPr>
      </w:pPr>
      <w:r>
        <w:rPr>
          <w:rFonts w:ascii="Calibri" w:cs="Calibri" w:eastAsia="Calibri" w:hAnsi="Calibri"/>
          <w:sz w:val="18"/>
          <w:szCs w:val="18"/>
          <w:color w:val="auto"/>
        </w:rPr>
        <w:t>We have also entered into multple collaboraton and supply agreements to evaluate zanzalintnib in various combinaton trials, including with Roche’s atezolizumab, BMS’ nivolumab, ipilimumab and relatlimab and Merck’s pembrolizumab and belzutfan. These agreements facilitate the efcient exploraton of the tolerability and actvity of zanzalintnib in combinatons with a variety of established cancer therapies as we contnue to build a broad development program for zanzalintnib. For descriptons of our ongoing clinical trials evaluatng zanzalintnib in combinaton with other therapies, see “— Exelixis Development Programs—Pipeline Development Programs — Advancing Exelixis’ Future Cancer Therapy Candidates—Zanzalintnib Development Program.”</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Research Collaboratons and In-licensing Arrangements</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As part of our pipeline expansion eforts, we have entered several research collaboratons and in-licensing arrangements, as well other strategic transactons that collectvely incorporate a wide range of technology platorms and assets and increase our probability of success. More recently, we have focused our business development actvites on late preclinical and early-stage clinical assets that align with our oncology drug development, regulatory and commercial expertse, and that have potental as product candidates to treat cancer patents, including the following:</w:t>
      </w:r>
    </w:p>
    <w:p>
      <w:pPr>
        <w:spacing w:after="0" w:line="57" w:lineRule="exact"/>
        <w:rPr>
          <w:sz w:val="20"/>
          <w:szCs w:val="20"/>
          <w:color w:val="auto"/>
        </w:rPr>
      </w:pPr>
    </w:p>
    <w:p>
      <w:pPr>
        <w:ind w:left="820" w:hanging="229"/>
        <w:spacing w:after="0" w:line="235" w:lineRule="auto"/>
        <w:tabs>
          <w:tab w:leader="none" w:pos="816"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Sairopa. In November 2022, we entered into an exclusive opton and license agreement and clinical development collaboraton with Sairopa to develop ADU-1805. Under the agreement, we made an upfront payment to Sairopa, including additonal payments for near-term milestones, in exchange for an opton to obtain an exclusive, worldwide license to develop and commercialize ADU-1805 and other ant-SIRPα antbodies, and for certain expenses to be incurred by Sairopa in conductng prespecifed phase 1 clinical studies of ADU-1805 during the opton period. Sairopa is eligible to receive additonal development milestone payments during the opton period. Following the completon of the prespecifed clinical studies, we have the right to exercise our opton upon payment of an opton exercise fee. Upon opton exercise, Sairopa will be eligible to receive additonal development and commercial milestone payments, as well as royaltes on potental sales.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20" w:right="220" w:hanging="229"/>
        <w:spacing w:after="0" w:line="235" w:lineRule="auto"/>
        <w:tabs>
          <w:tab w:leader="none" w:pos="816"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Insilico. In September 2023, we entered into an exclusive global license agreement with Insilico. Under the agreement, Insilico granted us global rights to develop and commercialize XL309 in exchange for an upfront payment to Insilico of $80 million. Insilico is also eligible to receive future development, commercial, and sales-based milestone payments, as well as tered royaltes on net sales. In the fourth quarter of 2023, we completed the transfer of stewardship of the ongoing phase 1 clinical trial evaluatng XL309 from Insilico to us.</w:t>
      </w:r>
    </w:p>
    <w:p>
      <w:pPr>
        <w:spacing w:after="0" w:line="165" w:lineRule="exact"/>
        <w:rPr>
          <w:sz w:val="20"/>
          <w:szCs w:val="20"/>
          <w:color w:val="auto"/>
        </w:rPr>
      </w:pPr>
    </w:p>
    <w:p>
      <w:pPr>
        <w:ind w:right="300" w:firstLine="648"/>
        <w:spacing w:after="0" w:line="235" w:lineRule="auto"/>
        <w:rPr>
          <w:sz w:val="20"/>
          <w:szCs w:val="20"/>
          <w:color w:val="auto"/>
        </w:rPr>
      </w:pPr>
      <w:r>
        <w:rPr>
          <w:rFonts w:ascii="Calibri" w:cs="Calibri" w:eastAsia="Calibri" w:hAnsi="Calibri"/>
          <w:sz w:val="18"/>
          <w:szCs w:val="18"/>
          <w:color w:val="auto"/>
        </w:rPr>
        <w:t>We contnue to make progress on our various research collaboratons and in-licensing arrangements focused on our early-stage pipeline with the goal of advancing new candidates toward the clinic, including the following:</w:t>
      </w:r>
    </w:p>
    <w:p>
      <w:pPr>
        <w:spacing w:after="0" w:line="56" w:lineRule="exact"/>
        <w:rPr>
          <w:sz w:val="20"/>
          <w:szCs w:val="20"/>
          <w:color w:val="auto"/>
        </w:rPr>
      </w:pPr>
    </w:p>
    <w:p>
      <w:pPr>
        <w:ind w:left="820" w:hanging="229"/>
        <w:spacing w:after="0" w:line="235" w:lineRule="auto"/>
        <w:tabs>
          <w:tab w:leader="none" w:pos="816"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Catalent. In September 2020, we entered into a collaboraton and license agreement with Catalent to develop multple ADCs using Catalent’s proprietary SMARTag site-specifc bioconjugaton technology. Under the September 2020 agreement, we made an upfront payment in exchange for an exclusive opton to license up to four targets using Catalent’s ADC platorm over a three-year period. In additon, in August 2022 we exercised our right to extend the target selecton term to fve years and nominate up to two additonal targets for an additonal payment. For each opton we decide to exercise, we will be required to pay an exercise fee, and will then assume responsibility for all subsequent clinical development, manufacturing and commercializaton for that program. Catalent would then become eligible for potental development, regulatory and commercial milestone payments, as well as royaltes on potental sales. We have also commited to contribute research funding to Catalent for discovery and preclinical development work. In December 2024, we terminated a separate license agreement with Catalent, previously entered into in November 2022, for three target programs.</w:t>
      </w:r>
    </w:p>
    <w:p>
      <w:pPr>
        <w:spacing w:after="0" w:line="61" w:lineRule="exact"/>
        <w:rPr>
          <w:rFonts w:ascii="Calibri" w:cs="Calibri" w:eastAsia="Calibri" w:hAnsi="Calibri"/>
          <w:sz w:val="18"/>
          <w:szCs w:val="18"/>
          <w:color w:val="auto"/>
        </w:rPr>
      </w:pPr>
    </w:p>
    <w:p>
      <w:pPr>
        <w:ind w:left="820" w:right="40" w:hanging="229"/>
        <w:spacing w:after="0" w:line="235" w:lineRule="auto"/>
        <w:tabs>
          <w:tab w:leader="none" w:pos="816"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Adagene. In February 2021, we entered into a collaboraton and license agreement with Adagene to utlize Adagene’s SAFEbody technology platorm to generate masked versions of mAbs from our growing preclinical pipeline for the development of ADCs or other innovatve biotherapeutcs against Exelixis-nominated targets. Under the agreement, we made an upfront payment in exchange for an exclusive, worldwide license to develop and commercialize any potental ADC products generated in collaboraton with Adagene with respect to an inital target, as well as a second target we may nominate during the collaboraton term. For each target that we nominate, we would then assume responsibility for all subsequent clinical development, manufacturing and commercializaton for that program. Adagene is eligible for potental development, regulatory and commercial milestone payments, as well as royaltes on potental sales.</w:t>
      </w:r>
    </w:p>
    <w:p>
      <w:pPr>
        <w:spacing w:after="0" w:line="59" w:lineRule="exact"/>
        <w:rPr>
          <w:rFonts w:ascii="Calibri" w:cs="Calibri" w:eastAsia="Calibri" w:hAnsi="Calibri"/>
          <w:sz w:val="18"/>
          <w:szCs w:val="18"/>
          <w:color w:val="auto"/>
        </w:rPr>
      </w:pPr>
    </w:p>
    <w:p>
      <w:pPr>
        <w:ind w:left="820" w:right="560" w:hanging="229"/>
        <w:spacing w:after="0" w:line="235" w:lineRule="auto"/>
        <w:tabs>
          <w:tab w:leader="none" w:pos="816"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Iconic. In May 2019, we entered into an exclusive opton and license agreement with Iconic to advance an innovatve next-generaton ADC program for cancer, leveraging Iconic’s expertse in targetng TF in solid tumors. We later amended this agreement to obtain broad rights to develop the in-licensed ant-TF antbodies, allowing us to advance preclinical development of XB371, an ADC consistng of a topoisomerase payload conjugated to a TF-targetng monoclonal antbody.</w:t>
      </w:r>
    </w:p>
    <w:p>
      <w:pPr>
        <w:spacing w:after="0" w:line="57" w:lineRule="exact"/>
        <w:rPr>
          <w:rFonts w:ascii="Calibri" w:cs="Calibri" w:eastAsia="Calibri" w:hAnsi="Calibri"/>
          <w:sz w:val="18"/>
          <w:szCs w:val="18"/>
          <w:color w:val="auto"/>
        </w:rPr>
      </w:pPr>
    </w:p>
    <w:p>
      <w:pPr>
        <w:ind w:left="820" w:right="40" w:hanging="229"/>
        <w:spacing w:after="0" w:line="231" w:lineRule="auto"/>
        <w:tabs>
          <w:tab w:leader="none" w:pos="816"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Invenra. In May 2018, we entered into a collaboraton and license agreement with Invenra to discover and develop multspecifc antbodies for the treatment of cancer. Invenra is responsible for antbody lead discovery and generaton while we will lead IND-enabling studies, manufacturing, clinical development in single-agent and combinaton therapy regimens, and future regulatory and commercializaton actvites. The collaboraton agreement provides that we will receive an exclusive, worldwide license to one preclinical, multspecifc antbody asset, and that we will pursue multple additonal discovery projects across three diferent programs during the term of the collaboraton. In October 2019, we expanded our collaboraton to include the development of novel binders against six additonal targets, which we can use to generate multspecifc antbodies based on Invenra’s B-Body</w:t>
      </w:r>
      <w:r>
        <w:rPr>
          <w:rFonts w:ascii="Calibri" w:cs="Calibri" w:eastAsia="Calibri" w:hAnsi="Calibri"/>
          <w:sz w:val="23"/>
          <w:szCs w:val="23"/>
          <w:color w:val="auto"/>
          <w:vertAlign w:val="superscript"/>
        </w:rPr>
        <w:t>TM</w:t>
      </w:r>
      <w:r>
        <w:rPr>
          <w:rFonts w:ascii="Calibri" w:cs="Calibri" w:eastAsia="Calibri" w:hAnsi="Calibri"/>
          <w:sz w:val="18"/>
          <w:szCs w:val="18"/>
          <w:color w:val="auto"/>
        </w:rPr>
        <w:t xml:space="preserve"> technology platorm, or with other platorms and formats at our opton. We amended the agreement again in March 2020 and January 2021 to enable the use of target binders in non-Invenra platorm-based modalites, such as ADC platorms, and to enable the development of biparatopic antbodies, respectvely. Then in August 2021, we further expanded our collaboraton to include up to 20 additonal targets for biotherapeutcs discovery and development, for which we agreed to pay Invenra exclusivity payments and research program funding over a three-year period. Under the collaboraton, Invenra is eligible for project initaton fees and potental development, regulatory and commercial milestone payments, as well as tered royaltes on net sales of any approved products. We also have the right to exercise optons with respect to certain of Invenra’s other research programs in exchange for an opton exercise payment, and Invenra is eligible for milestone payments and royaltes for any products that arise from these optoned research programs.</w:t>
      </w:r>
    </w:p>
    <w:p>
      <w:pPr>
        <w:spacing w:after="0" w:line="166"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In order to prioritze the advancement of our pipeline of clinical and near-clinical programs, we rebalanced our investment priorites and research and development resources toward our product development actvites. Accordingly, in April 2024, we terminated our arrangements with Aurigene, BioInvent Internatonal AB, Cybrexa and STORM Therapeutcs LTD.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Other Collaboratons</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Prior to the commercializaton of our frst product, COMETRIQ, our primary business strategy was focused on the development and out-licensing of innovatve drug candidate compounds to pharmaceutcal and biotechnology companies under collaboraton agreements that allowed us to retain economic partcipaton in the asset and support additonal development of our proprietary products. Our collaboraton agreements with Genentech and Daiichi Sankyo are representatve of this historical strategy. Under our collaboraton agreement with Genentech we out-licensed the further development and commercializaton of COTELLIC, and under our collaboraton agreement with Daiichi Sankyo we granted Daiichi Sankyo an exclusive, worldwide license to certain intellectual property, including MINNEBRO. We have since evolved and are now a fully integrated biopharmaceutcal company focused on driving the expansion and depth of our product oferings through the contnued development of the cabozantnib franchise and drug discovery eforts. While these historical collaboraton agreements have the potental to provide future revenue, and while we have received some collaboraton revenues from these arrangements, we do not expect to receive signifcant revenues from these historical collaboraton agreements.</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Manufacturing and Product Supply</w:t>
      </w:r>
    </w:p>
    <w:p>
      <w:pPr>
        <w:spacing w:after="0" w:line="163"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do not operate our own current Good Manufacturing Practce (GMP) manufacturing or distributon facilites for chemistry, manufacturing and control (CMC) development actvites, preclinical, clinical or commercial producton and distributon for our current products and new product candidates. Instead, we mostly rely on various third-party contract manufacturing organizatons to conduct GMP manufacturing operatons on our behalf. This external network consists of well-established and reputable global third-party GMP contract manufacturers for our CMC development and manufacturing that have good regulatory standing, suitable manufacturing capacites and capabilites. We will contnue to expand this network as appropriate to meet our future commercial manufacturing and supply needs for our product candidates currently in development, should such programs advance to regulatory approval and subsequent commercializaton. These third partes must comply with applicable legal and regulatory requirements, including the FDA’s current GMP, the European Commission’s (EC) Guidelines on Good Distributon Practce (GDP), as well as other stringent regulatory requirements enforced by the FDA or foreign regulatory agencies, as applicable, and are subject to routne inspectons by such regulatory agencies. In additon, through our third-party contract manufacturers and data service providers, we contnue to provide serialized commercial products as required to comply with the Drug Supply Chain Security Act (DSCSA) and its foreign equivalents where applicable.</w:t>
      </w:r>
    </w:p>
    <w:p>
      <w:pPr>
        <w:spacing w:after="0" w:line="171" w:lineRule="exact"/>
        <w:rPr>
          <w:sz w:val="20"/>
          <w:szCs w:val="20"/>
          <w:color w:val="auto"/>
        </w:rPr>
      </w:pPr>
    </w:p>
    <w:p>
      <w:pPr>
        <w:jc w:val="both"/>
        <w:ind w:right="180" w:firstLine="648"/>
        <w:spacing w:after="0" w:line="235" w:lineRule="auto"/>
        <w:rPr>
          <w:sz w:val="20"/>
          <w:szCs w:val="20"/>
          <w:color w:val="auto"/>
        </w:rPr>
      </w:pPr>
      <w:r>
        <w:rPr>
          <w:rFonts w:ascii="Calibri" w:cs="Calibri" w:eastAsia="Calibri" w:hAnsi="Calibri"/>
          <w:sz w:val="18"/>
          <w:szCs w:val="18"/>
          <w:color w:val="auto"/>
        </w:rPr>
        <w:t>Specifcally with respect to CABOMETYX, we entered into agreements with secondary contract manufacturing organizatons to produce additonal commercial supplies of CABOMETYX tablets and cabozantnib drug substance, which bolsters our commercial supply chain and serves to mitgate the risk of supply chain interruptons or other failures.</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contnually monitor and evaluate the performance of our third-party contract manufacturers on an ongoing basis for compliance with these requirements and to afrm their contnuing capabilites to meet both our commercial and clinical needs. We also have contracted with a third-party logistcs provider, with multple distributon locatons, to provide shipping and warehousing services for our commercial supply of both CABOMETYX and COMETRIQ in the U.S. We employ highly skilled personnel with both technical and manufacturing experience to diligently manage the actvites at our third-party contract manufacturers and other supply chain partners, and our quality department audits them on a periodic basis.</w:t>
      </w:r>
    </w:p>
    <w:p>
      <w:pPr>
        <w:spacing w:after="0" w:line="166"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We source raw materials that are used to manufacture our drug substance from multple third-party suppliers in Asia, Europe and North America. Where appropriate, we stock sufcient quanttes of these materials and provide them to our third-party drug substance contract manufacturers so they can manufacture adequate drug substance quanttes per our requirements, for both clinical and commercial purposes. We store drug substance at third-party facilites and provide appropriate amounts to our third-party drug product contract manufacturers, who manufacture, package and label our specifed quanttes of fnished goods for COMETRIQ and CABOMETYX. We also rely on our third-party contract manufacturers to source materials such as excipients, components and reagents, which are required to manufacture our drug substance and fnished drug product.</w:t>
      </w:r>
    </w:p>
    <w:p>
      <w:pPr>
        <w:spacing w:after="0" w:line="167"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We have established and contnue to maintain substantal safety stock inventories for our drug substance and drug products, and we store these quanttes in multple locatons. The quanttes that we store are based on our business needs and take into account forecasts of global market demand, producton lead tmes, potental supply interruptons and shelf life for our drug substance and drug products. We have not experienced signifcant producton delays or seen signifcant impairment to our supply chain as a result of the ongoing geopolitcal hostlites in Eastern Europe and the Middle East or other global events. We believe that our current manufacturing network has the appropriate capacity to produce sufcient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380"/>
        <w:spacing w:after="0" w:line="235" w:lineRule="auto"/>
        <w:rPr>
          <w:sz w:val="20"/>
          <w:szCs w:val="20"/>
          <w:color w:val="auto"/>
        </w:rPr>
      </w:pPr>
      <w:r>
        <w:rPr>
          <w:rFonts w:ascii="Calibri" w:cs="Calibri" w:eastAsia="Calibri" w:hAnsi="Calibri"/>
          <w:sz w:val="18"/>
          <w:szCs w:val="18"/>
          <w:color w:val="auto"/>
        </w:rPr>
        <w:t>commercial quanttes of CABOMETYX to support the currently approved RCC, HCC and DTC indicatons, and also potental additonal indicatons if trials evaluatng CABOMETYX in those indicatons are successful and gain regulatory approval. Our manufacturing footprint also enables us to fulfll our supply obligatons for our products and product candidates to our collaboraton partners for global commercial and development purposes.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Marketng and Sales</w:t>
      </w:r>
    </w:p>
    <w:p>
      <w:pPr>
        <w:spacing w:after="0" w:line="163"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have a fully integrated commercial team consistng of sales, marketng, market access, and commercial operatons functons. Our sales team promotes CABOMETYX and COMETRIQ in the U.S. We market our products in the U.S. and concentrate our eforts on oncologists, oncology nurses, pharmacists and other healthcare professionals. In additon to using customary in-person pharmaceutcal company practces, we also utlize digital marketng technologies to expand our engagement opportunites with customers.</w:t>
      </w:r>
    </w:p>
    <w:p>
      <w:pPr>
        <w:spacing w:after="0" w:line="165" w:lineRule="exact"/>
        <w:rPr>
          <w:sz w:val="20"/>
          <w:szCs w:val="20"/>
          <w:color w:val="auto"/>
        </w:rPr>
      </w:pPr>
    </w:p>
    <w:p>
      <w:pPr>
        <w:ind w:right="20" w:firstLine="648"/>
        <w:spacing w:after="0" w:line="251" w:lineRule="auto"/>
        <w:rPr>
          <w:sz w:val="20"/>
          <w:szCs w:val="20"/>
          <w:color w:val="auto"/>
        </w:rPr>
      </w:pPr>
      <w:r>
        <w:rPr>
          <w:rFonts w:ascii="Calibri" w:cs="Calibri" w:eastAsia="Calibri" w:hAnsi="Calibri"/>
          <w:sz w:val="17"/>
          <w:szCs w:val="17"/>
          <w:color w:val="auto"/>
        </w:rPr>
        <w:t>Our commercial products, CABOMETYX and COMETRIQ, are sold initally through wholesale distributon and specialty pharmacy channels and then, if applicable, resold to hospitals and other organizatons that provide CABOMETYX and COMETRIQ to end-user patents. To facilitate our commercial actvites in the U.S., we also employ various third partes, such as advertsing agencies, market research frms and vendors providing other sales-support related services as needed, including digital marketng and other non-personal promoton. We believe that our commercial team and distributon practces are sufcient to facilitate our marketng eforts in reaching our target audience and our delivery of our products to patents in a tmely and compliant fashion.</w:t>
      </w:r>
    </w:p>
    <w:p>
      <w:pPr>
        <w:spacing w:after="0" w:line="15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additon, we rely on Ipsen and Takeda for ongoing and further commercializaton and distributon of CABOMETYX in territories outside of the U.S., as well as for access and distributon actvites for the approved products, including named patent use programs or similar programs, and we also rely on Ipsen for these same actvites with respect to the commercializaton and distributon of COMETRIQ outside of the U.S.</w:t>
      </w:r>
    </w:p>
    <w:p>
      <w:pPr>
        <w:spacing w:after="0" w:line="165" w:lineRule="exact"/>
        <w:rPr>
          <w:sz w:val="20"/>
          <w:szCs w:val="20"/>
          <w:color w:val="auto"/>
        </w:rPr>
      </w:pPr>
    </w:p>
    <w:p>
      <w:pPr>
        <w:ind w:right="220" w:firstLine="648"/>
        <w:spacing w:after="0" w:line="235" w:lineRule="auto"/>
        <w:rPr>
          <w:sz w:val="20"/>
          <w:szCs w:val="20"/>
          <w:color w:val="auto"/>
        </w:rPr>
      </w:pPr>
      <w:r>
        <w:rPr>
          <w:rFonts w:ascii="Calibri" w:cs="Calibri" w:eastAsia="Calibri" w:hAnsi="Calibri"/>
          <w:sz w:val="18"/>
          <w:szCs w:val="18"/>
          <w:color w:val="auto"/>
        </w:rPr>
        <w:t>To help ensure that all eligible patents in the U.S. have appropriate access to CABOMETYX and COMETRIQ, we have established a comprehensive reimbursement and patent support program called Exelixis Access Services (EASE). Through EASE, we provide co-pay assistance to qualifed, commercially insured patents to help minimize out-of-pocket costs and provide free drug to uninsured or underinsured patents who meet certain clinical and fnancial criteria. In additon, EASE provides comprehensive reimbursement support services, such as prior authorizaton assistance, benefts investgaton and, if needed, appeals support. Beyond fnancial assistance, patents who partcipate in EASE also receive treatment coordinaton through a dedicated case manager, as well as clinical outreach and support from a network of oncology nurses or other healthcare professionals who help many of these patents beter understand how to take their medicaton and mitgate side efects.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Environmental, Health and Safety</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Our research and development processes involve the controlled use of certain hazardous materials and chemicals. In the U.S., at the federal, state and local levels, and in other foreign countries, we are subject to environmental, health and workplace safety laws and regulatons governing the use, manufacture, storage, handling and disposal of hazardous materials. While we have incurred, and will contnue to incur, expenditures to maintain compliance with these laws and regulatons, we do not expect the cost of complying with these laws and regulatons to be material.</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Many of our employees work in our on-site laboratory facilites and are trained on chemical hygiene, the use of personal protectve equipment and other relevant laboratory safety topics, including working with blood-borne pathogens. Current staf are retrained regularly. We also extend these trainings to facilites staf and others who support our work in the labs. To maintain a safe environment for all staf, we have established a Lab Safety Commitee to oversee the working conditons in our laboratory and ofce environments and conduct regular safety inspectons, with reports provided to our Ethics Commitee on a regular basis. We regularly perform thorough safety inspectons of our laboratories, and contnuously update our procedures based on the observatons made during these inspectons. Additonally, we conduct periodic industrial hygiene monitoring to ensure lab staf working with certain known hazardous chemicals do not exceed regulated exposure limits, regularly test and certfy fume hoods, biosafety cabinets and other individual pieces of equipment on which employees rely to maintain a safe working environment. We also adhere to the standards set by the Environmental Protecton Agency, the Occupatonal Safety and Health Administraton, Cal-OSHA and Bay Area Air Quality Management District, among other governing bodies, to ensure compliance with laws and regulatons and help keep our employees safe.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3" w:right="37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Government Regulaton</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Clinical Development</w:t>
      </w:r>
    </w:p>
    <w:p>
      <w:pPr>
        <w:spacing w:after="0" w:line="163"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The FDA and comparable regulatory agencies in state and local jurisdictons and in foreign countries impose substantal requirements upon the clinical development, manufacture and marketng of pharmaceutcal products. These agencies and other federal, state and local enttes regulate, among other things, research and development actvites and the testng, marketng approval, manufacture, quality control, safety, efectveness, labeling, storage, distributon, post-marketng safety reportng, export, import, record keeping, advertsing and promoton of our products.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process required by the FDA before product candidates may be marketed in the U.S. generally involves the following:</w:t>
      </w:r>
    </w:p>
    <w:p>
      <w:pPr>
        <w:spacing w:after="0" w:line="50" w:lineRule="exact"/>
        <w:rPr>
          <w:sz w:val="20"/>
          <w:szCs w:val="20"/>
          <w:color w:val="auto"/>
        </w:rPr>
      </w:pPr>
    </w:p>
    <w:p>
      <w:pPr>
        <w:ind w:left="820" w:hanging="229"/>
        <w:spacing w:after="0"/>
        <w:tabs>
          <w:tab w:leader="none" w:pos="8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nonclinical laboratory and animal tests, some of which must be conducted in accordance with Good Laboratory Practces;</w:t>
      </w:r>
    </w:p>
    <w:p>
      <w:pPr>
        <w:spacing w:after="0" w:line="55" w:lineRule="exact"/>
        <w:rPr>
          <w:rFonts w:ascii="Calibri" w:cs="Calibri" w:eastAsia="Calibri" w:hAnsi="Calibri"/>
          <w:sz w:val="18"/>
          <w:szCs w:val="18"/>
          <w:color w:val="auto"/>
        </w:rPr>
      </w:pPr>
    </w:p>
    <w:p>
      <w:pPr>
        <w:ind w:left="820" w:hanging="229"/>
        <w:spacing w:after="0" w:line="235" w:lineRule="auto"/>
        <w:tabs>
          <w:tab w:leader="none" w:pos="816"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submission of an IND, which contains results of nonclinical studies (e.g., laboratory evaluatons of the chemistry, formulaton, stability and toxicity of the product candidate), together with manufacturing informaton, analytcal data, any available clinical data or literature and a proposed clinical protocol, and must become efectve before human clinical trials may begin;</w:t>
      </w:r>
    </w:p>
    <w:p>
      <w:pPr>
        <w:spacing w:after="0" w:line="51" w:lineRule="exact"/>
        <w:rPr>
          <w:rFonts w:ascii="Calibri" w:cs="Calibri" w:eastAsia="Calibri" w:hAnsi="Calibri"/>
          <w:sz w:val="18"/>
          <w:szCs w:val="18"/>
          <w:color w:val="auto"/>
        </w:rPr>
      </w:pPr>
    </w:p>
    <w:p>
      <w:pPr>
        <w:ind w:left="820" w:hanging="229"/>
        <w:spacing w:after="0"/>
        <w:tabs>
          <w:tab w:leader="none" w:pos="8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approval by an independent insttutonal review board or ethics commitee for each clinical trial site before each trial may be initated;</w:t>
      </w:r>
    </w:p>
    <w:p>
      <w:pPr>
        <w:spacing w:after="0" w:line="55" w:lineRule="exact"/>
        <w:rPr>
          <w:rFonts w:ascii="Calibri" w:cs="Calibri" w:eastAsia="Calibri" w:hAnsi="Calibri"/>
          <w:sz w:val="18"/>
          <w:szCs w:val="18"/>
          <w:color w:val="auto"/>
        </w:rPr>
      </w:pPr>
    </w:p>
    <w:p>
      <w:pPr>
        <w:ind w:left="820" w:right="240" w:hanging="229"/>
        <w:spacing w:after="0" w:line="235" w:lineRule="auto"/>
        <w:tabs>
          <w:tab w:leader="none" w:pos="816"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adequate and well-controlled human clinical trials conducted in accordance with the protocol, IND and Good Clinical Practce (GCP) to establish the safety and efcacy of the product candidate for its proposed intended use;</w:t>
      </w:r>
    </w:p>
    <w:p>
      <w:pPr>
        <w:spacing w:after="0" w:line="55" w:lineRule="exact"/>
        <w:rPr>
          <w:rFonts w:ascii="Calibri" w:cs="Calibri" w:eastAsia="Calibri" w:hAnsi="Calibri"/>
          <w:sz w:val="18"/>
          <w:szCs w:val="18"/>
          <w:color w:val="auto"/>
        </w:rPr>
      </w:pPr>
    </w:p>
    <w:p>
      <w:pPr>
        <w:ind w:left="820" w:right="260" w:hanging="229"/>
        <w:spacing w:after="0" w:line="235" w:lineRule="auto"/>
        <w:tabs>
          <w:tab w:leader="none" w:pos="816"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for drug products, submission of a New Drug Applicaton (NDA) to the FDA for commercial marketng, or generally of a supplemental New Drug Applicaton (sNDA), for approval of a new indicaton if the product is already approved for another indicaton;</w:t>
      </w:r>
    </w:p>
    <w:p>
      <w:pPr>
        <w:spacing w:after="0" w:line="55" w:lineRule="exact"/>
        <w:rPr>
          <w:rFonts w:ascii="Calibri" w:cs="Calibri" w:eastAsia="Calibri" w:hAnsi="Calibri"/>
          <w:sz w:val="18"/>
          <w:szCs w:val="18"/>
          <w:color w:val="auto"/>
        </w:rPr>
      </w:pPr>
    </w:p>
    <w:p>
      <w:pPr>
        <w:ind w:left="820" w:right="40" w:hanging="229"/>
        <w:spacing w:after="0" w:line="235" w:lineRule="auto"/>
        <w:tabs>
          <w:tab w:leader="none" w:pos="816"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for biotherapeutc products, submission of a Biologics License Applicaton (BLA) to the FDA for commercial marketng, or generally a supplemental Biologics License Applicaton (sBLA) for approval of a new indicaton if the product is already approved for another indicaton;</w:t>
      </w:r>
    </w:p>
    <w:p>
      <w:pPr>
        <w:spacing w:after="0" w:line="55" w:lineRule="exact"/>
        <w:rPr>
          <w:rFonts w:ascii="Calibri" w:cs="Calibri" w:eastAsia="Calibri" w:hAnsi="Calibri"/>
          <w:sz w:val="18"/>
          <w:szCs w:val="18"/>
          <w:color w:val="auto"/>
        </w:rPr>
      </w:pPr>
    </w:p>
    <w:p>
      <w:pPr>
        <w:ind w:left="820" w:right="160" w:hanging="229"/>
        <w:spacing w:after="0" w:line="235" w:lineRule="auto"/>
        <w:tabs>
          <w:tab w:leader="none" w:pos="816"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pre-approval inspecton of manufacturing facilites and selected clinical investgators, clinical trial sites and/or Exelixis as the clinical trial sponsor for their compliance with GMP and GCP, respectvely;</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payment of user fees for FDA review of an NDA or BLA unless a fee waiver applies;</w:t>
      </w:r>
    </w:p>
    <w:p>
      <w:pPr>
        <w:spacing w:after="0" w:line="55" w:lineRule="exact"/>
        <w:rPr>
          <w:rFonts w:ascii="Calibri" w:cs="Calibri" w:eastAsia="Calibri" w:hAnsi="Calibri"/>
          <w:sz w:val="18"/>
          <w:szCs w:val="18"/>
          <w:color w:val="auto"/>
        </w:rPr>
      </w:pPr>
    </w:p>
    <w:p>
      <w:pPr>
        <w:ind w:left="820" w:right="480" w:hanging="229"/>
        <w:spacing w:after="0" w:line="235" w:lineRule="auto"/>
        <w:tabs>
          <w:tab w:leader="none" w:pos="816"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agreement with the FDA on the fnal labeling for the product and design and implementaton of any required Risk Evaluaton and Mitgaton Strategy;</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if the FDA convenes an advisory commitee, satsfactory completon of the advisory commitee review; and</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FDA approval of the NDA or sNDA, or BLA or sBLA.</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For purposes of NDA approval, human clinical trials are typically conducted in three sequental phases that may overlap or be combined:</w:t>
      </w:r>
    </w:p>
    <w:p>
      <w:pPr>
        <w:spacing w:after="0" w:line="55" w:lineRule="exact"/>
        <w:rPr>
          <w:sz w:val="20"/>
          <w:szCs w:val="20"/>
          <w:color w:val="auto"/>
        </w:rPr>
      </w:pPr>
    </w:p>
    <w:p>
      <w:pPr>
        <w:ind w:left="820" w:right="40" w:hanging="229"/>
        <w:spacing w:after="0" w:line="235" w:lineRule="auto"/>
        <w:tabs>
          <w:tab w:leader="none" w:pos="816"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Phase 1 studies, which involve the inital introducton of a new drug product candidate into humans, are initally conducted in a limited number of subjects to test the product candidate for safety, tolerability, absorpton, metabolism, distributon and excreton in healthy humans or patents. In rare cases, a Phase 1 study that is designed to assess efectveness may serve as the basis for FDA marketng approval of a drug or for a label expansion. For instance, at the FDA’s discreton, a product may receive approval based on a Phase 1b study if efectveness results from the study are extremely compelling, approval of the drug would address a signifcant unmet patent need, and the drug is being approved through the accelerated approval pathway. As discussed below, accelerated approval generally requires at least one post-approval study to confrm clinical beneft.</w:t>
      </w:r>
    </w:p>
    <w:p>
      <w:pPr>
        <w:spacing w:after="0" w:line="59" w:lineRule="exact"/>
        <w:rPr>
          <w:rFonts w:ascii="Calibri" w:cs="Calibri" w:eastAsia="Calibri" w:hAnsi="Calibri"/>
          <w:sz w:val="18"/>
          <w:szCs w:val="18"/>
          <w:color w:val="auto"/>
        </w:rPr>
      </w:pPr>
    </w:p>
    <w:p>
      <w:pPr>
        <w:ind w:left="820" w:right="180" w:hanging="229"/>
        <w:spacing w:after="0" w:line="235" w:lineRule="auto"/>
        <w:tabs>
          <w:tab w:leader="none" w:pos="816"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Phase 2 studies are conducted with groups of patents aficted with a specifed disease in order to provide enough data to evaluate the preliminary efcacy, optmal dosage, and common short-term side efects and risks associated with the drug. Multple phase 2 clinical trials may be conducted by the sponsor to obtain informaton prior to beginning larger and more expensive phase 3 clinical trials. Phase 2 studies are typically well controlled, closely monitored, and conducted in a relatvely small number of patents, usually involving no more than several hundred subjects.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20" w:right="120" w:hanging="229"/>
        <w:spacing w:after="0" w:line="235" w:lineRule="auto"/>
        <w:tabs>
          <w:tab w:leader="none" w:pos="816"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Phase 3 studies are conducted to gather the additonal informaton about efectveness and safety across a higher number of patents and evaluate the overall beneft-risk relatonship of the product candidate following earlier phase evaluatons, which will have provided preliminary evidence suggestng an efectve dosage range and acceptable safety profle for the product candidate. Phase 3 trials are also intended to provide an adequate basis for physician labeling of the product if it is approved.</w:t>
      </w:r>
    </w:p>
    <w:p>
      <w:pPr>
        <w:spacing w:after="0" w:line="165" w:lineRule="exact"/>
        <w:rPr>
          <w:sz w:val="20"/>
          <w:szCs w:val="20"/>
          <w:color w:val="auto"/>
        </w:rPr>
      </w:pPr>
    </w:p>
    <w:p>
      <w:pPr>
        <w:jc w:val="both"/>
        <w:ind w:right="260" w:firstLine="648"/>
        <w:spacing w:after="0" w:line="235" w:lineRule="auto"/>
        <w:rPr>
          <w:sz w:val="20"/>
          <w:szCs w:val="20"/>
          <w:color w:val="auto"/>
        </w:rPr>
      </w:pPr>
      <w:r>
        <w:rPr>
          <w:rFonts w:ascii="Calibri" w:cs="Calibri" w:eastAsia="Calibri" w:hAnsi="Calibri"/>
          <w:sz w:val="18"/>
          <w:szCs w:val="18"/>
          <w:color w:val="auto"/>
        </w:rPr>
        <w:t>The FDA may require, or companies may pursue, additonal clinical trials afer a product is approved. These so-called post-marketng or “phase 4” studies may be deemed a conditon to be satsfed afer a drug receives approval. Failure to satsfy such post-marketng commitments or requirements can result in FDA enforcement acton, up to and including withdrawal of NDA approval.</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FDA Review and Approval</w:t>
      </w:r>
    </w:p>
    <w:p>
      <w:pPr>
        <w:spacing w:after="0" w:line="163"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For approval of a new drug or changes to the labeling of an approved drug, including new indicatons, the results of product development, preclinical studies and clinical trials are submited to the FDA as part of an NDA or sNDA. The submission of an NDA requires payment of a substantal user fee to the FDA. The FDA may convene an advisory commitee to provide clinical insight on NDA review questons, although the FDA is not required to follow the recommendatons of an advisory commitee. The FDA may initally issue a Refuse to File leter for an incomplete NDA or sNDA, or it may deny approval of an NDA or sNDA by way of a Complete Response leter if the applicable regulatory criteria are not satsfed, or alternatvely require additonal clinical and/or nonclinical data and/or an additonal phase 3 pivotal clinical trial. Once issued, the FDA may withdraw product approval if ongoing regulatory standards are not met or if safety problems occur afer the product reaches the market. Satsfacton of FDA development and approval requirements or similar requirements of state, local and foreign regulatory agencies typically takes several years, and the actual tme required may vary substantally based upon the type, complexity and novelty of the product or disease. In partcular, the FDA has developed and implemented, and contnues to develop and implement, various guidance, programs and initatves specifc to oncology products that can afect product development and the data necessary for approval.</w:t>
      </w:r>
    </w:p>
    <w:p>
      <w:pPr>
        <w:spacing w:after="0" w:line="160"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Any products manufactured or distributed by us pursuant to FDA approvals are subject to contnuing regulaton by the FDA, including obtaining prior FDA approval of certain changes to the approved NDA, record-keeping requirements, annual report submission, and reportng of adverse experiences with, and interruptons in the manufacture of, the drug. Drug manufacturers and their subcontractors are required to register their establishments with the FDA and certain state agencies as well as list the products they manufacture. Thus, we and our third-party contract manufacturing organizatons are subject to periodic unannounced inspectons by the FDA and certain state agencies, as well as inspectors from other jurisdictons in which our products are approved, for compliance with GMP, which impose certain manufacturing requirements (including procedural and documentaton requirements) upon us and our third-party contract manufacturing organizatons.</w:t>
      </w:r>
    </w:p>
    <w:p>
      <w:pPr>
        <w:spacing w:after="0" w:line="168" w:lineRule="exact"/>
        <w:rPr>
          <w:sz w:val="20"/>
          <w:szCs w:val="20"/>
          <w:color w:val="auto"/>
        </w:rPr>
      </w:pPr>
    </w:p>
    <w:p>
      <w:pPr>
        <w:ind w:right="40" w:firstLine="648"/>
        <w:spacing w:after="0" w:line="250" w:lineRule="auto"/>
        <w:rPr>
          <w:sz w:val="20"/>
          <w:szCs w:val="20"/>
          <w:color w:val="auto"/>
        </w:rPr>
      </w:pPr>
      <w:r>
        <w:rPr>
          <w:rFonts w:ascii="Calibri" w:cs="Calibri" w:eastAsia="Calibri" w:hAnsi="Calibri"/>
          <w:sz w:val="17"/>
          <w:szCs w:val="17"/>
          <w:color w:val="auto"/>
        </w:rPr>
        <w:t>In the U.S., the Orphan Drug Act of 1983, as amended, provides incentves for the development of drugs and biotherapeutc products for rare diseases or conditons that afect fewer than 200,000 people in the U.S. (or for which there is no reasonable expectaton that the cost of developing and making available the drug in the U.S. for such disease or conditon will be recovered from sales of the drug in the U.S.). Certain of the incentves turn on the drug frst being designated as an orphan drug. To be eligible for designaton as an orphan drug (Orphan Drug Designaton), the drug must have the potental to treat such rare disease or conditon as described above. In additon, the FDA must not have previously approved a drug considered the “same drug,” as defned in the FDA’s orphan drug regulatons, for the same orphan-designated indicaton or the sponsor of the subsequent drug must provide a plausible hypothesis of clinical superiority over the previously approved same drug. Upon receipt of Orphan Drug Designaton, the sponsor is eligible for tax credits of up to 25% for qualifed clinical trial expenses and waiver of the PDUFA applicaton fee. In additon, upon marketng approval, an orphan drug could be eligible for seven years of market exclusivity. Orphan drug exclusivity, if awarded, only blocks the approval of any drug considered the same drug for the same orphan indicaton. A subsequent same drug could break an approved drug’s orphan exclusivity through a demonstraton of clinical superiority.</w:t>
      </w:r>
    </w:p>
    <w:p>
      <w:pPr>
        <w:spacing w:after="0" w:line="156"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Expedited FDA Approval Pathways</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The FDA has various programs that are intended to expedite or simplify the process for developing and reviewing promising drugs, or to provide for the approval of a drug on the basis of a surrogate endpoint. Generally, drugs that are eligible for these programs are those for serious or life-threatening conditons, those with the potental to address unmet medical needs and those that ofer meaningful benefts over existng treatments. Examples of such programs include fast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track designaton, breakthrough therapy designaton, priority review and accelerated approval, and the eligibility criteria of and benefts for each program vary:</w:t>
      </w:r>
    </w:p>
    <w:p>
      <w:pPr>
        <w:spacing w:after="0" w:line="56" w:lineRule="exact"/>
        <w:rPr>
          <w:sz w:val="20"/>
          <w:szCs w:val="20"/>
          <w:color w:val="auto"/>
        </w:rPr>
      </w:pPr>
    </w:p>
    <w:p>
      <w:pPr>
        <w:ind w:left="820" w:right="20" w:hanging="229"/>
        <w:spacing w:after="0" w:line="235" w:lineRule="auto"/>
        <w:tabs>
          <w:tab w:leader="none" w:pos="816"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Fast track designaton is a process designed to facilitate the development and expedite the review of drugs intended to treat serious or life-threatening diseases or conditons that demonstrate the potental to fll unmet medical needs, by providing, among other things, eligibility for accelerated approval if relevant criteria are met, and rolling review, which allows submission of individually completed sectons of an NDA for FDA review before the entre submission is completed.</w:t>
      </w:r>
    </w:p>
    <w:p>
      <w:pPr>
        <w:spacing w:after="0" w:line="57" w:lineRule="exact"/>
        <w:rPr>
          <w:rFonts w:ascii="Calibri" w:cs="Calibri" w:eastAsia="Calibri" w:hAnsi="Calibri"/>
          <w:sz w:val="18"/>
          <w:szCs w:val="18"/>
          <w:color w:val="auto"/>
        </w:rPr>
      </w:pPr>
    </w:p>
    <w:p>
      <w:pPr>
        <w:ind w:left="820" w:right="40" w:hanging="229"/>
        <w:spacing w:after="0" w:line="235" w:lineRule="auto"/>
        <w:tabs>
          <w:tab w:leader="none" w:pos="816"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Breakthrough therapy designaton is a process designed to expedite the development and review of drugs that are intended, alone or in combinaton with one or more other drugs, to treat a serious or life-threatening disease or conditon, and preliminary clinical evidence indicates that the drug may demonstrate substantal improvement over existng therapies on one or more clinically signifcant endpoints. Drugs designated as breakthrough therapies can also be eligible for accelerated approval. The FDA will seek to ensure the sponsor of a breakthrough therapy product candidate receives intensive guidance on an efcient drug development program, intensive involvement of senior managers and experienced staf on a proactve, collaboratve and cross-disciplinary review, and rolling review.</w:t>
      </w:r>
    </w:p>
    <w:p>
      <w:pPr>
        <w:spacing w:after="0" w:line="59" w:lineRule="exact"/>
        <w:rPr>
          <w:rFonts w:ascii="Calibri" w:cs="Calibri" w:eastAsia="Calibri" w:hAnsi="Calibri"/>
          <w:sz w:val="18"/>
          <w:szCs w:val="18"/>
          <w:color w:val="auto"/>
        </w:rPr>
      </w:pPr>
    </w:p>
    <w:p>
      <w:pPr>
        <w:ind w:left="820" w:right="60" w:hanging="229"/>
        <w:spacing w:after="0" w:line="235" w:lineRule="auto"/>
        <w:tabs>
          <w:tab w:leader="none" w:pos="816"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Priority review is designed to shorten the review period for drugs that treat serious conditons and that, if approved, would ofer signifcant advances in safety or efectveness or would provide a treatment where no adequate therapy exists. Under priority review, the FDA aims to take acton on the applicaton within six months as compared to a standard review tme of 10 months, from the 60-day fling date. Sponsors may also obtain a priority review voucher upon approval of an NDA for certain qualifying diseases and conditons that can be applied to a subsequent NDA submission, or sold to another sponsor.</w:t>
      </w:r>
    </w:p>
    <w:p>
      <w:pPr>
        <w:spacing w:after="0" w:line="58" w:lineRule="exact"/>
        <w:rPr>
          <w:rFonts w:ascii="Calibri" w:cs="Calibri" w:eastAsia="Calibri" w:hAnsi="Calibri"/>
          <w:sz w:val="18"/>
          <w:szCs w:val="18"/>
          <w:color w:val="auto"/>
        </w:rPr>
      </w:pPr>
    </w:p>
    <w:p>
      <w:pPr>
        <w:ind w:left="820" w:hanging="229"/>
        <w:spacing w:after="0" w:line="235" w:lineRule="auto"/>
        <w:tabs>
          <w:tab w:leader="none" w:pos="816"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Accelerated approval provides for an earlier approval for a new drug that is intended to treat a serious or life-threatening disease or conditon and that provides a meaningful advantage over available therapies and demonstrates an efect on a surrogate endpoint, or an intermediate clinical endpoint, which is considered reasonably likely to predict clinical beneft. As a conditon of approval, the FDA requires that a sponsor of a product candidate receiving accelerated approval perform post-marketng clinical trials or provide data on established clinical endpoints from the same trial to confrm the clinical beneft as predicted by the surrogate marker trial. The FDA may require such required post-marketng clinical trials to be underway prior to approval, or within a specifc period thereafer, and will specify the conditons for such trials. Sponsors must provide reports on post-marketng trial progress no later than 180 days afer approval and every 180 days thereafer untl such trials are completed. The failure to conduct required post-marketng trials with due diligence and/or to submit the required reports are prohibited acts, and these failures by sponsor in administering such trials, or the failure of such trials to confrm the clinically meaningful outcome, may result in withdrawal of the accelerated approval of the drug or the indicaton. The FDA can also withdraw a drug approved under accelerated approval on an expedited basis provided it follows certain procedures.</w:t>
      </w:r>
    </w:p>
    <w:p>
      <w:pPr>
        <w:spacing w:after="0" w:line="171" w:lineRule="exact"/>
        <w:rPr>
          <w:sz w:val="20"/>
          <w:szCs w:val="20"/>
          <w:color w:val="auto"/>
        </w:rPr>
      </w:pPr>
    </w:p>
    <w:p>
      <w:pPr>
        <w:ind w:right="60" w:firstLine="648"/>
        <w:spacing w:after="0" w:line="251" w:lineRule="auto"/>
        <w:rPr>
          <w:sz w:val="20"/>
          <w:szCs w:val="20"/>
          <w:color w:val="auto"/>
        </w:rPr>
      </w:pPr>
      <w:r>
        <w:rPr>
          <w:rFonts w:ascii="Calibri" w:cs="Calibri" w:eastAsia="Calibri" w:hAnsi="Calibri"/>
          <w:sz w:val="17"/>
          <w:szCs w:val="17"/>
          <w:color w:val="auto"/>
        </w:rPr>
        <w:t>Specifcally, with respect to oncology products, the FDA may review applicatons under the Real-Time Oncology Review (RTOR) program established by the FDA’s Oncology Center of Excellence (OCE). The RTOR program, which allows an applicant to pre-submit components of the NDA or BLA to allow the FDA to review clinical data before the complete fling is submited, aims to explore a more efcient review process to ensure that safe and efectve treatments are available to patents as early as possible, while maintaining and improving review quality. Drugs considered for review under the RTOR program must be likely to demonstrate substantal improvements over available therapy, which may include drugs previously granted breakthrough therapy designaton for the same or other indicatons and must have straight-forward study designs and endpoints that can be easily interpreted.</w:t>
      </w:r>
    </w:p>
    <w:p>
      <w:pPr>
        <w:spacing w:after="0" w:line="151"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Abbreviated FDA Approval Pathways and Generic Products</w:t>
      </w:r>
    </w:p>
    <w:p>
      <w:pPr>
        <w:spacing w:after="0" w:line="163" w:lineRule="exact"/>
        <w:rPr>
          <w:sz w:val="20"/>
          <w:szCs w:val="20"/>
          <w:color w:val="auto"/>
        </w:rPr>
      </w:pPr>
    </w:p>
    <w:p>
      <w:pPr>
        <w:jc w:val="both"/>
        <w:ind w:right="100" w:firstLine="648"/>
        <w:spacing w:after="0" w:line="235" w:lineRule="auto"/>
        <w:rPr>
          <w:sz w:val="20"/>
          <w:szCs w:val="20"/>
          <w:color w:val="auto"/>
        </w:rPr>
      </w:pPr>
      <w:r>
        <w:rPr>
          <w:rFonts w:ascii="Calibri" w:cs="Calibri" w:eastAsia="Calibri" w:hAnsi="Calibri"/>
          <w:sz w:val="18"/>
          <w:szCs w:val="18"/>
          <w:color w:val="auto"/>
        </w:rPr>
        <w:t>The Drug Price Competton and Patent Term Restoraton Act of 1984 (The Hatch-Waxman Act) established two abbreviated approval pathways for drug products in which potental compettors may take advantage of shortened development tmelines by relying upon the FDA’s prior approval of the same or similar drug product.</w:t>
      </w:r>
    </w:p>
    <w:p>
      <w:pPr>
        <w:spacing w:after="0" w:line="57" w:lineRule="exact"/>
        <w:rPr>
          <w:sz w:val="20"/>
          <w:szCs w:val="20"/>
          <w:color w:val="auto"/>
        </w:rPr>
      </w:pPr>
    </w:p>
    <w:p>
      <w:pPr>
        <w:ind w:left="820" w:hanging="229"/>
        <w:spacing w:after="0" w:line="235" w:lineRule="auto"/>
        <w:tabs>
          <w:tab w:leader="none" w:pos="816"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Abbreviated New Drug Applicaton (ANDA). An ANDA may be approved by the FDA if the applicant demonstrates that the proposed generic product is the same as the approved drug, which is referred to as the Reference Listed Drug (RLD). Generally, an ANDA must contain data and informaton showing that the proposed generic product and RLD (1) have the same actve ingredient, in the same strength and dosage form, to be delivered via the same route of administraton, (2) are intended for the same uses, and (3) are bioequivalent. This is instead of independently demonstratng the proposed product’s safety and efectveness through clinical development.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3" w:right="39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20" w:right="80"/>
        <w:spacing w:after="0" w:line="254" w:lineRule="auto"/>
        <w:rPr>
          <w:sz w:val="20"/>
          <w:szCs w:val="20"/>
          <w:color w:val="auto"/>
        </w:rPr>
      </w:pPr>
      <w:r>
        <w:rPr>
          <w:rFonts w:ascii="Calibri" w:cs="Calibri" w:eastAsia="Calibri" w:hAnsi="Calibri"/>
          <w:sz w:val="17"/>
          <w:szCs w:val="17"/>
          <w:color w:val="auto"/>
        </w:rPr>
        <w:t>Conductng bioequivalence testng is generally less tme consuming and costly than conductng a full set of clinical trials in humans. In this regard, the FDA has published draf product-specifc guidance containing bioequivalence recommendatons for development of generic drug products containing cabozantnib, the actve pharmaceutcal ingredient in CABOMETYX and COMETRIQ, as it does for many FDA-approved drug products.</w:t>
      </w:r>
    </w:p>
    <w:p>
      <w:pPr>
        <w:spacing w:after="0" w:line="43" w:lineRule="exact"/>
        <w:rPr>
          <w:sz w:val="20"/>
          <w:szCs w:val="20"/>
          <w:color w:val="auto"/>
        </w:rPr>
      </w:pPr>
    </w:p>
    <w:p>
      <w:pPr>
        <w:ind w:left="820" w:right="20" w:hanging="229"/>
        <w:spacing w:after="0" w:line="235" w:lineRule="auto"/>
        <w:tabs>
          <w:tab w:leader="none" w:pos="816"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505(b)(2) NDAs. An NDA under secton 505(b)(2) (505(b)(2) NDA) of the Federal Food, Drug, and Cosmetc Act (FDCA) is an applicaton for which one or more of the investgatons relied upon by the applicant for approval were not conducted by or for the applicant and for which the applicant has not obtained a right of reference or use from the person by or for whom the investgatons were conducted. Under 505(b)(2) NDA, an applicant may rely, in part, on the FDA’s previous approval of a listed drug, or published literature, in support of its applicaton. If the 505(b)(2) NDA applicant establishes that reliance on the FDA’s prior fndings of safety and efcacy for an approved product is scientfcally appropriate, it may eliminate the need to conduct certain preclinical or clinical studies. The FDA may require additonal studies or measurements, including comparability studies.</w:t>
      </w:r>
    </w:p>
    <w:p>
      <w:pPr>
        <w:spacing w:after="0" w:line="168"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Unlike a full NDA for which the sponsor has conducted or obtained a right of reference to all the data essental to approval, the fling of an ANDA or a 505(b)(2) NDA may be delayed due to patent or exclusivity protectons covering the RLD or listed drug. The Hatch-Waxman Act provides (a) up to fve years of exclusivity for the frst approval of a new chemical entty (NCE) (NCE exclusivity) and (b) three years of exclusivity for approval of an NDA or sNDA for a product that is not an NCE but rather where the applicaton contains new clinical studies conducted or sponsored by the sponsor and considered essental to the approval of the NDA or sNDA (three-year “changes” exclusivity). NCE exclusivity runs from the tme of approval of the NDA and bars the FDA from acceptng for review any ANDA or 505(b)(2) NDA for a drug containing the same actve moiety for fve years (or for four years if the applicaton contains a Paragraph IV certfcaton assertng that a patent listed in the Orange Book for the RLD or listed drug is invalid or not infringed by the ANDA/505(b)(2) NDA product). The three-year “changes” exclusivity generally bars the FDA from approving any ANDA or 505(b)(2) NDA applicaton that relies on the informaton supportng the approval of the drug or the change to the drug for which the informaton was submited and the exclusivity granted.</w:t>
      </w:r>
    </w:p>
    <w:p>
      <w:pPr>
        <w:spacing w:after="0" w:line="161"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Both Congress and the FDA are considering, and have enacted, various legislatve and regulatory proposals focused on drug competton, including legislaton focused on drug patentng and provision of drug to generic applicants for testng. For example, the Ensuring Innovaton Act, enacted in April 2021, amended the FDA’s statutory authority for grantng NCE exclusivity to refect the agency’s existng regulatons and longstanding interpretaton that award NCE exclusivity based on a drug’s actve moiety, as opposed to its actve ingredient, which is intended to limit the applicability of NCE exclusivity, thereby potentally facilitatng generic competton. In additon, the Further Consolidated Appropriatons Act, 2020, which incorporated the framework from the Creatng and Restoring Equal Access To Equivalent Samples (CREATES) legislaton, allows ANDA, 505(b)(2) NDA or biosimilar developers to obtain access to branded drug and biotherapeutc product samples. Further, Secton 3222 of the Consolidated Appropriatons Act, 2023, enacted on December 29, 2022 (the 2023 Appropriatons Act), requires the FDA to make therapeutc equivalence determinatons for 505(b)(2) NDAs at the tme of approval, or up to 180 days thereafer, if requested by the applicant.</w:t>
      </w:r>
    </w:p>
    <w:p>
      <w:pPr>
        <w:spacing w:after="0" w:line="170" w:lineRule="exact"/>
        <w:rPr>
          <w:sz w:val="20"/>
          <w:szCs w:val="20"/>
          <w:color w:val="auto"/>
        </w:rPr>
      </w:pPr>
    </w:p>
    <w:p>
      <w:pPr>
        <w:ind w:right="100" w:firstLine="648"/>
        <w:spacing w:after="0" w:line="251" w:lineRule="auto"/>
        <w:rPr>
          <w:sz w:val="20"/>
          <w:szCs w:val="20"/>
          <w:color w:val="auto"/>
        </w:rPr>
      </w:pPr>
      <w:r>
        <w:rPr>
          <w:rFonts w:ascii="Calibri" w:cs="Calibri" w:eastAsia="Calibri" w:hAnsi="Calibri"/>
          <w:sz w:val="17"/>
          <w:szCs w:val="17"/>
          <w:color w:val="auto"/>
        </w:rPr>
        <w:t>Additonally, Secton 3224 of the 2023 Appropriatons Act allows the FDA to approve an ANDA even if there are diferences between the generic drug’s proposed labeling and that of the listed drug due to the FDA approving a change to the listed drug’s label (excluding warnings) within 90 days of when the ANDA is otherwise eligible for approval, provided that the ANDA applicant agrees to submit revised labeling for the generic drug within 60 days of approval. Moreover, in September 2023, the U.S. Federal Trade Commission (FTC) issued a policy statement, supported by the FDA, warning brand pharmaceutcal companies that they could face legal acton under the FTC Act if they improperly list patents in the Orange Book, and the FTC subsequently initated challenges against patents held by brand pharmaceutcal companies and listed in the Orange Book under the FDA’s patent listng dispute process.</w:t>
      </w:r>
    </w:p>
    <w:p>
      <w:pPr>
        <w:spacing w:after="0" w:line="156" w:lineRule="exact"/>
        <w:rPr>
          <w:sz w:val="20"/>
          <w:szCs w:val="20"/>
          <w:color w:val="auto"/>
        </w:rPr>
      </w:pPr>
    </w:p>
    <w:p>
      <w:pPr>
        <w:ind w:firstLine="648"/>
        <w:spacing w:after="0" w:line="251" w:lineRule="auto"/>
        <w:rPr>
          <w:sz w:val="20"/>
          <w:szCs w:val="20"/>
          <w:color w:val="auto"/>
        </w:rPr>
      </w:pPr>
      <w:r>
        <w:rPr>
          <w:rFonts w:ascii="Calibri" w:cs="Calibri" w:eastAsia="Calibri" w:hAnsi="Calibri"/>
          <w:sz w:val="17"/>
          <w:szCs w:val="17"/>
          <w:i w:val="1"/>
          <w:iCs w:val="1"/>
          <w:color w:val="auto"/>
        </w:rPr>
        <w:t xml:space="preserve">Orange Book Listng. </w:t>
      </w:r>
      <w:r>
        <w:rPr>
          <w:rFonts w:ascii="Calibri" w:cs="Calibri" w:eastAsia="Calibri" w:hAnsi="Calibri"/>
          <w:sz w:val="17"/>
          <w:szCs w:val="17"/>
          <w:color w:val="auto"/>
        </w:rPr>
        <w:t>An NDA sponsor must identfy to the FDA patents that claim the drug substance or drug product or approved method of using</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 xml:space="preserve">the drug. When the drug is approved, those patents are among the informaton about the product that is listed in the FDA publicaton, </w:t>
      </w:r>
      <w:r>
        <w:rPr>
          <w:rFonts w:ascii="Calibri" w:cs="Calibri" w:eastAsia="Calibri" w:hAnsi="Calibri"/>
          <w:sz w:val="17"/>
          <w:szCs w:val="17"/>
          <w:i w:val="1"/>
          <w:iCs w:val="1"/>
          <w:color w:val="auto"/>
        </w:rPr>
        <w:t>Approved Drug</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Products with Therapeutc Equivalence Evaluatons</w:t>
      </w:r>
      <w:r>
        <w:rPr>
          <w:rFonts w:ascii="Calibri" w:cs="Calibri" w:eastAsia="Calibri" w:hAnsi="Calibri"/>
          <w:sz w:val="17"/>
          <w:szCs w:val="17"/>
          <w:color w:val="auto"/>
        </w:rPr>
        <w:t>, which is referred to as the</w:t>
      </w:r>
      <w:r>
        <w:rPr>
          <w:rFonts w:ascii="Calibri" w:cs="Calibri" w:eastAsia="Calibri" w:hAnsi="Calibri"/>
          <w:sz w:val="17"/>
          <w:szCs w:val="17"/>
          <w:i w:val="1"/>
          <w:iCs w:val="1"/>
          <w:color w:val="auto"/>
        </w:rPr>
        <w:t xml:space="preserve"> Orange Book</w:t>
      </w:r>
      <w:r>
        <w:rPr>
          <w:rFonts w:ascii="Calibri" w:cs="Calibri" w:eastAsia="Calibri" w:hAnsi="Calibri"/>
          <w:sz w:val="17"/>
          <w:szCs w:val="17"/>
          <w:color w:val="auto"/>
        </w:rPr>
        <w:t>. Any applicant who fles an ANDA or a 505(b)(2) NDA must certfy,</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for each patent listed in the Orange Book for the RLD that (1) no patent informaton on the drug product that is the subject of the applicaton has been submited to the FDA, (2) such patent has expired, (3) the listed patent will expire on a partcular date and approval is sought afer patent expiraton, or (4) such patent is invalid or will not be infringed upon by the manufacture, use or sale of the drug product for which the applicaton is submited. An ANDA or 505(b)(2) NDA applicant may also submit a statement that it intends to carve-out from the labeling of its product an RLD’s use that is protected by exclusivity or a method of use patent. The fourth certfcaton described above is known as a Paragraph IV certfcaton. A notce of the Paragraph IV</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certfcaton must be provided to each owner of the patent that is the subject of the certfcaton and to the reference NDA holder. The reference NDA holder and patent owners may initate a patent infringement lawsuit in response to the Paragraph IV notce. Filing such a lawsuit within 45 days of the receipt of the Paragraph IV certfcaton notce prevents the FDA from approving the ANDA or 505(b)(2) NDA untl the earlier of 30 months, expiraton of the patent, setlement of the lawsuit, or a decision in the infringement case that is favorable to the ANDA or 505(b)(2) NDA applicant. The ANDA or 505(b)(2) NDA also will not receive fnal approval untl any applicable non-patent exclusivity listed in the Orange Book for the RLD has expired.</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Regulatory Approval Outside of the United States</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In additon to regulatons in the U.S., we are subject to regulatons of other countries governing clinical trials and the manufacturing, commercial sales and distributon of our products outside of the U.S. Whether or not we obtain FDA approval for a product, we must obtain approval by the comparable regulatory authorites of countries outside of the U.S. before we can commence clinical trials in such countries and approval of the regulators of such countries or economic areas, such as the EU, before we may market products in those countries or areas. The approval process and requirements governing the conduct of clinical trials, product licensing, pricing and reimbursement vary greatly from place to place, and the tme may be longer or shorter than that required for FDA approval.</w:t>
      </w:r>
    </w:p>
    <w:p>
      <w:pPr>
        <w:spacing w:after="0" w:line="16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 way clinical trials are conducted in the EU has undergone a major change with the applicaton of Regulaton (EU) 536/2014, repealing the existng Directve 2001/20/EC. This regulaton harmonizes the assessment and supervision processes for clinical trials throughout the EU, via an EU portal and database, which the EMA will maintain in collaboraton with the Member States and the EC. Following the EC’s confrmaton of full functonality of the Clinical Trials Informaton System (CTIS) through an independent audit, which was published in the Ofcial Journal of the European Union in August 2021, Regulaton (EU) 536/2014 became applicable concurrent with the CTIS “go-live” date on January 31, 2022. While existng clinical trials could contnue to be conducted under the rules of Directve 2001/20/EC untl January 31, 2025, any clinical trial initated on or afer January 31, 2023, must comply with the rules of the new regulaton.</w:t>
      </w:r>
    </w:p>
    <w:p>
      <w:pPr>
        <w:spacing w:after="0" w:line="168"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Under EU regulatory systems, a company may submit a marketng authorizaton applicaton (MAA) either under centralized or decentralized procedure. Under the centralized procedure, MAAs are submited to the EMA for scientfc review by the Commitee for Medicinal Products for Human Use (CHMP) so that an opinion is issued on product approvability. The opinion is considered by the EC which is responsible for grantng the centralized marketng authorizaton in the form of a binding EC decision. If the applicaton is approved, the EC grants a single marketng authorizaton that is valid for all EU Member States as well as Iceland, Liechtenstein, and Norway, collectvely the European Economic Area. The decentralized and mutual recogniton procedures, as well as natonal authorizaton procedure are available for products for which the centralized procedure is not compulsory. The mutual recogniton procedure provides for the EU Member States selected by the applicant to mutually recognize a natonal marketng authorizaton that has already been granted by the competent authority of another Member State, referred to as the Reference Member State (RMS). The decentralized procedure is used when the product in queston has yet to be granted a marketng authorizaton in any Member State. Under this procedure the applicant can select the Member State that will act as the RMS. In both the mutual recogniton and decentralized procedures, the RMS reviews the applicaton and submits its assessment of the applicaton to the Member States where marketng authorizatons are being sought, referred to as Concerned Member States. Within 90 days of receiving the applicaton and assessment report, each Concerned Member State must decide whether to recognize the RMS assessment or reject it based on potental serious risk to public health. If the disputed points cannot be resolved, the mater is eventually referred to the Coordinaton Group on Mutual Recogniton and Decentralized Procedures in the frst instance to reach an agreement and failing to reach such an agreement, a referral to the EMA and the CHMP for arbitraton that will result in an opinion to form the basis of a decision to be issued by the EC binding on all Member States. If the applicaton is successful during the decentralized or mutual recogniton procedure, natonal marketng authorizatons will be granted by the competent authorites in each of the Member States chosen by the applicant.</w:t>
      </w:r>
    </w:p>
    <w:p>
      <w:pPr>
        <w:spacing w:after="0" w:line="176"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Conditonal marketng authorizatons may be granted in the centralized procedure for a limited number of medicinal products for human use referenced in EU law applicable to conditonal marketng authorizatons where the clinical dataset is not comprehensive, if (1) the risk-beneft balance of the product is positve, (2) it is likely that the applicant will be in a positon to provide the required comprehensive clinical trial data, (3) unmet medical needs will be fulflled and (4) the beneft to public health of the immediate availability on the market of the medicinal product outweighs the risk inherent in the fact that additonal data are stll required.</w:t>
      </w:r>
    </w:p>
    <w:p>
      <w:pPr>
        <w:spacing w:after="0" w:line="166"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As in the U.S., we may apply for designaton of a product as an orphan drug for the treatment of a specifc indicaton in the EU before the applicaton for marketng authorizaton is made. In the EU, orphan designaton is available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for products in development which are either: (a) intended for the diagnosis, preventon or treatment of life-threatening or chronically debilitatng conditons afectng not more than 5 in 10,000 persons in the EU; or (b) intended for the diagnosis, preventon or treatment of a life-threatening, seriously debilitatng or serious and chronic conditon afectng a larger number of persons but when, without incentves, it is unlikely that sales of the drug in the EU would be sufcient to justfy the necessary investment in developing the medicinal product. Additonally, the sponsor of an applicaton for designaton of a product as an orphan drug in the EU must establish that there exists no satsfactory authorized method of diagnosis, preventon, or treatment of the conditon or even if such treatment exists, the product will be of signifcant beneft to those afected by that conditon.</w:t>
      </w:r>
    </w:p>
    <w:p>
      <w:pPr>
        <w:spacing w:after="0" w:line="16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Orphan drugs in the EU enjoy economic and marketng benefts, including up to ten years of market exclusivity for the approved indicaton unless another applicant for a similar medicinal product can show that its product is safer, more efectve or otherwise clinically superior to the orphan-designated product. The period of market exclusivity may be reduced to six years if at the end of the ffh year it is established that the criteria for orphan designaton are no longer met, including where it is shown that the product is sufciently proftable not to justfy maintenance of market exclusivity.</w:t>
      </w:r>
    </w:p>
    <w:p>
      <w:pPr>
        <w:spacing w:after="0" w:line="165"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As part of the EU Pharmaceutcal Strategy, the EC published a proposal for a comprehensive revision of the EU pharmaceutcal legislaton. If adopted by the European Parliament and the Council, the new legislaton is likely to signifcantly change the regulatory regime applicable to both the “normal” data and market exclusivity and the orphan exclusivites and reduce/modulate the exclusivites and rewards that could be granted to medicinal products. In additon, the proposal envisages changes to the concept of unmet medical need and considers introducing novel rewards for orphan medicinal products addressing a high unmet medical need. The adopton of the new legislaton is not expected before the second half of 2025 at the earliest and it will start to apply 18 months afer the entry in force.</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Healthcare and Data Privacy Regulaton</w:t>
      </w:r>
    </w:p>
    <w:p>
      <w:pPr>
        <w:spacing w:after="0" w:line="163" w:lineRule="exact"/>
        <w:rPr>
          <w:sz w:val="20"/>
          <w:szCs w:val="20"/>
          <w:color w:val="auto"/>
        </w:rPr>
      </w:pPr>
    </w:p>
    <w:p>
      <w:pPr>
        <w:ind w:right="220" w:firstLine="648"/>
        <w:spacing w:after="0" w:line="235" w:lineRule="auto"/>
        <w:rPr>
          <w:sz w:val="20"/>
          <w:szCs w:val="20"/>
          <w:color w:val="auto"/>
        </w:rPr>
      </w:pPr>
      <w:r>
        <w:rPr>
          <w:rFonts w:ascii="Calibri" w:cs="Calibri" w:eastAsia="Calibri" w:hAnsi="Calibri"/>
          <w:sz w:val="18"/>
          <w:szCs w:val="18"/>
          <w:color w:val="auto"/>
        </w:rPr>
        <w:t>Federal and state healthcare laws and regulatons, including fraud and abuse and health informaton privacy and security laws, also govern our business. If we fail to comply with those laws, we could face substantal penaltes and our business, results of operatons, fnancial conditon and prospects could be adversely afected. The laws that may afect our ability to operate include, but are not limited to:</w:t>
      </w:r>
    </w:p>
    <w:p>
      <w:pPr>
        <w:spacing w:after="0" w:line="57" w:lineRule="exact"/>
        <w:rPr>
          <w:sz w:val="20"/>
          <w:szCs w:val="20"/>
          <w:color w:val="auto"/>
        </w:rPr>
      </w:pPr>
    </w:p>
    <w:p>
      <w:pPr>
        <w:ind w:left="660" w:right="60" w:hanging="231"/>
        <w:spacing w:after="0" w:line="235" w:lineRule="auto"/>
        <w:tabs>
          <w:tab w:leader="none" w:pos="656"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federal Ant-Kickback Statute (AKS), which prohibits, among other things, knowingly and willfully, solicitng, receiving, ofering or paying remuneraton (including any kickback, bribe, or rebate), directly or indirectly, overtly or covertly, in cash or in kind, to induce or in return for, either the referral of an individual, or the purchase, lease, order or recommendaton of any good, facility, item or service for which payment may be made, in whole or in part, under a federal healthcare program, such as Medicare and Medicaid;</w:t>
      </w:r>
    </w:p>
    <w:p>
      <w:pPr>
        <w:spacing w:after="0" w:line="57" w:lineRule="exact"/>
        <w:rPr>
          <w:rFonts w:ascii="Calibri" w:cs="Calibri" w:eastAsia="Calibri" w:hAnsi="Calibri"/>
          <w:sz w:val="18"/>
          <w:szCs w:val="18"/>
          <w:color w:val="auto"/>
        </w:rPr>
      </w:pPr>
    </w:p>
    <w:p>
      <w:pPr>
        <w:ind w:left="660" w:right="260" w:hanging="231"/>
        <w:spacing w:after="0" w:line="235" w:lineRule="auto"/>
        <w:tabs>
          <w:tab w:leader="none" w:pos="656"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federal civil and criminal false claims laws and civil monetary penalty laws, such as the federal False Claims Act, which impose criminal and civil penaltes and authorize civil whistleblower or qui tam actons, against individuals or enttes for, among other things: knowingly presentng, or causing to be presented, to government, claims for payment that are false or fraudulent; making a false statement or record material to a false or fraudulent claim or obligaton to pay or transmit money or property to the federal government; or knowingly concealing or knowingly and improperly avoiding or decreasing an obligaton to pay money to the federal government;</w:t>
      </w:r>
    </w:p>
    <w:p>
      <w:pPr>
        <w:spacing w:after="0" w:line="58" w:lineRule="exact"/>
        <w:rPr>
          <w:rFonts w:ascii="Calibri" w:cs="Calibri" w:eastAsia="Calibri" w:hAnsi="Calibri"/>
          <w:sz w:val="18"/>
          <w:szCs w:val="18"/>
          <w:color w:val="auto"/>
        </w:rPr>
      </w:pPr>
    </w:p>
    <w:p>
      <w:pPr>
        <w:ind w:left="660" w:hanging="231"/>
        <w:spacing w:after="0" w:line="235" w:lineRule="auto"/>
        <w:tabs>
          <w:tab w:leader="none" w:pos="656"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the Health Insurance Portability and Accountability Act of 1996 (HIPAA), which created new federal criminal statutes that prohibit knowingly and willfully executng, or atemptng to execute, a scheme to defraud any healthcare beneft program or obtain, by means of false or fraudulent pretenses, representatons, or promises, any of the money or property owned by, or under the custody or control of any healthcare beneft program, regardless of the payor (e.g., public or private) and knowingly and willfully falsifying, concealing or covering up by any trick or device a material fact or making any materially false statements in connecton with the delivery of, or payment for, healthcare benefts, items or services relatng to healthcare maters;</w:t>
      </w:r>
    </w:p>
    <w:p>
      <w:pPr>
        <w:spacing w:after="0" w:line="59" w:lineRule="exact"/>
        <w:rPr>
          <w:rFonts w:ascii="Calibri" w:cs="Calibri" w:eastAsia="Calibri" w:hAnsi="Calibri"/>
          <w:sz w:val="18"/>
          <w:szCs w:val="18"/>
          <w:color w:val="auto"/>
        </w:rPr>
      </w:pPr>
    </w:p>
    <w:p>
      <w:pPr>
        <w:ind w:left="660" w:right="60" w:hanging="231"/>
        <w:spacing w:after="0" w:line="251" w:lineRule="auto"/>
        <w:tabs>
          <w:tab w:leader="none" w:pos="656"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HIPAA as amended by the Health Informaton Technology for Economic and Clinical Health Act (HITECH), and their respectve implementng regulatons, which impose requirements on certain covered healthcare providers, health plans, and healthcare well as their respectve business associates that perform services for them that involve the use, or disclosure of, individually identfable health informaton, relatng to the privacy, security, transmission and breach reportng of individually identfable health informaton. Although pharmaceutcal companies are not generally considered to be a covered entty or business associate under HIPAA, we could be subject to penaltes if we use or disclose individually identfable health informaton in a manner not authorized or permited by HIPAA. HITECH also created new ters of civil monetary penaltes, amended HIPAA to make civil and criminal penaltes directly applicable to business associates, and gave state atorneys general new authority to fle civil actons for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200"/>
        <w:spacing w:after="0" w:line="235" w:lineRule="auto"/>
        <w:rPr>
          <w:sz w:val="20"/>
          <w:szCs w:val="20"/>
          <w:color w:val="auto"/>
        </w:rPr>
      </w:pPr>
      <w:r>
        <w:rPr>
          <w:rFonts w:ascii="Calibri" w:cs="Calibri" w:eastAsia="Calibri" w:hAnsi="Calibri"/>
          <w:sz w:val="18"/>
          <w:szCs w:val="18"/>
          <w:color w:val="auto"/>
        </w:rPr>
        <w:t>damages or injunctons in federal courts to enforce the federal HIPAA laws and seek atorneys’ fees and costs associated with pursuing federal civil actons;</w:t>
      </w:r>
    </w:p>
    <w:p>
      <w:pPr>
        <w:spacing w:after="0" w:line="56" w:lineRule="exact"/>
        <w:rPr>
          <w:sz w:val="20"/>
          <w:szCs w:val="20"/>
          <w:color w:val="auto"/>
        </w:rPr>
      </w:pPr>
    </w:p>
    <w:p>
      <w:pPr>
        <w:ind w:left="660" w:right="540" w:hanging="231"/>
        <w:spacing w:after="0" w:line="235" w:lineRule="auto"/>
        <w:tabs>
          <w:tab w:leader="none" w:pos="656"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federal false statements statute, which prohibits knowingly and willfully falsifying, concealing or covering up a material fact or making any materially false statement in connecton with the delivery of or payment for healthcare benefts, items or services;</w:t>
      </w:r>
    </w:p>
    <w:p>
      <w:pPr>
        <w:spacing w:after="0" w:line="50" w:lineRule="exact"/>
        <w:rPr>
          <w:rFonts w:ascii="Calibri" w:cs="Calibri" w:eastAsia="Calibri" w:hAnsi="Calibri"/>
          <w:sz w:val="18"/>
          <w:szCs w:val="18"/>
          <w:color w:val="auto"/>
        </w:rPr>
      </w:pPr>
    </w:p>
    <w:p>
      <w:pPr>
        <w:ind w:left="660" w:hanging="231"/>
        <w:spacing w:after="0"/>
        <w:tabs>
          <w:tab w:leader="none" w:pos="6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FDCA, which prohibits, among other things, the adulteraton or misbranding of drugs, biologics and medical devices;</w:t>
      </w:r>
    </w:p>
    <w:p>
      <w:pPr>
        <w:spacing w:after="0" w:line="55" w:lineRule="exact"/>
        <w:rPr>
          <w:rFonts w:ascii="Calibri" w:cs="Calibri" w:eastAsia="Calibri" w:hAnsi="Calibri"/>
          <w:sz w:val="18"/>
          <w:szCs w:val="18"/>
          <w:color w:val="auto"/>
        </w:rPr>
      </w:pPr>
    </w:p>
    <w:p>
      <w:pPr>
        <w:ind w:left="660" w:right="20" w:hanging="231"/>
        <w:spacing w:after="0" w:line="235" w:lineRule="auto"/>
        <w:tabs>
          <w:tab w:leader="none" w:pos="656"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federal transparency requirements under the Patent Protecton and Afordable Care Act of 2010, as amended (PPACA), ofen referred to as the Open Payments program, requires certain manufacturers to track and report to the Centers for Medicare &amp; Medicaid Services (CMS) annually certain payments and other transfers of value provided to physicians (defned to include doctors, dentsts, optometrists, podiatrists and chiropractors), other healthcare professionals (such as physician assistants and nurse practtoners) and teaching hospitals, as well as ownership interests held by such physicians and their immediate family during the previous calendar year; and federal consumer protecton and unfair competton laws, which broadly regulate marketplace actvites and actvites that potentally harm consumers.</w:t>
      </w:r>
    </w:p>
    <w:p>
      <w:pPr>
        <w:spacing w:after="0" w:line="167"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Additonally, we are subject to state law equivalents of each of the above federal laws, which may be broader in scope and apply regardless of whether the payer is a governmental healthcare program, and many of which difer from each other in signifcant ways and may not have the same efect, further complicate compliance eforts. Numerous federal and state laws, including state security breach notfcaton laws, state health informaton privacy laws and federal and state consumer protecton laws, govern the collecton, storage, transfer, security, use and disclosure of personal informaton. For example, the California Consumer Privacy Act of 2018, as amended (CCPA), went into operaton in January 2020 and broadly defnes personal informaton, afords California residents expanded privacy rights and protectons and provides for civil penaltes for violatons and a private right of acton related to certain data security breaches. These protectons were expanded by the California Privacy Rights Act (CPRA). Legislators and regulators in other states are also imposing new data and security privacy laws and regulatons, including new and greater monetary fnes or penaltes for privacy violatons, that may impact our operatons, including both comprehensive and sector specifc legislaton. Additonally, Congress is considering further federal privacy legislaton. These obligatons are quickly changing in an increasingly stringent fashion, and may create uncertainty as to how to comply and potentally require us to modify our policies and practces. The compliance process may be costly and may divert the atenton of management and technical personnel. Our failure to comply with current and future laws could result in signifcant penaltes, including, but not limited to: government enforcement actons, investgatons and criminal and other proceedings; additonal reportng requirements and/or oversight; bans on processing personal data; and orders to destroy or not use personal data. Failure to comply may also result in reputatonal harm and could have a material adverse efect on our business, including, but not limited to: interruptons or stoppages in our business operatons, inability to process personal data or to operate in certain jurisdictons; limited ability to develop or commercialize our products; expenditure of tme and resources to defend any claim or inquiry; adverse publicity; or restructuring of our operatons. In additon, most healthcare professionals and facilites who may prescribe our products and from whom we may obtain patent health informaton, are subject to privacy and security requirements under the Health Insurance Portability and Accountability Act of 1996, as amended by the Health Informaton Technology and Clinical Health Act (HIPAA). Although we are not considered to be a covered entty or business associate under HIPAA with respect to our clinical and commercial actvites, we could be subject to penaltes if we use or disclose individually identfable health informaton in a manner not authorized or permited by HIPAA. The legislatve and regulatory landscape for privacy and data protecton contnues to evolve, and there has been an increasing amount of focus on privacy and data protecton issues with the potental to afect our business, including laws in all 50 states requiring security breach notfcaton in some circumstances. The CCPA, as amended by the CPRA, HIPAA and these other laws could create liability for us or increase our cost of doing business. Internatonal laws, such as the EU General Data Protecton Regulaton 2016/679 (GDPR), could also apply to our operatons. Failure to provide adequate privacy protectons and maintain compliance with applicable privacy laws could jeopardize business transactons across borders and result in signifcant penaltes.</w:t>
      </w:r>
    </w:p>
    <w:p>
      <w:pPr>
        <w:spacing w:after="0" w:line="37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additon, we partcipate in the 340B Drug Pricing Program (the 340B Program), the Medicaid Drug Rebate Program (MDRP), and a number of other federal and state government pricing programs in the U.S. in order to obtain coverage for our products by certain government health care programs. Our partcipaton in these programs generally requires us to make disclosures and to pay substantal rebates or ofer our drugs at substantal discounts to certain purchasers (including “covered enttes” purchasing under the 340B Program. Changes to our obligatons under these government pricing programs occur frequently and program requirements are ofen ambiguous, and we cannot predict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how future guidance or rules would afect our proftability (including the potental for increases in our overall Medicaid rebate liability and the obligaton to charge greatly reduced prices to covered enttes). A discussion of risks and uncertaintes that may afect our partcipaton in the 340B Program is set forth in “Risk Factors” in Part I, Item 1A of this Annual Report on Form 10-K.</w:t>
      </w:r>
    </w:p>
    <w:p>
      <w:pPr>
        <w:spacing w:after="0" w:line="165" w:lineRule="exact"/>
        <w:rPr>
          <w:sz w:val="20"/>
          <w:szCs w:val="20"/>
          <w:color w:val="auto"/>
        </w:rPr>
      </w:pPr>
    </w:p>
    <w:p>
      <w:pPr>
        <w:ind w:right="360" w:firstLine="648"/>
        <w:spacing w:after="0" w:line="251" w:lineRule="auto"/>
        <w:rPr>
          <w:sz w:val="20"/>
          <w:szCs w:val="20"/>
          <w:color w:val="auto"/>
        </w:rPr>
      </w:pPr>
      <w:r>
        <w:rPr>
          <w:rFonts w:ascii="Calibri" w:cs="Calibri" w:eastAsia="Calibri" w:hAnsi="Calibri"/>
          <w:sz w:val="17"/>
          <w:szCs w:val="17"/>
          <w:color w:val="auto"/>
        </w:rPr>
        <w:t>We are also required to discount our products to authorized users of the Federal Supply Schedule of the General Services Administraton, under which additonal laws and requirements apply. These programs require submission of pricing data and calculaton of discounts and rebates pursuant to complex statutory formulas and regulatory guidance, as well as the entry into government procurement contracts governed by the Federal Acquisiton Regulatons, and the guidance governing such calculatons is not always clear. Compliance with such requirements can require signifcant investment in personnel, systems and resources. Failure to properly calculate prices, or to ofer required discounts or rebates could subject us to substantal penaltes.</w:t>
      </w:r>
    </w:p>
    <w:p>
      <w:pPr>
        <w:spacing w:after="0" w:line="15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Coverage and Reimbursement</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Sales of our approved products and any future products of ours will depend, in part, on the extent to which their costs will be covered by third-party payers, such as government health programs, commercial insurance and managed healthcare organizatons. The process for determining whether a third-party payor will provide coverage for a pharmaceutcal product is typically separate from the process for setng the price of such a product or for establishing the reimbursement rate that the payor will pay for the product once coverage is approved. Further, no uniform policy for coverage and reimbursement exists in the United States, and coverage and reimbursement can difer signifcantly from payor to payor. As a result, each third-party payer may have its own policy regarding what products it will cover, the conditons under which it will cover such products, and how much it will pay for such products. Third-party payers may limit coverage to specifc drug products on an approved list, also known as a formulary, which might not include all of the FDA-approved drugs for a partcular indicaton. Moreover, a third-party payer’s decision to provide coverage for a drug product does not guarantee what reimbursement rate, if any, will be approved. Patents may be less likely to use our products if coverage is not provided and reimbursement may not cover a signifcant porton of the cost of our products. In additon, even if favorable coverage and reimbursement status is atained for one or more products that receives regulatory approval, less favorable coverage policies and reimbursement rates may be implemented in the future.</w:t>
      </w:r>
    </w:p>
    <w:p>
      <w:pPr>
        <w:spacing w:after="0" w:line="171" w:lineRule="exact"/>
        <w:rPr>
          <w:sz w:val="20"/>
          <w:szCs w:val="20"/>
          <w:color w:val="auto"/>
        </w:rPr>
      </w:pPr>
    </w:p>
    <w:p>
      <w:pPr>
        <w:ind w:right="160" w:firstLine="648"/>
        <w:spacing w:after="0" w:line="250" w:lineRule="auto"/>
        <w:rPr>
          <w:sz w:val="20"/>
          <w:szCs w:val="20"/>
          <w:color w:val="auto"/>
        </w:rPr>
      </w:pPr>
      <w:r>
        <w:rPr>
          <w:rFonts w:ascii="Calibri" w:cs="Calibri" w:eastAsia="Calibri" w:hAnsi="Calibri"/>
          <w:sz w:val="17"/>
          <w:szCs w:val="17"/>
          <w:color w:val="auto"/>
        </w:rPr>
        <w:t>In the U.S. and other potentally signifcant markets for our products, government authorites and third-party payers are increasingly atemptng to limit or regulate the price of medical products and services, partcularly for new and innovatve products and therapies, which may result in lower average selling prices. In some cases, for example, third-party payers try to encourage the use of less expensive generic products through their prescripton benefts coverage and reimbursement and co-pay policies. Further, the increased emphasis on managed healthcare in the U.S. and on country-specifc and natonal pricing and reimbursement controls in the EU will put additonal pressure on product pricing, reimbursement and usage, which may adversely afect our future product sales and results of operatons. These pressures can arise from rules and practces of managed care groups, judicial decisions and governmental laws and regulatons related to Medicare, Medicaid and healthcare reform, pharmaceutcal reimbursement policies and pricing in general. Adopton of price controls and cost-containment measures, and adopton of more restrictve policies in jurisdictons with existng coverage and/or reimbursement controls and measures, could have a material adverse impact on our net product revenues and results of operatons.</w:t>
      </w:r>
    </w:p>
    <w:p>
      <w:pPr>
        <w:spacing w:after="0" w:line="156"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Healthcare Reform</w:t>
      </w:r>
    </w:p>
    <w:p>
      <w:pPr>
        <w:spacing w:after="0" w:line="163" w:lineRule="exact"/>
        <w:rPr>
          <w:sz w:val="20"/>
          <w:szCs w:val="20"/>
          <w:color w:val="auto"/>
        </w:rPr>
      </w:pPr>
    </w:p>
    <w:p>
      <w:pPr>
        <w:jc w:val="both"/>
        <w:ind w:right="300" w:firstLine="648"/>
        <w:spacing w:after="0" w:line="235" w:lineRule="auto"/>
        <w:rPr>
          <w:sz w:val="20"/>
          <w:szCs w:val="20"/>
          <w:color w:val="auto"/>
        </w:rPr>
      </w:pPr>
      <w:r>
        <w:rPr>
          <w:rFonts w:ascii="Calibri" w:cs="Calibri" w:eastAsia="Calibri" w:hAnsi="Calibri"/>
          <w:sz w:val="18"/>
          <w:szCs w:val="18"/>
          <w:color w:val="auto"/>
        </w:rPr>
        <w:t>The U.S. and some foreign countries are considering proposals or have enacted legislatve and regulatory changes to the healthcare system that could afect our ability to sell our products proftably. Among policy makers and payers in the U.S. and elsewhere, there is signifcant interest in promotng changes in healthcare systems with the stated goals of containing healthcare costs, improving quality and/or expanding access.</w:t>
      </w:r>
    </w:p>
    <w:p>
      <w:pPr>
        <w:spacing w:after="0" w:line="165" w:lineRule="exact"/>
        <w:rPr>
          <w:sz w:val="20"/>
          <w:szCs w:val="20"/>
          <w:color w:val="auto"/>
        </w:rPr>
      </w:pPr>
    </w:p>
    <w:p>
      <w:pPr>
        <w:jc w:val="both"/>
        <w:ind w:right="100" w:firstLine="648"/>
        <w:spacing w:after="0" w:line="235" w:lineRule="auto"/>
        <w:rPr>
          <w:sz w:val="20"/>
          <w:szCs w:val="20"/>
          <w:color w:val="auto"/>
        </w:rPr>
      </w:pPr>
      <w:r>
        <w:rPr>
          <w:rFonts w:ascii="Calibri" w:cs="Calibri" w:eastAsia="Calibri" w:hAnsi="Calibri"/>
          <w:sz w:val="18"/>
          <w:szCs w:val="18"/>
          <w:color w:val="auto"/>
        </w:rPr>
        <w:t>Over the past decade, there has been increasing legislatve and enforcement interest in the U.S. with respect to drug pricing practces. In partcular, there have been several recent U.S. Congressional inquiries, hearings and proposed and enacted federal legislaton and rules, as well as executve orders and sub-regulatory guidance that may impact pricing for pharmaceutcal products. These initatves include, among others</w:t>
      </w:r>
      <w:r>
        <w:rPr>
          <w:rFonts w:ascii="Calibri" w:cs="Calibri" w:eastAsia="Calibri" w:hAnsi="Calibri"/>
          <w:sz w:val="21"/>
          <w:szCs w:val="21"/>
          <w:color w:val="auto"/>
        </w:rPr>
        <w:t>:</w:t>
      </w:r>
    </w:p>
    <w:p>
      <w:pPr>
        <w:spacing w:after="0" w:line="56" w:lineRule="exact"/>
        <w:rPr>
          <w:sz w:val="20"/>
          <w:szCs w:val="20"/>
          <w:color w:val="auto"/>
        </w:rPr>
      </w:pPr>
    </w:p>
    <w:p>
      <w:pPr>
        <w:ind w:left="820" w:hanging="229"/>
        <w:spacing w:after="0"/>
        <w:tabs>
          <w:tab w:leader="none" w:pos="82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eforts to reevaluate, reduce or limit the prices patents pay for pharmaceutcal products;</w:t>
      </w:r>
    </w:p>
    <w:p>
      <w:pPr>
        <w:spacing w:after="0" w:line="55" w:lineRule="exact"/>
        <w:rPr>
          <w:rFonts w:ascii="Calibri" w:cs="Calibri" w:eastAsia="Calibri" w:hAnsi="Calibri"/>
          <w:sz w:val="18"/>
          <w:szCs w:val="18"/>
          <w:color w:val="auto"/>
        </w:rPr>
      </w:pPr>
    </w:p>
    <w:p>
      <w:pPr>
        <w:ind w:left="820" w:right="20" w:hanging="229"/>
        <w:spacing w:after="0" w:line="235" w:lineRule="auto"/>
        <w:tabs>
          <w:tab w:leader="none" w:pos="816"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implementaton of additonal data collecton and transparency reportng regarding drug pricing, rebates, fees and other remuneraton provided by drug manufacturers;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20" w:right="40" w:hanging="229"/>
        <w:spacing w:after="0" w:line="235" w:lineRule="auto"/>
        <w:tabs>
          <w:tab w:leader="none" w:pos="816"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revisions to rules associated with the calculaton of average manufacturer price, best price under Medicaid and rebate liability, in additon to CMS’ stated objectve to consider additonal future rulemaking;</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eliminaton of the AKS discount safe harbor protecton for manufacturer rebate arrangements with Medicare Part D plan sponsors;</w:t>
      </w:r>
    </w:p>
    <w:p>
      <w:pPr>
        <w:spacing w:after="0" w:line="55" w:lineRule="exact"/>
        <w:rPr>
          <w:rFonts w:ascii="Calibri" w:cs="Calibri" w:eastAsia="Calibri" w:hAnsi="Calibri"/>
          <w:sz w:val="18"/>
          <w:szCs w:val="18"/>
          <w:color w:val="auto"/>
        </w:rPr>
      </w:pPr>
    </w:p>
    <w:p>
      <w:pPr>
        <w:ind w:left="820" w:right="480" w:hanging="229"/>
        <w:spacing w:after="0" w:line="235" w:lineRule="auto"/>
        <w:tabs>
          <w:tab w:leader="none" w:pos="816"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changes to the MDRP, including through a recent CMS-proposed rulemaking for this program, that could signifcantly increase manufacturer rebate liability; and</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reevaluaton of safe harbors under the AKS.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For instance, in August 2022, former President Biden signed the Infaton Reducton Act of 2022 (IRA), which introduced substantal changes to drug pricing, reimbursement and access support in the U.S., including enabling the CMS to assert control over the prices of certain single-source drugs and biotherapeutcs reimbursed under Medicare Part B and Part D (the Medicare Drug Price Negotaton Program). The IRA contains a limited excepton for small biotech drug manufacturers, which applies on a drug-specifc basis, and qualifying drugs will be exempt from possible pricing negotaton through 2028 and eligible for a lower limit (i.e., a price foor) on the potental maximum fair price in 2029 and 2030, if the manufacturers of those drugs contnue to qualify each year (small biotech excepton). As of the date of this Annual Report on Form 10-K, CMS has informed us that we have qualifed for the small biotech excepton with respect to our cabozantnib franchise products through 2027. We intend to apply to CMS to maintain the small biotech excepton each year through 2030. Separately, in November 2023, CMS released fnal guidance on another program, the Medicare Part D Manufacturer Discount Program (Part D Discount Program), which will require manufacturers to take on more of the benefciary cost previously subsidized by the federal government through the applicaton of increased drug discounts. As we received notce from CMS that we qualify for the "specifed small manufacturer” designaton, we are eligible for a phase-in of the increased manufacturer discounts under the Part D Discount Program, from 2025 to 2031.The manufacturer discount will be 1% in 2025 and will further increase according to a statutory schedule untl we are required to pay the full 10% discount (inital phase) in 2029 or the full 20% discount (catastrophic phase) in 2031. The IRA also imposes additonal rebates for certain Part B and Part D drugs where relevant pricing metrics associated with the products increase faster than infaton. Over tme, the IRA could reduce the revenues we are able to collect from sales of our products or present challenges for payor negotatons and formulary access for our products, as well as increase our government discount and rebate liabilites. However, it is unclear how the IRA will be efectuated or changed under the new Trump Administraton and the degree of impact that the IRA will ultmately have upon our business remains unclear.</w:t>
      </w:r>
    </w:p>
    <w:p>
      <w:pPr>
        <w:spacing w:after="0" w:line="176"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additon, the U.S. pharmaceutcal industry has also been signifcantly impacted by other major legislatve initatves and related politcal contests. For instance, eforts to repeal, substantally modify or invalidate some or all of the provisions of the PPACA, some of which have been successful, have created considerable uncertaintes for all businesses involved in healthcare, including our own. Although such atempts to reform the U.S. healthcare system have not signifcantly impacted our business to date, challenges to the PPACA are ongoing and it is possible that additonal legislatve, executve and judicial actvites in the future could have a material adverse impact on our business, fnancial conditon and results of operatons. Further, other legislatve changes also have been proposed and adopted since the passage of the PPACA. These have, among other things, reduced Medicare payments to several types of providers, including hospitals, imaging centers and cancer treatment centers, and increased the statute of limitatons period for the government to recover overpayments to providers.</w:t>
      </w:r>
    </w:p>
    <w:p>
      <w:pPr>
        <w:spacing w:after="0" w:line="169"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At the state level, legislatures and regulatory agencies have increasingly passed legislaton and implemented regulatons designed to control pharmaceutcal and biotherapeutc product pricing, including restrictons on pricing or reimbursement at the state government level, limitatons on discounts to patents, advance notces of price increases, marketng cost disclosure and transparency measures, and, in some cases, policies to encourage importaton from other countries (subject to federal approval) and bulk purchasing. These laws may afect our sales, marketng, and other promotonal actvites by imposing administratve and compliance burdens on us. In additon, given the lack of clarity with respect to these laws and their implementaton, our reportng actons could be subject to the penalty provisions of the pertnent state and federal authorites.</w:t>
      </w:r>
    </w:p>
    <w:p>
      <w:pPr>
        <w:spacing w:after="0" w:line="16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As a result of these developments and trends, third-party payers are increasingly atemptng to contain healthcare costs by limitng coverage and the level of reimbursement of new drugs. These enttes could refuse, limit or conditon coverage for our products, such as by using tered reimbursement or pressing for new forms of contractng, or alternatvely for patents who rely on our co-pay assistance program, implement co-pay accumulators or maximizers that exempt such co-pay assistance from deductbles (or otherwise modify beneft designs in a manner that takes into account the availability of co-pay assistance), which has increased and could further increase the costs of our co-pay assistance program or cause patents to abandon CABOMETYX or COMETRIQ therapy due to higher out-of-pocket costs. Due to general uncertainty 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current regulatory and healthcare policy environment, and specifcally regarding positons that the Trump Administraton may take with respect to these issues, we are unable to predict the impact of any legislatve, regulatory, third-party payer or policy actons, including potental cost containment and healthcare reform measures. In additon, it is also possible that CMS could issue new rulemaking or guidance that would afect the amount of rebates owed under the MDRP.</w:t>
      </w:r>
    </w:p>
    <w:p>
      <w:pPr>
        <w:spacing w:after="0" w:line="165"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In additon, in some foreign countries, the proposed pricing for a drug must be approved before its cost may be funded within the respectve natonal healthcare system. The requirements governing drug pricing vary widely from country to country. For example, EU Member States may restrict the range of medicinal products for which their natonal healthcare systems provide reimbursement and may control the prices of medicinal products for human use. A Member State may approve a specifc price for the medicinal product or it may instead adopt a system of direct or indirect controls on the profts the medicinal product generates for the company placing it on the market. Pricing and reimbursement negotatons with governmental authorites or payers in EU Member States can take six to 12 months or longer afer the inital marketng authorizaton is granted for a product, or afer the marketng authorizaton for a new indicaton is granted. To obtain reimbursement and/or pricing approval in some countries, drug manufacturers and collaboraton partners may also be required to conduct a study or otherwise provide data that seeks to establish the cost efectveness of a new drug compared with other available established therapies. Other cost-control initatves are similarly focused on afordability and accessibility, such as the Regulaton on Health Technology Assessment (HTA Regulaton) adopted in December 2021 and entering into efect in January 2025, as well as other upcoming legislatve and policy changes aimed at increasing cooperaton between EU Member States, and once enacted these initatves may further impact the price and reimbursement status of many medicinal products. There can be no assurance that any country that has price controls, reimbursement limitatons or other requirements for pharmaceutcal products will allow favorable reimbursement and pricing arrangements for any of our products on cost-efectveness grounds. Historically, products launched in EU Member States and other non-U.S. jurisdictons do not follow the price structures of the U.S., and they generally tend to be priced signifcantly lower.</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There are many companies focused on the development of small molecules, antbodies and other treatments for cancer. Our compettors and potental compettors include major pharmaceutcal and biotechnology companies, as well as academic research insttutons, clinical reference laboratories and government agencies that are pursuing research actvites similar to ours. Many of the organizatons competng with us have greater capital resources, larger research and development staf and facilites, deeper regulatory expertse and more extensive product manufacturing and commercial capabilites than we do, which may aford them a compettve advantage.</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Competton for Cabozantnib</w:t>
      </w:r>
    </w:p>
    <w:p>
      <w:pPr>
        <w:spacing w:after="0" w:line="163" w:lineRule="exact"/>
        <w:rPr>
          <w:sz w:val="20"/>
          <w:szCs w:val="20"/>
          <w:color w:val="auto"/>
        </w:rPr>
      </w:pPr>
    </w:p>
    <w:p>
      <w:pPr>
        <w:ind w:right="360" w:firstLine="648"/>
        <w:spacing w:after="0" w:line="235" w:lineRule="auto"/>
        <w:rPr>
          <w:sz w:val="20"/>
          <w:szCs w:val="20"/>
          <w:color w:val="auto"/>
        </w:rPr>
      </w:pPr>
      <w:r>
        <w:rPr>
          <w:rFonts w:ascii="Calibri" w:cs="Calibri" w:eastAsia="Calibri" w:hAnsi="Calibri"/>
          <w:sz w:val="18"/>
          <w:szCs w:val="18"/>
          <w:color w:val="auto"/>
        </w:rPr>
        <w:t>We believe that our ability to compete successfully with cabozantnib in the therapeutc markets where it is or may be approved will depend on, among other things:</w:t>
      </w:r>
    </w:p>
    <w:p>
      <w:pPr>
        <w:spacing w:after="0" w:line="51" w:lineRule="exact"/>
        <w:rPr>
          <w:sz w:val="20"/>
          <w:szCs w:val="20"/>
          <w:color w:val="auto"/>
        </w:rPr>
      </w:pPr>
    </w:p>
    <w:p>
      <w:pPr>
        <w:ind w:left="820" w:hanging="229"/>
        <w:spacing w:after="0"/>
        <w:tabs>
          <w:tab w:leader="none" w:pos="82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efcacy, safety and reliability of cabozantnib, both alone and in combinaton with other therapies;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tming and scope of regulatory approval;</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speed at which we develop cabozantnib for the treatment of additonal tumor types beyond its approved indicatons;</w:t>
      </w:r>
    </w:p>
    <w:p>
      <w:pPr>
        <w:spacing w:after="0" w:line="55" w:lineRule="exact"/>
        <w:rPr>
          <w:rFonts w:ascii="Calibri" w:cs="Calibri" w:eastAsia="Calibri" w:hAnsi="Calibri"/>
          <w:sz w:val="18"/>
          <w:szCs w:val="18"/>
          <w:color w:val="auto"/>
        </w:rPr>
      </w:pPr>
    </w:p>
    <w:p>
      <w:pPr>
        <w:ind w:left="820" w:right="740" w:hanging="229"/>
        <w:spacing w:after="0" w:line="235" w:lineRule="auto"/>
        <w:tabs>
          <w:tab w:leader="none" w:pos="816"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our ability to complete clinical development and obtain regulatory approvals for cabozantnib, both alone and in combinaton with other therapies;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our ability to manufacture and sell commercial quanttes of cabozantnib product to the market;</w:t>
      </w:r>
    </w:p>
    <w:p>
      <w:pPr>
        <w:spacing w:after="0" w:line="55" w:lineRule="exact"/>
        <w:rPr>
          <w:rFonts w:ascii="Calibri" w:cs="Calibri" w:eastAsia="Calibri" w:hAnsi="Calibri"/>
          <w:sz w:val="18"/>
          <w:szCs w:val="18"/>
          <w:color w:val="auto"/>
        </w:rPr>
      </w:pPr>
    </w:p>
    <w:p>
      <w:pPr>
        <w:ind w:left="820" w:right="680" w:hanging="229"/>
        <w:spacing w:after="0" w:line="235" w:lineRule="auto"/>
        <w:tabs>
          <w:tab w:leader="none" w:pos="816"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our ability to successfully commercialize cabozantnib, both as a single agent and as part of any combinaton therapy regimen, and secure coverage and adequate reimbursement in approved indicatons;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product acceptance by physicians and other health care providers;</w:t>
      </w:r>
    </w:p>
    <w:p>
      <w:pPr>
        <w:spacing w:after="0" w:line="55" w:lineRule="exact"/>
        <w:rPr>
          <w:rFonts w:ascii="Calibri" w:cs="Calibri" w:eastAsia="Calibri" w:hAnsi="Calibri"/>
          <w:sz w:val="18"/>
          <w:szCs w:val="18"/>
          <w:color w:val="auto"/>
        </w:rPr>
      </w:pPr>
    </w:p>
    <w:p>
      <w:pPr>
        <w:ind w:left="820" w:right="320" w:hanging="229"/>
        <w:spacing w:after="0" w:line="235" w:lineRule="auto"/>
        <w:tabs>
          <w:tab w:leader="none" w:pos="816"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level of our collaboraton partners’ investments in the resources necessary to successfully commercialize cabozantnib, or any combinaton therapy regimen that includes cabozantnib, in territories where they are approved;</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skills of our employees and our ability to recruit and retain skilled employees;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protecton of our intellectual property, including our ability to enforce our intellectual property rights against potental generic competton; and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0"/>
        <w:spacing w:after="0"/>
        <w:rPr>
          <w:sz w:val="20"/>
          <w:szCs w:val="20"/>
          <w:color w:val="auto"/>
        </w:rPr>
      </w:pPr>
      <w:r>
        <w:rPr>
          <w:rFonts w:ascii="Calibri" w:cs="Calibri" w:eastAsia="Calibri" w:hAnsi="Calibri"/>
          <w:sz w:val="18"/>
          <w:szCs w:val="18"/>
          <w:color w:val="auto"/>
        </w:rPr>
        <w:t>•  the availability of substantal capital resources to fund development and commercializaton actvites.</w:t>
      </w:r>
    </w:p>
    <w:p>
      <w:pPr>
        <w:spacing w:after="0" w:line="163" w:lineRule="exact"/>
        <w:rPr>
          <w:sz w:val="20"/>
          <w:szCs w:val="20"/>
          <w:color w:val="auto"/>
        </w:rPr>
      </w:pPr>
    </w:p>
    <w:p>
      <w:pPr>
        <w:ind w:right="40" w:firstLine="648"/>
        <w:spacing w:after="0" w:line="252" w:lineRule="auto"/>
        <w:rPr>
          <w:sz w:val="20"/>
          <w:szCs w:val="20"/>
          <w:color w:val="auto"/>
        </w:rPr>
      </w:pPr>
      <w:r>
        <w:rPr>
          <w:rFonts w:ascii="Calibri" w:cs="Calibri" w:eastAsia="Calibri" w:hAnsi="Calibri"/>
          <w:sz w:val="17"/>
          <w:szCs w:val="17"/>
          <w:color w:val="auto"/>
        </w:rPr>
        <w:t>We believe that the quality and breadth of actvity observed with cabozantnib, the skill of our employees and our ability to recruit and retain skilled employees, our patent portolio and our capabilites for research and drug development are compettve strengths. However, many large pharmaceutcal and biotechnology companies have signifcantly larger intellectual property estates than we do, substantally more capital resources than we have, and greater capabilites and experience than we do in preclinical and clinical development, sales, marketng, manufacturing and regulatory afairs.</w:t>
      </w:r>
    </w:p>
    <w:p>
      <w:pPr>
        <w:spacing w:after="0" w:line="154"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Furthermore, the specifc indicatons for which CABOMETYX is currently or may be approved, based on the results from clinical trials currently evaluatng cabozantnib, are highly compettve. Several novel therapies and combinatons of therapies have been approved, are in advanced stages of clinical development or are under expedited regulatory review in these indicatons, and these other therapies are currently competng or are expected to compete with CABOMETYX. While we have had success in adaptng our development strategy for the cabozantnib franchise to address the compettve landscape, including through evaluaton of therapies that combine ICIs with other targeted agents, it is uncertain whether current and future clinical trials will lead to additonal regulatory approvals, or whether physicians will prescribe regimens containing cabozantnib instead of competng product combinatons in approved indicatons.</w:t>
      </w:r>
    </w:p>
    <w:p>
      <w:pPr>
        <w:spacing w:after="0" w:line="168"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Below is a summary of the principal competton for cabozantnib in the indicatons for which it is approved or for which it has been or is currently being evaluated in potentally label-enabling trials, both as a single agent and in combinaton with other therapies. The informaton below does not include all compettor products, but rather those approved products that have or we believe may capture signifcant market share within their respectve indicatons, or with respect to therapies stll in development, those that are likely to overlap with patent populatons that are or may be treated with cabozantnib or a combinaton therapy regimen that includes cabozantnib.</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Competton in Approved Cabozantnib Indicatons</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i w:val="1"/>
          <w:iCs w:val="1"/>
          <w:color w:val="auto"/>
        </w:rPr>
        <w:t>CABOMETYX - RCC</w:t>
      </w:r>
      <w:r>
        <w:rPr>
          <w:rFonts w:ascii="Calibri" w:cs="Calibri" w:eastAsia="Calibri" w:hAnsi="Calibri"/>
          <w:sz w:val="18"/>
          <w:szCs w:val="18"/>
          <w:color w:val="auto"/>
        </w:rPr>
        <w:t>: We believe the principal competton for CABOMETYX in advanced RCC includes: the combinaton of Merck &amp; Co.’s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pembrolizumab and Pfzer’s axitnib; the combinaton of BMS’s ipilimumab and nivolumab; the combinaton of Merck &amp; Co.’s pembrolizumab and Eisai’s lenvatnib; the combinaton of Eisai’s lenvatnib and Novarts’ everolimus; and Merck &amp; Co.’s belzutfan. Additonally, there are a variety of therapies being developed for advanced RCC, including: the combinaton of Merck &amp; Co.’s belzutfan and Eisai’s lenvatnib; the combinaton of Merck &amp; Co.’s pembrolizumab and belzutfan and Eisai’s lenvatnib; the combinaton of Merck &amp; Co.’s pembrolizumab and quavonlimab and Eisai’s lenvatnib; and Merck &amp; Co.’s pembrolizumab (administered subcutaneously).</w:t>
      </w:r>
    </w:p>
    <w:p>
      <w:pPr>
        <w:spacing w:after="0" w:line="167" w:lineRule="exact"/>
        <w:rPr>
          <w:sz w:val="20"/>
          <w:szCs w:val="20"/>
          <w:color w:val="auto"/>
        </w:rPr>
      </w:pPr>
    </w:p>
    <w:p>
      <w:pPr>
        <w:ind w:right="80" w:firstLine="648"/>
        <w:spacing w:after="0" w:line="254" w:lineRule="auto"/>
        <w:rPr>
          <w:sz w:val="20"/>
          <w:szCs w:val="20"/>
          <w:color w:val="auto"/>
        </w:rPr>
      </w:pPr>
      <w:r>
        <w:rPr>
          <w:rFonts w:ascii="Calibri" w:cs="Calibri" w:eastAsia="Calibri" w:hAnsi="Calibri"/>
          <w:sz w:val="17"/>
          <w:szCs w:val="17"/>
          <w:color w:val="auto"/>
        </w:rPr>
        <w:t>The compettve landscape for RCC is evolving rapidly, especially given the entrance and increased adopton of ICI and ICI-TKI combinaton therapies into the RCC treatment landscape, partcularly in the frst-line setng. This has led to changing trends in prescribing and sequencing of certain drugs and combinatons across diferent lines of therapy. It is difcult to predict how these changes will afect sales of CABOMETYX during 2025 and going forward.</w:t>
      </w:r>
    </w:p>
    <w:p>
      <w:pPr>
        <w:spacing w:after="0" w:line="151" w:lineRule="exact"/>
        <w:rPr>
          <w:sz w:val="20"/>
          <w:szCs w:val="20"/>
          <w:color w:val="auto"/>
        </w:rPr>
      </w:pPr>
    </w:p>
    <w:p>
      <w:pPr>
        <w:ind w:right="640" w:firstLine="648"/>
        <w:spacing w:after="0" w:line="235" w:lineRule="auto"/>
        <w:rPr>
          <w:sz w:val="20"/>
          <w:szCs w:val="20"/>
          <w:color w:val="auto"/>
        </w:rPr>
      </w:pPr>
      <w:r>
        <w:rPr>
          <w:rFonts w:ascii="Calibri" w:cs="Calibri" w:eastAsia="Calibri" w:hAnsi="Calibri"/>
          <w:sz w:val="18"/>
          <w:szCs w:val="18"/>
          <w:i w:val="1"/>
          <w:iCs w:val="1"/>
          <w:color w:val="auto"/>
        </w:rPr>
        <w:t xml:space="preserve">CABOMETYX - HCC: </w:t>
      </w:r>
      <w:r>
        <w:rPr>
          <w:rFonts w:ascii="Calibri" w:cs="Calibri" w:eastAsia="Calibri" w:hAnsi="Calibri"/>
          <w:sz w:val="18"/>
          <w:szCs w:val="18"/>
          <w:color w:val="auto"/>
        </w:rPr>
        <w:t>We believe the principal competton for CABOMETYX in previously treated HCC includes: Bayer’s regorafenib and Eisai’s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lenvatnib.</w:t>
      </w:r>
    </w:p>
    <w:p>
      <w:pPr>
        <w:spacing w:after="0" w:line="164"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The compettve landscape for HCC has changed with the increased adopton of ICI combinaton therapies in the frst-line setng. This has led to increased competton due to the increase in prescribing and sequencing of TKIs in subsequent lines of therapy as more patents overall receive multple lines of therapy. It is difcult to predict how these changes will afect sales of CABOMETYX during 2025 and going forward.</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i w:val="1"/>
          <w:iCs w:val="1"/>
          <w:color w:val="auto"/>
        </w:rPr>
        <w:t xml:space="preserve">CABOMETYX - DTC: </w:t>
      </w:r>
      <w:r>
        <w:rPr>
          <w:rFonts w:ascii="Calibri" w:cs="Calibri" w:eastAsia="Calibri" w:hAnsi="Calibri"/>
          <w:sz w:val="18"/>
          <w:szCs w:val="18"/>
          <w:color w:val="auto"/>
        </w:rPr>
        <w:t>We believe the principal competton for CABOMETYX in its previously treated DTC indicaton includes two treatments that are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also approved for previously untreated DTC: Bayer’s sorafenib and generic versions of sorafenib; and Eisai’s lenvatnib. In additon, we believe there is also competton for CABOMETYX from mutaton-targeted therapies approved or in development to treat patents with advanced or metastatc RET fusion-positve thyroid cancer who require systemic therapy and who are RAI-refractory (if RAI is appropriate), or patents with BRAF V600E mutatons, including: Blueprint Medicine’s and Roche’s pralsetnib; Eli Lilly‘s selpercatnib; and the combinaton of Novarts’ dabrafenib and trametnib.</w:t>
      </w:r>
    </w:p>
    <w:p>
      <w:pPr>
        <w:spacing w:after="0" w:line="166"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Other than the approvals of RET inhibitors to treat certain DTC patents, there has been litle change in the compettve landscape for RAI-refractory DTC treatments during recent years.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i w:val="1"/>
          <w:iCs w:val="1"/>
          <w:color w:val="auto"/>
        </w:rPr>
        <w:t xml:space="preserve">COMETRIQ - MTC: </w:t>
      </w:r>
      <w:r>
        <w:rPr>
          <w:rFonts w:ascii="Calibri" w:cs="Calibri" w:eastAsia="Calibri" w:hAnsi="Calibri"/>
          <w:sz w:val="18"/>
          <w:szCs w:val="18"/>
          <w:color w:val="auto"/>
        </w:rPr>
        <w:t>We believe that the principal competng ant-cancer therapy to COMETRIQ in progressive, metastatc MTC is Genzyme’s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vandetanib, which has been approved by the FDA and the EC for the treatment of symptomatc or progressive MTC in patents with unresectable, locally advanced, or metastatc disease, as well as other therapies that have been recently approved to treat patents with advanced or metastatc RET-mutant MTC who require systemic therapy, including: Blueprint Medicines’ and Roche’s pralsetnib; and Eli Lilly’s selpercatnib.</w:t>
      </w:r>
    </w:p>
    <w:p>
      <w:pPr>
        <w:spacing w:after="0" w:line="165"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Other than the recent approvals of RET inhibitors to treat certain MTC patents, there has been litle change in the treatment landscape for progressive, metastatc MTC during recent years, and due to the limited number of ongoing late-stage clinical trials in this indicaton, we do not expect many additonal compettors to emerge in 2025.</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Competton in Potental Cabozantnib Indicatons</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i w:val="1"/>
          <w:iCs w:val="1"/>
          <w:color w:val="auto"/>
        </w:rPr>
        <w:t>Cabozantnib in combinaton with ICI - mCRPC</w:t>
      </w:r>
      <w:r>
        <w:rPr>
          <w:rFonts w:ascii="Calibri" w:cs="Calibri" w:eastAsia="Calibri" w:hAnsi="Calibri"/>
          <w:sz w:val="18"/>
          <w:szCs w:val="18"/>
          <w:color w:val="auto"/>
        </w:rPr>
        <w:t>: CONTACT-02 is a phase 3 pivotal trial evaluatng the combinaton of cabozantnib and atezolizumab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patents with measurable extra-pelvic mCRPC who have progressed afer treatment with one prior NHT. Should the combinaton of cabozantnib and atezolizumab be approved for the treatment of these mCRPC patents, we believe its principal competton may include the following approved therapies or therapies in late-stage development: Janssen Biotech’s (a wholly owned subsidiary of Johnson &amp; Johnson) abiraterone; Astellas Pharma’s and Pfzer’s enzalutamide; Sanof’s docetaxel; the combinaton of Clovis Oncology’s rucaparib and Pfzer’s enzalutamide; the combinaton of Clovis Oncology’s rucaparib and BMS’s nivolumab; the combinaton of Janssen Biotech’s abiraterone and prednisone, with or without Eli Lily’s ademaciclib; AstraZeneca PLC’s olaparib; and generic versions of abiraterone and docetaxel. In additon, we believe there may be competton for the combinaton of cabozantnib and atezolizumab in mCRPC from approved therapies or therapies in late-stage development focused on the subset of mCRPC patents who are prostate-specifc membrane antgen positve, including: Novarts’ lutetum Lu177 vipivotde tetraxetan (formerly 177Lu-PSMA-617); POINT Biopharma’s (a wholly owned subsidiary of Eli Lilly) PNT2002 (formerly 177Lu-PNT2002); Telix Internatonal’s 177Lu-DOTA-rosopatamab; and Curium US LLC’s 177Lu-PSMA-I&amp;T.</w:t>
      </w:r>
    </w:p>
    <w:p>
      <w:pPr>
        <w:spacing w:after="0" w:line="170" w:lineRule="exact"/>
        <w:rPr>
          <w:sz w:val="20"/>
          <w:szCs w:val="20"/>
          <w:color w:val="auto"/>
        </w:rPr>
      </w:pPr>
    </w:p>
    <w:p>
      <w:pPr>
        <w:ind w:firstLine="648"/>
        <w:spacing w:after="0" w:line="251" w:lineRule="auto"/>
        <w:rPr>
          <w:sz w:val="20"/>
          <w:szCs w:val="20"/>
          <w:color w:val="auto"/>
        </w:rPr>
      </w:pPr>
      <w:r>
        <w:rPr>
          <w:rFonts w:ascii="Calibri" w:cs="Calibri" w:eastAsia="Calibri" w:hAnsi="Calibri"/>
          <w:sz w:val="17"/>
          <w:szCs w:val="17"/>
          <w:i w:val="1"/>
          <w:iCs w:val="1"/>
          <w:color w:val="auto"/>
        </w:rPr>
        <w:t>Cabozantnib - pNET/epNET</w:t>
      </w:r>
      <w:r>
        <w:rPr>
          <w:rFonts w:ascii="Calibri" w:cs="Calibri" w:eastAsia="Calibri" w:hAnsi="Calibri"/>
          <w:sz w:val="17"/>
          <w:szCs w:val="17"/>
          <w:color w:val="auto"/>
        </w:rPr>
        <w:t>: CABINET is a phase 3 pivotal trial, which evaluated cabozantnib versus placebo in patents who experienced progression</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afer prior systemic therapy in two independently powered cohorts: pNET and epNET. Should cabozantnib be approved for treatment in patents with pNET and/or epNET, we believe its principal competton may include the following approved therapies or therapies in late-stage development: Novarts’ lutetum Lu177 dotatate; Novarts’s everolimus; Pfzer’s sunitnib; Lantheus Holdings, Inc. and POINT Biopharma’s 177Lu-PNT2003; Curium US LLC’s 177Lu-DOTATATE; ITM Solucin GmbH’s 177Lu-Edotreotde; the combinaton of Roche’s capecitabine and Merck &amp; Co.’s temozolomide; and RayzeBio’s Actnium-225 dotatate.</w:t>
      </w:r>
    </w:p>
    <w:p>
      <w:pPr>
        <w:spacing w:after="0" w:line="15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Competton for Zanzalintnib</w:t>
      </w:r>
    </w:p>
    <w:p>
      <w:pPr>
        <w:spacing w:after="0" w:line="163"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While we have not yet submited an NDA to the FDA for zanzalintnib, we believe that the factors that will impact our ability to compete in indicatons where zanzalintnib may be approved would be similar to those for the cabozantnib franchise, as described above. Below is a summary of the principal competton for zanzalintnib in the indicatons for which it is currently being evaluated in potentally label-enabling trials, both as a single agent and in combinaton with other therapies. The informaton below does not include all compettor products, but rather those approved products that have or we believe may capture signifcant market share within their respectve indicatons, or with respect to therapies stll in development, those that are likely to overlap with patent populatons that are or may be treated with zanzalintnib or a combinaton therapy regimen that includes zanzalintnib.</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Competton in Potental Zanzalintnib Indicatons</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i w:val="1"/>
          <w:iCs w:val="1"/>
          <w:color w:val="auto"/>
        </w:rPr>
        <w:t>Zanzalintnib in combinaton with ICI - CRC</w:t>
      </w:r>
      <w:r>
        <w:rPr>
          <w:rFonts w:ascii="Calibri" w:cs="Calibri" w:eastAsia="Calibri" w:hAnsi="Calibri"/>
          <w:sz w:val="18"/>
          <w:szCs w:val="18"/>
          <w:color w:val="auto"/>
        </w:rPr>
        <w:t>: STELLAR-303 is a phase 3 pivotal trial evaluatng the combinaton of zanzalintnib and atezolizumab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patents with metastatc non-microsatellite instability-high or non-mismatch repair-defcient CRC who have progressed afer, or are intolerant to, the current standard of care. Should the combinaton of zanzalintnib and atezolizumab be approved for the treatment of these CRC patents, we believe its principal competton may include the following approved therapies or therapies in late-stage development: Bayer’s regorafenib; Taiho Oncoloy’s trifuridine/tpiracil; the combinaton of Taiho Oncoloy’s trifuridine/tpiracil and Roche’s bevacizumab; Takeda’s fruquintnib; the combinaton of Agenus’ botensilimab and balstlimab; and the combinaton of Amgen’s sotorasib and panitumumab.</w:t>
      </w:r>
    </w:p>
    <w:p>
      <w:pPr>
        <w:spacing w:after="0" w:line="167" w:lineRule="exact"/>
        <w:rPr>
          <w:sz w:val="20"/>
          <w:szCs w:val="20"/>
          <w:color w:val="auto"/>
        </w:rPr>
      </w:pPr>
    </w:p>
    <w:p>
      <w:pPr>
        <w:ind w:right="340" w:firstLine="648"/>
        <w:spacing w:after="0" w:line="235" w:lineRule="auto"/>
        <w:rPr>
          <w:sz w:val="20"/>
          <w:szCs w:val="20"/>
          <w:color w:val="auto"/>
        </w:rPr>
      </w:pPr>
      <w:r>
        <w:rPr>
          <w:rFonts w:ascii="Calibri" w:cs="Calibri" w:eastAsia="Calibri" w:hAnsi="Calibri"/>
          <w:sz w:val="18"/>
          <w:szCs w:val="18"/>
          <w:i w:val="1"/>
          <w:iCs w:val="1"/>
          <w:color w:val="auto"/>
        </w:rPr>
        <w:t>Zanzalintnib in combinaton with ICI - RCC</w:t>
      </w:r>
      <w:r>
        <w:rPr>
          <w:rFonts w:ascii="Calibri" w:cs="Calibri" w:eastAsia="Calibri" w:hAnsi="Calibri"/>
          <w:sz w:val="18"/>
          <w:szCs w:val="18"/>
          <w:color w:val="auto"/>
        </w:rPr>
        <w:t>: STELLAR-304 is a phase 3 pivotal trial evaluatng zanzalintnib in combinaton with nivolumab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previously untreated patents with advanced nccRCC. Should the combinaton of zanzalintnib and nivolumab be approved for the treatment of these RCC patents, we believe its principal competton may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include similar approved therapies or therapies in late-stage development that compete with cabozantnib or combinaton regimens containing cabozantnib in various RCC indicatons.</w:t>
      </w:r>
    </w:p>
    <w:p>
      <w:pPr>
        <w:spacing w:after="0" w:line="164"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Zanzalintnib in combinaton with ICI - SCCHN</w:t>
      </w:r>
      <w:r>
        <w:rPr>
          <w:rFonts w:ascii="Calibri" w:cs="Calibri" w:eastAsia="Calibri" w:hAnsi="Calibri"/>
          <w:sz w:val="18"/>
          <w:szCs w:val="18"/>
          <w:color w:val="auto"/>
        </w:rPr>
        <w:t>: STELLAR-305 is a phase 2/3 pivotal trial evaluatng zanzalintnib in combinaton with Merck &amp; Co.’s ICI,</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pembrolizumab, versus pembrolizumab alone in patents with previously untreated PD-L1-positve recurrent or metastatc SCCHN. Should the combinaton of zanzalintnib and pembrolizumab be approved for the treatment of these SCCHN patents, we believe its principal competton may include the following approved therapies or therapies in late-stage development: the combinaton of Eli Lily’s cetuximab, platnum chemotherapy and 5-fuoruracil; Merck &amp; Co.’s pembrolizumab; and the combinaton of Merck &amp; Co.’s pembrolizumab, platnum chemotherapy and 5-fuorouracil; the combinaton of Merus’ petosemtamab and Merck &amp; Co’s pembrolizumab; and the combinaton of Bicara’s BCA-101 and Merck &amp; Co’s pembrolizumab.</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Competton for Cobimetnib and Esaxerenone</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There is competton for both cobimetnib and esaxerenone in the specifc indicatons and territories where they are approved, and there are regular new entrants and developments in all aspects of these markets. However, given the relatvely lesser degree of adopton of these therapies within the broader markets in which they compete and their minimal contributon to our total revenues as out-licensed products, we do not believe changes in the compettve landscape in these indicatons will have a material impact on our business.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Patents and Proprietary Rights</w:t>
      </w:r>
    </w:p>
    <w:p>
      <w:pPr>
        <w:spacing w:after="0" w:line="163"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actvely seek patent protecton in the U.S., EU and selected other foreign jurisdictons to cover our product candidates and related technologies. Patents extend for varying periods according to the date of patent fling or grant and the legal term of patents in the various countries where patent protecton is obtained. The actual protecton aforded by a patent, which can vary from country to country, depends on the type of patent, the scope of its coverage and the availability of legal remedies in the country. We have numerous patents and pending patent applicatons that relate to compounds and formulatons that modulate drug targets, as well as methods of making and using such compounds and formulatons.</w:t>
      </w:r>
    </w:p>
    <w:p>
      <w:pPr>
        <w:spacing w:after="0" w:line="166"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While many patent applicatons have been fled relatng to the product candidates that we have developed, the majority of these are not yet issued or allowed. To our knowledge, we own all global patents necessary for the contnued sale and development of cabozantnib and cobimetnib, and we either own or have in-licensed all global patents for our other product candidates, as further described below.</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Cabozantnib</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Cabozantnib is covered by more than 15 issued patents in the U.S., building from U.S. Patent No. 7,579,473, for the compositon of mater of cabozantnib and pharmaceutcal compositons thereof. This compositon of mater patent, with patent term extension, will expire in August 2026. The following table describes the U.S. patents that cover our marketed cabozantnib products, and which are listed in the Orange Book. Except as otherwise noted, the stated expiraton dates include any patent term adjustments or extensions already granted. In additon to the compositon of mater patent referenced above, the table includes patents directed to other aspects of the commercial product. We contnue to pursue additonal patents and patent term extensions in the U.S. covering various aspects of our cabozantnib products that may, if issued, extend exclusivity beyond the expiraton of the patents listed in the table.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3" w:right="37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50" w:type="dxa"/>
        <w:tblCellMar>
          <w:top w:w="0" w:type="dxa"/>
          <w:left w:w="0" w:type="dxa"/>
          <w:bottom w:w="0" w:type="dxa"/>
          <w:right w:w="0" w:type="dxa"/>
        </w:tblCellMar>
      </w:tblPr>
      <w:tr>
        <w:trPr>
          <w:trHeight w:val="234"/>
        </w:trPr>
        <w:tc>
          <w:tcPr>
            <w:tcW w:w="154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Calibri" w:cs="Calibri" w:eastAsia="Calibri" w:hAnsi="Calibri"/>
                <w:sz w:val="16"/>
                <w:szCs w:val="16"/>
                <w:b w:val="1"/>
                <w:bCs w:val="1"/>
                <w:color w:val="auto"/>
              </w:rPr>
              <w:t>Product</w:t>
            </w:r>
          </w:p>
        </w:tc>
        <w:tc>
          <w:tcPr>
            <w:tcW w:w="1520" w:type="dxa"/>
            <w:vAlign w:val="bottom"/>
            <w:tcBorders>
              <w:top w:val="single" w:sz="8" w:color="auto"/>
              <w:bottom w:val="single" w:sz="8" w:color="CCEEFF"/>
              <w:right w:val="single" w:sz="8" w:color="auto"/>
            </w:tcBorders>
            <w:shd w:val="clear" w:color="auto" w:fill="CCEEFF"/>
          </w:tcPr>
          <w:p>
            <w:pPr>
              <w:jc w:val="right"/>
              <w:ind w:right="330"/>
              <w:spacing w:after="0"/>
              <w:rPr>
                <w:sz w:val="20"/>
                <w:szCs w:val="20"/>
                <w:color w:val="auto"/>
              </w:rPr>
            </w:pPr>
            <w:r>
              <w:rPr>
                <w:rFonts w:ascii="Calibri" w:cs="Calibri" w:eastAsia="Calibri" w:hAnsi="Calibri"/>
                <w:sz w:val="16"/>
                <w:szCs w:val="16"/>
                <w:b w:val="1"/>
                <w:bCs w:val="1"/>
                <w:color w:val="auto"/>
              </w:rPr>
              <w:t>Patent No.</w:t>
            </w:r>
          </w:p>
        </w:tc>
        <w:tc>
          <w:tcPr>
            <w:tcW w:w="580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Calibri" w:cs="Calibri" w:eastAsia="Calibri" w:hAnsi="Calibri"/>
                <w:sz w:val="16"/>
                <w:szCs w:val="16"/>
                <w:b w:val="1"/>
                <w:bCs w:val="1"/>
                <w:color w:val="auto"/>
              </w:rPr>
              <w:t>General Subject Mater</w:t>
            </w:r>
          </w:p>
        </w:tc>
        <w:tc>
          <w:tcPr>
            <w:tcW w:w="23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Calibri" w:cs="Calibri" w:eastAsia="Calibri" w:hAnsi="Calibri"/>
                <w:sz w:val="16"/>
                <w:szCs w:val="16"/>
                <w:b w:val="1"/>
                <w:bCs w:val="1"/>
                <w:color w:val="auto"/>
              </w:rPr>
              <w:t>Patent Expiraton</w:t>
            </w:r>
          </w:p>
        </w:tc>
      </w:tr>
      <w:tr>
        <w:trPr>
          <w:trHeight w:val="227"/>
        </w:trPr>
        <w:tc>
          <w:tcPr>
            <w:tcW w:w="1540" w:type="dxa"/>
            <w:vAlign w:val="bottom"/>
            <w:tcBorders>
              <w:top w:val="single" w:sz="8" w:color="auto"/>
              <w:left w:val="single" w:sz="8" w:color="auto"/>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CABOMETYX</w:t>
            </w:r>
          </w:p>
        </w:tc>
        <w:tc>
          <w:tcPr>
            <w:tcW w:w="1520" w:type="dxa"/>
            <w:vAlign w:val="bottom"/>
            <w:tcBorders>
              <w:top w:val="single" w:sz="8" w:color="auto"/>
              <w:right w:val="single" w:sz="8" w:color="auto"/>
            </w:tcBorders>
          </w:tcPr>
          <w:p>
            <w:pPr>
              <w:jc w:val="right"/>
              <w:spacing w:after="0"/>
              <w:rPr>
                <w:sz w:val="20"/>
                <w:szCs w:val="20"/>
                <w:color w:val="auto"/>
              </w:rPr>
            </w:pPr>
            <w:r>
              <w:rPr>
                <w:rFonts w:ascii="Calibri" w:cs="Calibri" w:eastAsia="Calibri" w:hAnsi="Calibri"/>
                <w:sz w:val="18"/>
                <w:szCs w:val="18"/>
                <w:color w:val="auto"/>
              </w:rPr>
              <w:t>7,579,473</w:t>
            </w:r>
          </w:p>
        </w:tc>
        <w:tc>
          <w:tcPr>
            <w:tcW w:w="5800" w:type="dxa"/>
            <w:vAlign w:val="bottom"/>
            <w:tcBorders>
              <w:top w:val="single" w:sz="8" w:color="auto"/>
              <w:right w:val="single" w:sz="8" w:color="auto"/>
            </w:tcBorders>
          </w:tcPr>
          <w:p>
            <w:pPr>
              <w:ind w:left="20"/>
              <w:spacing w:after="0"/>
              <w:rPr>
                <w:sz w:val="20"/>
                <w:szCs w:val="20"/>
                <w:color w:val="auto"/>
              </w:rPr>
            </w:pPr>
            <w:r>
              <w:rPr>
                <w:rFonts w:ascii="Calibri" w:cs="Calibri" w:eastAsia="Calibri" w:hAnsi="Calibri"/>
                <w:sz w:val="18"/>
                <w:szCs w:val="18"/>
                <w:color w:val="auto"/>
              </w:rPr>
              <w:t>Compositon of mater</w:t>
            </w:r>
          </w:p>
        </w:tc>
        <w:tc>
          <w:tcPr>
            <w:tcW w:w="23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2026</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8,497,284</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Methods of treatment</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2024</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8,877,776</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Salt and polymorphic forms of cabozantnib</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2030</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9,724,342</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Formulatons of cabozantnib</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2033</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10,034,873</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Methods of treatment</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2031</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10,039,757</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Methods of treatment</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2031</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11,091,439</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Crystalline salt forms of cabozantnib</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2030</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11,091,440</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Pharmaceutcal compositon</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2030</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11,098,015</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Methods of treatment</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2030</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11,298,349</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Pharmaceutcal compositon essentally free of impurites</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2032</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12,128,039</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Pharmaceutcal compositon essentally free of impurites</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2032</w:t>
            </w:r>
          </w:p>
        </w:tc>
      </w:tr>
      <w:tr>
        <w:trPr>
          <w:trHeight w:val="23"/>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COMETRIQ</w:t>
            </w: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7,579,473</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Compositon of mater</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2026</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8,877,776</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Salt and polymorphic forms of cabozantnib</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2030</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9,717,720</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Formulatons of cabozantnib</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2032</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11,091,439</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Crystalline salt forms of cabozantnib</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2030</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11,091,440</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Pharmaceutcal compositon</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2030</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11,098,015</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Methods of treatment</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2030</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7"/>
        </w:trPr>
        <w:tc>
          <w:tcPr>
            <w:tcW w:w="1540" w:type="dxa"/>
            <w:vAlign w:val="bottom"/>
            <w:tcBorders>
              <w:left w:val="single" w:sz="8" w:color="auto"/>
              <w:right w:val="single" w:sz="8" w:color="auto"/>
            </w:tcBorders>
          </w:tcPr>
          <w:p>
            <w:pPr>
              <w:spacing w:after="0"/>
              <w:rPr>
                <w:sz w:val="19"/>
                <w:szCs w:val="19"/>
                <w:color w:val="auto"/>
              </w:rPr>
            </w:pPr>
          </w:p>
        </w:tc>
        <w:tc>
          <w:tcPr>
            <w:tcW w:w="152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11,298,349</w:t>
            </w:r>
          </w:p>
        </w:tc>
        <w:tc>
          <w:tcPr>
            <w:tcW w:w="580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Pharmaceutcal compositon essentally free of impurites</w:t>
            </w:r>
          </w:p>
        </w:tc>
        <w:tc>
          <w:tcPr>
            <w:tcW w:w="23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2032</w:t>
            </w:r>
          </w:p>
        </w:tc>
      </w:tr>
      <w:tr>
        <w:trPr>
          <w:trHeight w:val="23"/>
        </w:trPr>
        <w:tc>
          <w:tcPr>
            <w:tcW w:w="1540" w:type="dxa"/>
            <w:vAlign w:val="bottom"/>
            <w:tcBorders>
              <w:left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16"/>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12,128,039</w:t>
            </w:r>
          </w:p>
        </w:tc>
        <w:tc>
          <w:tcPr>
            <w:tcW w:w="5800" w:type="dxa"/>
            <w:vAlign w:val="bottom"/>
            <w:tcBorders>
              <w:bottom w:val="single" w:sz="8" w:color="auto"/>
              <w:right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Pharmaceutcal compositon essentally free of impurites</w:t>
            </w:r>
          </w:p>
        </w:tc>
        <w:tc>
          <w:tcPr>
            <w:tcW w:w="234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8"/>
              </w:rPr>
              <w:t>2032</w:t>
            </w:r>
          </w:p>
        </w:tc>
      </w:tr>
    </w:tbl>
    <w:p>
      <w:pPr>
        <w:spacing w:after="0" w:line="234"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 xml:space="preserve">Some of our cabozantnib patents have been subject to patent litgaton with companies that fled ANDAs seeking to market generic versions of CABOMETYX, as well as others that seek inter partes review (IPR) before the Patent Trial and Appeal Board. We cannot predict the ultmate outcome of these ANDA submissions and/or any related lawsuits and/or IPRs or other challenges that may arise with respect to our patents and patent applicatons or provide assurance that these lawsuits and/or administratve proceedings will prevent the introducton of a generic version of CABOMETYX for any partcular length of tme, or at all. For a more detailed discussion of these litgaton and administratve maters, see “Note 12. Commitment and Contngencies </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Legal Proceedings” of the “Notes to Consolidated Financial Statements” in Part II, Item 8 of this Annual Report on Form 10-K.</w:t>
      </w:r>
    </w:p>
    <w:p>
      <w:pPr>
        <w:spacing w:after="0" w:line="167"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In the EU, cabozantnib is protected by issued patents covering the compositon of mater untl 2029, with Supplementary Protecton Certfcates. In additon to the compositon of mater patent, Exelixis owns certain later-expiring patents directed to the commercial product, including, partcular salts, polymorphs, formulatons, or use of the compound in the treatment of specifed diseases or conditons.</w:t>
      </w:r>
    </w:p>
    <w:p>
      <w:pPr>
        <w:spacing w:after="0" w:line="165"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Similarly, in Japan, cabozantnib is protected by issued patents covering the compositon of mater, and salts thereof, as well as pharmaceutcal compositons and related methods of use. Takeda has applied for patent term extension in Japan to extend the term of the compositon of mater patent to 2029. We have other fled patent applicatons and issued patents in the U.S. and other selected countries covering certain synthetc methods, salts, polymorphs, formulatons, prodrugs, metabolites and/or combinatons of cabozantnib that, if issued, are antcipated to expire as late as 2037. Outside the U.S. and Japan, cabozantnib is licensed to Ipsen, and in Japan, cabozantnib is licensed to Takeda, each in accordance with the respectve collaboraton agreements. A discussion of risks and uncertaintes that may afect our patent positon and other proprietary rights is set forth in “Risk Factors” in Part I, Item 1A of this Annual Report on Form 10-K.</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Zanzalintnib and Other Product Candidates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also have issued patents and pending patent applicatons, and will contnue to fle new patent applicatons, in the U.S., the EU and other selected countries covering zanzalintnib and our other product candidates in clinical and/or preclinical development. Zanzalintnib is covered by U.S. Patent No. 11,542,259, and we have pending patent applicatons in the U.S. and other selected countries covering the compositon of mater, certain synthetc methods, salts, polymorphs,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700"/>
        <w:spacing w:after="0" w:line="235" w:lineRule="auto"/>
        <w:rPr>
          <w:sz w:val="20"/>
          <w:szCs w:val="20"/>
          <w:color w:val="auto"/>
        </w:rPr>
      </w:pPr>
      <w:r>
        <w:rPr>
          <w:rFonts w:ascii="Calibri" w:cs="Calibri" w:eastAsia="Calibri" w:hAnsi="Calibri"/>
          <w:sz w:val="18"/>
          <w:szCs w:val="18"/>
          <w:color w:val="auto"/>
        </w:rPr>
        <w:t>formulatons and combinatons of zanzalintnib that, if issued, are antcipated to expire between 2039 and 2044, excluding any potental patent term adjustments and/or extensions.</w:t>
      </w:r>
    </w:p>
    <w:p>
      <w:pPr>
        <w:spacing w:after="0" w:line="164" w:lineRule="exact"/>
        <w:rPr>
          <w:sz w:val="20"/>
          <w:szCs w:val="20"/>
          <w:color w:val="auto"/>
        </w:rPr>
      </w:pPr>
    </w:p>
    <w:p>
      <w:pPr>
        <w:ind w:right="240" w:firstLine="648"/>
        <w:spacing w:after="0" w:line="235" w:lineRule="auto"/>
        <w:rPr>
          <w:sz w:val="20"/>
          <w:szCs w:val="20"/>
          <w:color w:val="auto"/>
        </w:rPr>
      </w:pPr>
      <w:r>
        <w:rPr>
          <w:rFonts w:ascii="Calibri" w:cs="Calibri" w:eastAsia="Calibri" w:hAnsi="Calibri"/>
          <w:sz w:val="18"/>
          <w:szCs w:val="18"/>
          <w:color w:val="auto"/>
        </w:rPr>
        <w:t>We have obtained licenses from various partes that give us rights to technologies that we deem to be necessary or desirable for our research and development. These licenses (both exclusive and non-exclusive) may require us to pay royaltes as well as upfront and milestone payments.</w:t>
      </w:r>
    </w:p>
    <w:p>
      <w:pPr>
        <w:spacing w:after="0" w:line="164"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We require our scientfc personnel to maintain laboratory notebooks and other research records in accordance with our policies, which are designed to strengthen and support our intellectual property protecton. In additon to our patented intellectual property, we rely on trade secrets and other proprietary informaton, especially when we do not believe that patent protecton is appropriate or can be obtained. We require all of our employees and consultants, outside scientfc collaborators, sponsored researchers and other advisors who receive proprietary informaton from us to execute confdentality agreements upon the commencement of employment or consultng relatonships with us. In additon, these agreements and, in most circumstances, our agreements with consultants, outside scientfc collaborators, sponsored researchers and other advisors expressly provide that all inventons, concepts, developments, copyrights, trademarks or other intellectual property developed by an employee during the employment period or developed by a service provider during the service period or utlizing our proprietary drugs or informaton, shall be our exclusive property. There can be no assurance, however, that these agreements will provide meaningful protecton or adequate remedies for our trade secrets in the event of unauthorized use or disclosure of such informaton.</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 Management</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Our Diverse Workforce and Commitment to Inclusion</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In January 2024, we announced and implemented a restructuring plan, including a reducton of our employee workforce by approximately 175 employees, or 13% of our then total headcount. As of December 31, 2024, we had 1,147 employees, representng a 12.4% decrease in our employee workforce as compared to December 31, 2023. Of these employees, 558 are members of our research and development teams and 589 are members of our commercial, general and administratve teams. Of these employees, 204 hold Ph.D. degrees, 29 hold M.D. (or foreign equivalent) degrees, 28 hold PharmD degrees and 112 hold other professional degrees such as a J.D. or M.B.A. None of our employees are represented by a labor union, and we consider our employee relatons to be good.</w:t>
      </w:r>
    </w:p>
    <w:p>
      <w:pPr>
        <w:spacing w:after="0" w:line="167" w:lineRule="exact"/>
        <w:rPr>
          <w:sz w:val="20"/>
          <w:szCs w:val="20"/>
          <w:color w:val="auto"/>
        </w:rPr>
      </w:pPr>
    </w:p>
    <w:p>
      <w:pPr>
        <w:ind w:right="280" w:firstLine="648"/>
        <w:spacing w:after="0" w:line="235" w:lineRule="auto"/>
        <w:rPr>
          <w:sz w:val="20"/>
          <w:szCs w:val="20"/>
          <w:color w:val="auto"/>
        </w:rPr>
      </w:pPr>
      <w:r>
        <w:rPr>
          <w:rFonts w:ascii="Calibri" w:cs="Calibri" w:eastAsia="Calibri" w:hAnsi="Calibri"/>
          <w:sz w:val="18"/>
          <w:szCs w:val="18"/>
          <w:color w:val="auto"/>
        </w:rPr>
        <w:t>During the past fve years, our employee turnover has remained consistently below average for the U.S. life sciences industry generally. We contnually assess employee turnover, recruitment initatves, compensaton and benefts programs, safety in performing critcal laboratory work, diversity and other maters relevant to human capital management, and we review results with our Board of Directors on a periodic basis.</w:t>
      </w:r>
    </w:p>
    <w:p>
      <w:pPr>
        <w:spacing w:after="0" w:line="165"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We are an equal opportunity employer and maintain policies that prohibit unlawful discriminaton based on race, color, religion, gender, sexual orientaton, gender identty/expression, natonal origin/ancestry, age, disability, marital and veteran status. We are proud to employ a diverse workforce that, as of December 31, 2024, was 57% non-white and 51% women. In additon, as of December 31, 2024, 56% of our positons that manage other employees directly were held by non-whites and 44% were held by women, and women made up 29% of our senior leadership team. We strive to build and nurture a culture where all employees feel empowered to be their authentc selves. We respect and appreciate each employee’s unique perspectve and experiences, and value their contributons to our mission. It is important that we celebrate, encourage and support similarites and diferences to drive innovaton for the beneft of our patents, employees and community.</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Culture, Compensaton and Benefts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At Exelixis, we value being exceptonal in what we do and how we lead, excelling for patents by going the extra mile to care for them and exceeding together as a business and contributor to the scientfc community. We strive to live these values every day across the company, integratng them into everything from our interview, hiring and onboarding processes, to our performance evaluaton, rewards and promoton programs. We provide generous compensaton packages designed to atract and retain high-quality employees, and all of our employees are eligible for cash bonuses and grants of long-term incentve awards. We regularly evaluate our compensaton programs with an independent compensaton consultant and utlize industry benchmarking to ensure our programs are compettve with the biotechnology and biopharmaceutcal companies against which we compete for talent. We also work with third party consultants to conduct an annual, independent pay equity analysis to ensure our compensaton programs are fair and equitable across our workforce with respect to gender, race and other personal characteristcs. We are proud to provide a variety of programs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0"/>
        <w:spacing w:after="0" w:line="251" w:lineRule="auto"/>
        <w:rPr>
          <w:sz w:val="20"/>
          <w:szCs w:val="20"/>
          <w:color w:val="auto"/>
        </w:rPr>
      </w:pPr>
      <w:r>
        <w:rPr>
          <w:rFonts w:ascii="Calibri" w:cs="Calibri" w:eastAsia="Calibri" w:hAnsi="Calibri"/>
          <w:sz w:val="17"/>
          <w:szCs w:val="17"/>
          <w:color w:val="auto"/>
        </w:rPr>
        <w:t>and services to help employees meet and balance their needs at work, at home and in life, including an atractve mix of healthcare, insurance and other beneft plans. We deliver a benefts program that is designed to keep our employees and their families mentally, physically and emotonally healthy, which includes not only medical, dental and vision benefts, but also a wellness subsidy program, virtual and onsite ftness classes, adopton assistance, mental health coverage, subsidized commuter benefts and other wellness benefts. Our inclusive benefts are also designed to support family life with optons including, among others, generous parental leave policies, grandparent leave, adopton, surrogacy and fertlity programs, new parent and nursing mother support programs, mental health services, childcare tuiton subsidy and tutoring services, dependent care for children and adults, family care coordinaton, and pet insurance. For a discussion of workplace safety measures we have taken, see “—Environmental, Health and Safety.”</w:t>
      </w:r>
    </w:p>
    <w:p>
      <w:pPr>
        <w:spacing w:after="0" w:line="15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Beyond compensaton and benefts, we also value career development for all employees, and we ofer a tuiton reimbursement program, as well as professional development courses ranging from technical training, competency-based workshops and leadership development programs facilitated by external partners who are experts in their respectve felds. In 2024, we established the Exelixis Leadership Foundatons, a comprehensive two-year leadership program designed exclusively to assist managers in achieving outcomes efectvely. Managers also take an actve role in identfying individualized development plans to assist their employees in realizing their full potental and creatng opportunites for promotons and added responsibilites that enhance the engagement and retenton of our workforce.</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Corporate Informaton</w:t>
      </w:r>
    </w:p>
    <w:p>
      <w:pPr>
        <w:spacing w:after="0" w:line="163" w:lineRule="exact"/>
        <w:rPr>
          <w:sz w:val="20"/>
          <w:szCs w:val="20"/>
          <w:color w:val="auto"/>
        </w:rPr>
      </w:pPr>
    </w:p>
    <w:p>
      <w:pPr>
        <w:jc w:val="both"/>
        <w:ind w:right="100" w:firstLine="648"/>
        <w:spacing w:after="0" w:line="254" w:lineRule="auto"/>
        <w:rPr>
          <w:sz w:val="20"/>
          <w:szCs w:val="20"/>
          <w:color w:val="auto"/>
        </w:rPr>
      </w:pPr>
      <w:r>
        <w:rPr>
          <w:rFonts w:ascii="Calibri" w:cs="Calibri" w:eastAsia="Calibri" w:hAnsi="Calibri"/>
          <w:sz w:val="17"/>
          <w:szCs w:val="17"/>
          <w:color w:val="auto"/>
        </w:rPr>
        <w:t>We were incorporated in Delaware in November 1994 as Exelixis Pharmaceutcals, Inc. and changed our name to Exelixis, Inc. in February 2000. Our principal executve ofces are located at 1851 Harbor Bay Parkway, Alameda, California 94502. Our telephone number is (650) 837-7000. We maintain a site on the worldwide web at www.exelixis.com; however, informaton found on our website is not incorporated by reference into this report.</w:t>
      </w:r>
    </w:p>
    <w:p>
      <w:pPr>
        <w:spacing w:after="0" w:line="151"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make available free of charge on or through our website our Securites and Exchange Commission (SEC) flings, including our annual report on Form 10-K, quarterly reports on Form 10-Q, current reports on Form 8-K and amendments to those reports fled or furnished pursuant to Secton 13(a) or 15(d) of the Securites Exchange Act of 1934, as amended, as soon as reasonably practcable afer we electronically fle such material with, or furnish it to, the SEC. The SEC maintains a site on the worldwide web that contains reports, proxy and informaton statements and other informaton regarding our flings at www.sec.gov.</w:t>
      </w:r>
    </w:p>
    <w:p>
      <w:pPr>
        <w:spacing w:after="0" w:line="2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1A. Risk Factors.</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In additon to the risks discussed elsewhere in this report, the following are important factors that make an investment in our securites speculatve or risky, and that could cause actual results or events to difer materially from those contained in any forward-looking statements made by us or on our behalf. The risks and uncertaintes described below are not the only ones we face. Additonal risks and uncertaintes not currently known to us or that we deem immaterial also may impair our business operatons. If any of the following risks or such other risks actually occur, our business and the value of your investment in our company could be harmed.</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the Commercializaton of Our Products</w:t>
      </w:r>
    </w:p>
    <w:p>
      <w:pPr>
        <w:spacing w:after="0" w:line="163"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b w:val="1"/>
          <w:bCs w:val="1"/>
          <w:i w:val="1"/>
          <w:iCs w:val="1"/>
          <w:color w:val="auto"/>
        </w:rPr>
        <w:t>Our ability to grow our company is dependent upon the commercial success of CABOMETYX in its approved indicatons and the contnued clinical development, regulatory approval, clinical acceptance and commercial success of the cabozantnib franchise in additonal indicatons.</w:t>
      </w:r>
    </w:p>
    <w:p>
      <w:pPr>
        <w:spacing w:after="0" w:line="164"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We antcipate that for the foreseeable future, our ability to maintain or meaningfully increase cash fow to fund our business operatons and growth will depend upon the contnued commercial success of CABOMETYX, both alone and in combinaton with other therapies, as a treatment for the highly compettve indicatons for which it is approved, and possibly for other indicatons for which cabozantnib is currently being evaluated in potentally label-enabling clinical trials, if warranted by the data generated from these trials. In this regard, part of our strategy is to pursue additonal indicatons for CABOMETYX and increase the number of cancer patents who could potentally beneft from this medicine. However, we cannot be certain that the clinical trials we and our collaboraton partners are conductng will demonstrate adequate safety and efcacy in these additonal indicatons to receive regulatory approval in the major commercial markets where CABOMETYX is approved. Even if the required regulatory approvals to market CABOMETYX for additonal indicatons are achieved, we and our collaboraton partners may not be able to commercialize CABOMETYX efectvely and successfully in these additonal indicatons. If revenue from CABOMETYX decreases or remains fat, or if we are unable to expand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number of labeled indicatons for which CABOMETYX is approved, or if we or our collaboraton partners fail to achieve antcipated product royaltes and collaboraton milestones, we may need to reduce our operatng expenses, access other sources of cash or otherwise modify our business plans, which could have a material adverse impact on our business, fnancial conditon and results of operatons.</w:t>
      </w:r>
    </w:p>
    <w:p>
      <w:pPr>
        <w:spacing w:after="0" w:line="165"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b w:val="1"/>
          <w:bCs w:val="1"/>
          <w:i w:val="1"/>
          <w:iCs w:val="1"/>
          <w:color w:val="auto"/>
        </w:rPr>
        <w:t>Our ability to grow revenues from sales of CABOMETYX depends upon the degree of market acceptance among physicians, patents, healthcare payers, and the medical community.</w:t>
      </w:r>
    </w:p>
    <w:p>
      <w:pPr>
        <w:spacing w:after="0" w:line="164"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Our ability to increase or maintain revenues from sales of CABOMETYX for its approved indicatons is, and if approved for additonal indicatons will be, highly dependent upon the extent of market acceptance of CABOMETYX among physicians, patents, foreign and U.S. government healthcare payers such as Medicare and Medicaid, commercial healthcare plans and the medical community. Market acceptance for CABOMETYX could be impacted by numerous factors, including the efectveness and safety profle, or the perceived efectveness and safety profle, of CABOMETYX compared to competng products, the strength of CABOMETYX sales and marketng eforts and changes in pricing and reimbursement for CABOMETYX. If CABOMETYX does not contnue to be prescribed broadly for the treatment of patents in its approved indicatons, our product revenues could faten or decrease, which could have a material adverse impact on our business, fnancial conditon and results of operatons.</w:t>
      </w:r>
    </w:p>
    <w:p>
      <w:pPr>
        <w:spacing w:after="0" w:line="168" w:lineRule="exact"/>
        <w:rPr>
          <w:sz w:val="20"/>
          <w:szCs w:val="20"/>
          <w:color w:val="auto"/>
        </w:rPr>
      </w:pPr>
    </w:p>
    <w:p>
      <w:pPr>
        <w:ind w:right="380" w:firstLine="648"/>
        <w:spacing w:after="0" w:line="235" w:lineRule="auto"/>
        <w:rPr>
          <w:sz w:val="20"/>
          <w:szCs w:val="20"/>
          <w:color w:val="auto"/>
        </w:rPr>
      </w:pPr>
      <w:r>
        <w:rPr>
          <w:rFonts w:ascii="Calibri" w:cs="Calibri" w:eastAsia="Calibri" w:hAnsi="Calibri"/>
          <w:sz w:val="18"/>
          <w:szCs w:val="18"/>
          <w:b w:val="1"/>
          <w:bCs w:val="1"/>
          <w:i w:val="1"/>
          <w:iCs w:val="1"/>
          <w:color w:val="auto"/>
        </w:rPr>
        <w:t>Our compettors may develop products and technologies that impair the relatve value of our marketed products and any current and future product candidates.</w:t>
      </w:r>
    </w:p>
    <w:p>
      <w:pPr>
        <w:spacing w:after="0" w:line="164"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The biopharmaceutcal industry is compettve and characterized by constant technological change and diverse oferings of products, partcularly in the area of oncology therapies. Many of our compettors have greater capital resources, larger research and development staf and facilites, deeper organizatonal regulatory experience and more extensive product manufacturing and commercial capabilites than we do, which may aford them a compettve advantage. Further, our compettors may be more efectve at in-licensing and developing new commercial products that could render our products, and those of our collaboraton partners, obsolete or noncompettve. We face, and will contnue to face, intense competton from biopharmaceutcal companies, as well as academic research insttutons, clinical reference laboratories and government agencies that are pursuing scientfc and clinical research actvites similar to ours.</w:t>
      </w:r>
    </w:p>
    <w:p>
      <w:pPr>
        <w:spacing w:after="0" w:line="168" w:lineRule="exact"/>
        <w:rPr>
          <w:sz w:val="20"/>
          <w:szCs w:val="20"/>
          <w:color w:val="auto"/>
        </w:rPr>
      </w:pPr>
    </w:p>
    <w:p>
      <w:pPr>
        <w:ind w:right="20" w:firstLine="648"/>
        <w:spacing w:after="0" w:line="251" w:lineRule="auto"/>
        <w:rPr>
          <w:sz w:val="20"/>
          <w:szCs w:val="20"/>
          <w:color w:val="auto"/>
        </w:rPr>
      </w:pPr>
      <w:r>
        <w:rPr>
          <w:rFonts w:ascii="Calibri" w:cs="Calibri" w:eastAsia="Calibri" w:hAnsi="Calibri"/>
          <w:sz w:val="17"/>
          <w:szCs w:val="17"/>
          <w:color w:val="auto"/>
        </w:rPr>
        <w:t>Furthermore, the specifc indicatons for which CABOMETYX is currently or may be approved, based on the results from clinical trials currently evaluatng cabozantnib, are highly compettve. Several novel therapies and combinatons of therapies have been approved, are in advanced stages of clinical development or are under expedited regulatory review in these indicatons, and these other therapies are currently competng or are expected to compete with CABOMETYX, or the FDA may update their labeling to add accepted indicatons that compete with CABOMETYX. Even if our current and future clinical trials produce positve results sufcient to obtain marketng approval by the FDA and other global regulatory authorites, it is uncertain whether physicians will choose to prescribe regimens containing our products instead of competng products and product combinatons in approved indicatons.</w:t>
      </w:r>
    </w:p>
    <w:p>
      <w:pPr>
        <w:spacing w:after="0" w:line="156"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b w:val="1"/>
          <w:bCs w:val="1"/>
          <w:i w:val="1"/>
          <w:iCs w:val="1"/>
          <w:color w:val="auto"/>
        </w:rPr>
        <w:t>If we are unable to maintain or increase our sales, marketng, market access and product distributon capabilites for our products, we may be unable to maximize product revenues, which could have a material adverse impact on our business, fnancial conditon and results of operatons.</w:t>
      </w:r>
    </w:p>
    <w:p>
      <w:pPr>
        <w:spacing w:after="0" w:line="16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Maintaining our sales, marketng, market access and product distributon capabilites requires signifcant resources, and there are numerous risks involved with maintaining and contnuously improving our commercial organizaton, including our potental inability to successfully recruit, train, retain and incentvize adequate numbers of qualifed and efectve sales and marketng personnel. We are competng for talent with numerous commercial- and precommercial-stage, oncology-focused biopharmaceutcal companies seeking to build out and maintain their commercial organizatons, as well as larger biopharmaceutcal organizatons that have extensive, well-funded and more experienced sales and marketng operatons, and we may be unable to maintain or adequately scale our commercial organizaton as a result of such competton. Also, to the extent that the commercial opportunites for CABOMETYX grow over tme, we may not properly scale the size and experience of our commercializaton teams to market and sell CABOMETYX successfully in an expanded number of indicatons. If we are unable to maintain or scale our commercial functon appropriately, we may not be able to maximize product revenues, which could have a material adverse impact on our business, fnancial conditon and results of operatons.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3" w:right="37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b w:val="1"/>
          <w:bCs w:val="1"/>
          <w:i w:val="1"/>
          <w:iCs w:val="1"/>
          <w:color w:val="auto"/>
        </w:rPr>
        <w:t>If we are unable to obtain or maintain coverage and reimbursement for our products from government and other third-party payers, our business will sufer.</w:t>
      </w:r>
    </w:p>
    <w:p>
      <w:pPr>
        <w:spacing w:after="0" w:line="164" w:lineRule="exact"/>
        <w:rPr>
          <w:sz w:val="20"/>
          <w:szCs w:val="20"/>
          <w:color w:val="auto"/>
        </w:rPr>
      </w:pPr>
    </w:p>
    <w:p>
      <w:pPr>
        <w:ind w:firstLine="648"/>
        <w:spacing w:after="0" w:line="238" w:lineRule="auto"/>
        <w:rPr>
          <w:sz w:val="20"/>
          <w:szCs w:val="20"/>
          <w:color w:val="auto"/>
        </w:rPr>
      </w:pPr>
      <w:r>
        <w:rPr>
          <w:rFonts w:ascii="Calibri" w:cs="Calibri" w:eastAsia="Calibri" w:hAnsi="Calibri"/>
          <w:sz w:val="18"/>
          <w:szCs w:val="18"/>
          <w:color w:val="auto"/>
        </w:rPr>
        <w:t xml:space="preserve">Our ability to commercialize our products successfully is highly dependent on the extent to which health insurance coverage and reimbursement is, and will be, available from third-party payers, including foreign and U.S. governmental payers, such as Medicare and Medicaid, and private health insurers. Third-party payers contnue to scrutnize and manage access to pharmaceutcal products and services and may limit reimbursement for newly approved products and indicatons. Patents are generally not capable of paying for CABOMETYX or COMETRIQ themselves and rely on third-party payers to pay for, or subsidize, the costs of their medicatons, among other medical costs. Accordingly, market acceptance of CABOMETYX and COMETRIQ is dependent on the extent to which coverage and reimbursement is available from third-party payers. These payer enttes could refuse, limit or conditon coverage for our products, such as by using tered reimbursement or pressing for new forms of contractng, or alternatvely for patents who rely on our co-pay assistance program, implementng co-pay accumulators or maximizers that exempt such co-pay assistance from patent deductbles (or otherwise modify beneft designs in a manner that takes into account the availability of co-pay assistance), which actons have increased and could further increase the costs of our co-pay assistance program or cause patents to abandon CABOMETYX or COMETRIQ therapy due to higher out-of-pocket costs. In April 2024, the CMS fnalized regulatons that will mitgate maximizer programs by requiring individual and small group market health plans to consider as essental health benefts (EHB) all prescripton drugs that are covered in excess of a state’s EHB benchmark plan. </w:t>
      </w:r>
      <w:r>
        <w:rPr>
          <w:rFonts w:ascii="Calibri" w:cs="Calibri" w:eastAsia="Calibri" w:hAnsi="Calibri"/>
          <w:sz w:val="21"/>
          <w:szCs w:val="21"/>
          <w:color w:val="auto"/>
        </w:rPr>
        <w:t>T</w:t>
      </w:r>
      <w:r>
        <w:rPr>
          <w:rFonts w:ascii="Calibri" w:cs="Calibri" w:eastAsia="Calibri" w:hAnsi="Calibri"/>
          <w:sz w:val="18"/>
          <w:szCs w:val="18"/>
          <w:color w:val="auto"/>
        </w:rPr>
        <w:t>he Departments of Labor, Treasury, and Health and Human Services stated their intent to address the applicaton of this policy to large group market and self-insured plans in future rulemaking. CMS also plans to address in future rulemaking the applicaton of manufacturer assistance to the annual cost-sharing limit; this follows a 2023 federal district court decision vacatng a rule that provided health plans with discreton whether to include manufacturer assistance toward the annual cost-sharing limit. If third-party payers do not provide or increase limitatons on coverage or reimbursement for CABOMETYX or COMETRIQ, our revenues and results of operatons may sufer. In additon, even if third-party payers provide some coverage or reimbursement for CABOMETYX or COMETRIQ, the availability of such coverage or reimbursement for prescripton drugs under private health insurance and managed care plans, which ofen varies based on the type of contract or plan purchased, may not be sufcient for patents to aford CABOMETYX or COMETRIQ.</w:t>
      </w:r>
    </w:p>
    <w:p>
      <w:pPr>
        <w:spacing w:after="0" w:line="171" w:lineRule="exact"/>
        <w:rPr>
          <w:sz w:val="20"/>
          <w:szCs w:val="20"/>
          <w:color w:val="auto"/>
        </w:rPr>
      </w:pPr>
    </w:p>
    <w:p>
      <w:pPr>
        <w:ind w:right="420" w:firstLine="648"/>
        <w:spacing w:after="0" w:line="235" w:lineRule="auto"/>
        <w:rPr>
          <w:sz w:val="20"/>
          <w:szCs w:val="20"/>
          <w:color w:val="auto"/>
        </w:rPr>
      </w:pPr>
      <w:r>
        <w:rPr>
          <w:rFonts w:ascii="Calibri" w:cs="Calibri" w:eastAsia="Calibri" w:hAnsi="Calibri"/>
          <w:sz w:val="18"/>
          <w:szCs w:val="18"/>
          <w:b w:val="1"/>
          <w:bCs w:val="1"/>
          <w:i w:val="1"/>
          <w:iCs w:val="1"/>
          <w:color w:val="auto"/>
        </w:rPr>
        <w:t>Current healthcare laws and regulatons in the U.S. and future legislatve or regulatory reforms to the U.S. healthcare system may afect our ability to commercialize our marketed products proftably.</w:t>
      </w:r>
    </w:p>
    <w:p>
      <w:pPr>
        <w:spacing w:after="0" w:line="164" w:lineRule="exact"/>
        <w:rPr>
          <w:sz w:val="20"/>
          <w:szCs w:val="20"/>
          <w:color w:val="auto"/>
        </w:rPr>
      </w:pPr>
    </w:p>
    <w:p>
      <w:pPr>
        <w:ind w:right="40" w:firstLine="648"/>
        <w:spacing w:after="0" w:line="251" w:lineRule="auto"/>
        <w:rPr>
          <w:sz w:val="20"/>
          <w:szCs w:val="20"/>
          <w:color w:val="auto"/>
        </w:rPr>
      </w:pPr>
      <w:r>
        <w:rPr>
          <w:rFonts w:ascii="Calibri" w:cs="Calibri" w:eastAsia="Calibri" w:hAnsi="Calibri"/>
          <w:sz w:val="17"/>
          <w:szCs w:val="17"/>
          <w:color w:val="auto"/>
        </w:rPr>
        <w:t>Concern over access to and afordability of pharmaceutcal products contnues to spur debate and acton by U.S. federal and state government authorites in an efort to contain costs. Such legislatve and regulatory proposals include price transparency reportng obligatons, use of mandated discounts and restrictve formularies, among others. If implemented, the resultng changes to the pricing and reimbursement of CABOMETYX and COMETRIQ could afect our ability to contnue to commercialize the products. Consolidaton and integraton of private payers and pharmacy beneft managers in the U.S. has also signifcantly impacted the market for pharmaceutcals by increasing payer leverage in negotatng manufacturer price or rebate concessions and pharmacy reimbursement rates. Such restrictve or unfavorable pricing, coverage or reimbursement determinatons for CABOMETYX and COMETRIQ or our other product candidates, whether made by governments (including regulatory agencies and courts) or by private payers, may adversely impact our business.</w:t>
      </w:r>
    </w:p>
    <w:p>
      <w:pPr>
        <w:spacing w:after="0" w:line="155"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In additon, there have been, and may in the future be, initatves at both the federal and state level or legal challenges that could signifcantly modify the terms and scope of government-provided health insurance coverage, ranging from changes to or litgaton opposing some or all of the provisions of the PPACA, to establishing a single-payer, natonal health insurance system, to more limited “buy-in” optons to existng public health insurance programs, any of which could have a signifcant impact on the healthcare industry. Although such atempts to reform the U.S. healthcare system have not signifcantly impacted our business to date, it is possible that additonal legislatve, executve and judicial actvites in the future could have a material adverse impact on our business, fnancial conditon and results of operatons.</w:t>
      </w:r>
    </w:p>
    <w:p>
      <w:pPr>
        <w:spacing w:after="0" w:line="167"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Furthermore, because we partcipate in the 340B Program to sell a porton of our marketed products, changes in the administraton of the program could have a material adverse impact on our revenues. Efectve July 2022, we implemented a 340B Program Integrity Initatve, pursuant to which we request all hospital covered enttes (i.e., hospitals that partcipate in the 340B Program) to provide claims-level data for CABOMETYX and COMETRIQ dispensed by contract pharmacies. A covered entty that elects not to provide this limited claims data and that does not have an in-house pharmacy may designate a single contract pharmacy locaton within our authorized specialty pharmacy network. We believe this initatve will provide much-needed transparency and promote compliance with program requirements, and at the same tme, should not restrict patent access to our medicines.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In 2021, other manufacturers that implemented similar contract pharmacy integrity programs received enforcement leters from the U.S. Department of Health and Human Services (HHS) statng that those manufacturers’ integrity initatves, as implemented, restricted contract pharmacy transactons in violaton of the 340B Program statute. Certain of these other manufacturers engaged in litgaton with the government over the legality of these programs. In November 2023, we received from several covered enttes a 340B Program Administratve Dispute Resoluton (ADR) petton, seeking to invoke an administratve adjudicaton process overseen by the HHS’ Health Resources and Services Administraton (HRSA). The pettoners contend that the Company’s 340B Program Integrity Initatve caused them to be overcharged for CABOMETYX and COMETRIQ. We have since received confrmaton that the HRSA will assign an ADR panel to the claim, and responded to the complaint in October 2024. At this tme it is unclear what, if any, liabilites we might incur as a party to this ADR proceeding.</w:t>
      </w:r>
    </w:p>
    <w:p>
      <w:pPr>
        <w:spacing w:after="0" w:line="169" w:lineRule="exact"/>
        <w:rPr>
          <w:sz w:val="20"/>
          <w:szCs w:val="20"/>
          <w:color w:val="auto"/>
        </w:rPr>
      </w:pPr>
    </w:p>
    <w:p>
      <w:pPr>
        <w:ind w:right="220" w:firstLine="648"/>
        <w:spacing w:after="0" w:line="235" w:lineRule="auto"/>
        <w:rPr>
          <w:sz w:val="20"/>
          <w:szCs w:val="20"/>
          <w:color w:val="auto"/>
        </w:rPr>
      </w:pPr>
      <w:r>
        <w:rPr>
          <w:rFonts w:ascii="Calibri" w:cs="Calibri" w:eastAsia="Calibri" w:hAnsi="Calibri"/>
          <w:sz w:val="18"/>
          <w:szCs w:val="18"/>
          <w:color w:val="auto"/>
        </w:rPr>
        <w:t xml:space="preserve">In additon, certain states have also enacted laws requiring manufacturers to provide the 340B Program pricing through contract pharmacy arrangements; these laws are also being challenged in ongoing litgaton. We believe our 340B Program Integrity Initatve complies with the 340B Program statute, as supported by the federal appellate court decision in </w:t>
      </w:r>
      <w:r>
        <w:rPr>
          <w:rFonts w:ascii="Calibri" w:cs="Calibri" w:eastAsia="Calibri" w:hAnsi="Calibri"/>
          <w:sz w:val="18"/>
          <w:szCs w:val="18"/>
          <w:i w:val="1"/>
          <w:iCs w:val="1"/>
          <w:color w:val="auto"/>
        </w:rPr>
        <w:t>Sanof Avents U.S. LLC v. United States Department of Health and Human Services</w:t>
      </w:r>
      <w:r>
        <w:rPr>
          <w:rFonts w:ascii="Calibri" w:cs="Calibri" w:eastAsia="Calibri" w:hAnsi="Calibri"/>
          <w:sz w:val="18"/>
          <w:szCs w:val="18"/>
          <w:color w:val="auto"/>
        </w:rPr>
        <w:t xml:space="preserve"> and </w:t>
      </w:r>
      <w:r>
        <w:rPr>
          <w:rFonts w:ascii="Calibri" w:cs="Calibri" w:eastAsia="Calibri" w:hAnsi="Calibri"/>
          <w:sz w:val="18"/>
          <w:szCs w:val="18"/>
          <w:i w:val="1"/>
          <w:iCs w:val="1"/>
          <w:color w:val="auto"/>
        </w:rPr>
        <w:t>Novarts v. Johnson</w:t>
      </w:r>
      <w:r>
        <w:rPr>
          <w:rFonts w:ascii="Calibri" w:cs="Calibri" w:eastAsia="Calibri" w:hAnsi="Calibri"/>
          <w:sz w:val="18"/>
          <w:szCs w:val="18"/>
          <w:color w:val="auto"/>
        </w:rPr>
        <w:t>, and that the state laws regarding contract pharmacy arrangements are invalid or are otherwise inapplicable to our 340B Program</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Integrity Initatve. With partcular respect to AR Act 1103 (the Arkansas law concerning the 340B Program contract pharmacy arrangements), following the federal appellate court ruling in </w:t>
      </w:r>
      <w:r>
        <w:rPr>
          <w:rFonts w:ascii="Calibri" w:cs="Calibri" w:eastAsia="Calibri" w:hAnsi="Calibri"/>
          <w:sz w:val="18"/>
          <w:szCs w:val="18"/>
          <w:i w:val="1"/>
          <w:iCs w:val="1"/>
          <w:color w:val="auto"/>
        </w:rPr>
        <w:t>Pharmaceutcal Research and Manufacturers of America v. McClain</w:t>
      </w:r>
      <w:r>
        <w:rPr>
          <w:rFonts w:ascii="Calibri" w:cs="Calibri" w:eastAsia="Calibri" w:hAnsi="Calibri"/>
          <w:sz w:val="18"/>
          <w:szCs w:val="18"/>
          <w:color w:val="auto"/>
        </w:rPr>
        <w:t>, we are voluntarily complying with AR Act 1103 and certain other state laws.</w:t>
      </w:r>
    </w:p>
    <w:p>
      <w:pPr>
        <w:spacing w:after="0" w:line="168" w:lineRule="exact"/>
        <w:rPr>
          <w:sz w:val="20"/>
          <w:szCs w:val="20"/>
          <w:color w:val="auto"/>
        </w:rPr>
      </w:pPr>
    </w:p>
    <w:p>
      <w:pPr>
        <w:ind w:right="100" w:firstLine="648"/>
        <w:spacing w:after="0" w:line="251" w:lineRule="auto"/>
        <w:rPr>
          <w:sz w:val="20"/>
          <w:szCs w:val="20"/>
          <w:color w:val="auto"/>
        </w:rPr>
      </w:pPr>
      <w:r>
        <w:rPr>
          <w:rFonts w:ascii="Calibri" w:cs="Calibri" w:eastAsia="Calibri" w:hAnsi="Calibri"/>
          <w:sz w:val="17"/>
          <w:szCs w:val="17"/>
          <w:color w:val="auto"/>
        </w:rPr>
        <w:t>Depending on the outcome of the ongoing litgaton or any specifc proceedings involving us, we may be required to modify or suspend our 340B Program Integrity Initatve. Ultmately, any negatve ruling in a federal court, HHS administratve proceeding, or state-level proceeding in which we are a party, or in which the compliance of our 340B Program Integrity Initatve is at issue, could have a material adverse efect on our business, fnancial conditon and results of operatons. Due to general uncertainty with respect to this litgaton and in the current regulatory and healthcare policy environment, and specifcally regarding positons that the Trump Administraton may take with respect to these issues, we are unable to predict the impact of any future legislatve, regulatory, third-party payer or policy actons, including potental cost containment and healthcare reform measures. If enacted, we and any third partes we might engage may be unable to adapt to any changes implemented as a result of such measures, and we could face difcultes in maintaining or increasing proftability or otherwise experience a material adverse impact on our business, fnancial conditon and results of operatons.</w:t>
      </w:r>
    </w:p>
    <w:p>
      <w:pPr>
        <w:spacing w:after="0" w:line="154"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b w:val="1"/>
          <w:bCs w:val="1"/>
          <w:i w:val="1"/>
          <w:iCs w:val="1"/>
          <w:color w:val="auto"/>
        </w:rPr>
        <w:t>Pricing for pharmaceutcal products in the U.S. has come under increasing atenton and scrutny by federal and state governments, legislatve bodies and enforcement agencies. Initatves arising from this scrutny may result in changes that have the efect of reducing our revenue or harming our business or reputaton.</w:t>
      </w:r>
    </w:p>
    <w:p>
      <w:pPr>
        <w:spacing w:after="0" w:line="165" w:lineRule="exact"/>
        <w:rPr>
          <w:sz w:val="20"/>
          <w:szCs w:val="20"/>
          <w:color w:val="auto"/>
        </w:rPr>
      </w:pPr>
    </w:p>
    <w:p>
      <w:pPr>
        <w:ind w:right="180" w:firstLine="648"/>
        <w:spacing w:after="0" w:line="235" w:lineRule="auto"/>
        <w:rPr>
          <w:sz w:val="20"/>
          <w:szCs w:val="20"/>
          <w:color w:val="auto"/>
        </w:rPr>
      </w:pPr>
      <w:r>
        <w:rPr>
          <w:rFonts w:ascii="Calibri" w:cs="Calibri" w:eastAsia="Calibri" w:hAnsi="Calibri"/>
          <w:sz w:val="18"/>
          <w:szCs w:val="18"/>
          <w:color w:val="auto"/>
        </w:rPr>
        <w:t>There contnue to be U.S. Congressional inquiries, hearings and proposed and enacted federal legislaton and rules, as well as executve orders and sub-regulatory guidance, that may impact pricing for pharmaceutcal products. These initatves include, among others:</w:t>
      </w:r>
    </w:p>
    <w:p>
      <w:pPr>
        <w:spacing w:after="0" w:line="51" w:lineRule="exact"/>
        <w:rPr>
          <w:sz w:val="20"/>
          <w:szCs w:val="20"/>
          <w:color w:val="auto"/>
        </w:rPr>
      </w:pPr>
    </w:p>
    <w:p>
      <w:pPr>
        <w:ind w:left="820" w:hanging="229"/>
        <w:spacing w:after="0"/>
        <w:tabs>
          <w:tab w:leader="none" w:pos="82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eforts to reevaluate, reduce or limit the price patents pay for pharmaceutcal products;</w:t>
      </w:r>
    </w:p>
    <w:p>
      <w:pPr>
        <w:spacing w:after="0" w:line="55" w:lineRule="exact"/>
        <w:rPr>
          <w:rFonts w:ascii="Calibri" w:cs="Calibri" w:eastAsia="Calibri" w:hAnsi="Calibri"/>
          <w:sz w:val="18"/>
          <w:szCs w:val="18"/>
          <w:color w:val="auto"/>
        </w:rPr>
      </w:pPr>
    </w:p>
    <w:p>
      <w:pPr>
        <w:ind w:left="820" w:right="40" w:hanging="229"/>
        <w:spacing w:after="0" w:line="235" w:lineRule="auto"/>
        <w:tabs>
          <w:tab w:leader="none" w:pos="816"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implementaton of additonal data collecton and transparency reportng regarding drug pricing, rebates, fees and other remuneraton provided by drug manufacturers;</w:t>
      </w:r>
    </w:p>
    <w:p>
      <w:pPr>
        <w:spacing w:after="0" w:line="55" w:lineRule="exact"/>
        <w:rPr>
          <w:rFonts w:ascii="Calibri" w:cs="Calibri" w:eastAsia="Calibri" w:hAnsi="Calibri"/>
          <w:sz w:val="18"/>
          <w:szCs w:val="18"/>
          <w:color w:val="auto"/>
        </w:rPr>
      </w:pPr>
    </w:p>
    <w:p>
      <w:pPr>
        <w:ind w:left="820" w:hanging="229"/>
        <w:spacing w:after="0" w:line="235" w:lineRule="auto"/>
        <w:tabs>
          <w:tab w:leader="none" w:pos="816"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revisions to rules associated with the calculaton of average manufacturer price; best price and rebate liability (including broadening the circumstances under which products are subject to rebate) for the MDRP, along with CMS’ stated objectve to consider potental future rulemaking that if implemented, could signifcantly increase manufacturer rebate liability; and</w:t>
      </w:r>
    </w:p>
    <w:p>
      <w:pPr>
        <w:spacing w:after="0" w:line="51" w:lineRule="exact"/>
        <w:rPr>
          <w:rFonts w:ascii="Calibri" w:cs="Calibri" w:eastAsia="Calibri" w:hAnsi="Calibri"/>
          <w:sz w:val="18"/>
          <w:szCs w:val="18"/>
          <w:color w:val="auto"/>
        </w:rPr>
      </w:pPr>
    </w:p>
    <w:p>
      <w:pPr>
        <w:ind w:left="820" w:hanging="229"/>
        <w:spacing w:after="0"/>
        <w:tabs>
          <w:tab w:leader="none" w:pos="82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reevaluaton of safe harbors under the AKS.</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For instance, in August 2022, former President Biden signed the IRA, which among other things: enables CMS to assert control over the prices of certain single-source drugs and biotherapeutcs reimbursed under the Medicare Drug Price Negotaton Program; subjects drug manufacturers to potental civil monetary penaltes and a signifcant excise tax for ofering a price that is not equal to or less than the government-imposed “maximum fair price” under the law; imposes Medicare rebates for certain Part B and Part D drugs where relevant pricing metrics associated with the products increase faster than infaton; and redesigns the funding and beneft structure of the Medicare Part D program, potentally increasing manufacturer liability while capping annual out-of-pocket drug expenses for Medicare benefciaries. These provisions started taking efect incrementally in late 2022 and currently are subject to various legal challenges. As of the date of this report, for example, CMS has begun to implement aspects of the IRA and fnalized regulatons addressing the Medicare Part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49" w:lineRule="auto"/>
        <w:rPr>
          <w:sz w:val="20"/>
          <w:szCs w:val="20"/>
          <w:color w:val="auto"/>
        </w:rPr>
      </w:pPr>
      <w:r>
        <w:rPr>
          <w:rFonts w:ascii="Calibri" w:cs="Calibri" w:eastAsia="Calibri" w:hAnsi="Calibri"/>
          <w:sz w:val="17"/>
          <w:szCs w:val="17"/>
          <w:color w:val="auto"/>
        </w:rPr>
        <w:t>B and Medicare Part D infaton rebate provisions of the IRA. These provisions generally require manufacturers of Medicare Part B and Part D rebatable drugs to pay infaton rebates to the Medicare program if pricing metrics associated with their products increase faster than the rate of infaton. In additon, in October 2024, CMS released fnal guidance setng forth the requirements and procedures for implementng the Medicare Drug Price Negotaton Program for the second round of drug pricing evaluatons (which commences in 2025 and will result in maximum fair prices that will become efectve beginning in 2027), as well as requirements for manufacturers in efectuatng maximum fair prices in 2026 and 2027. The IRA also contains the limited small biotech excepton, which applies on a drug-specifc basis. Qualifying drugs may be exempt from possible pricing negotaton through 2028 and eligible for a lower limit (i.e., a price foor) on the potental maximum fair price in 2029 and 2030, if the manufacturers of those drugs contnue to qualify each year. We have qualifed for the small biotech excepton with respect to our cabozantnib franchise products through 2027. We intend to apply to CMS to maintain the small biotech excepton through 2030. In January 2025, CMS announced the list of 15 drugs selected for the second round of drug pricing evaluatons. Separately, in November 2023, CMS released fnal guidance on the Part D Discount Program, which will require manufacturers to take on more of the benefciary cost previously subsidized by the federal government through the applicaton of increased drug discounts. As we received notce from CMS that we qualify for the "specifed small manufacturer” designaton, we are eligible for a phase-in of the increased manufacturer discounts under the Part D Discount Program from 2025 to 2031. Beginning in 2025, we will be required to pay a 1% discount in the inital and catastrophic phases, and provided that we maintain the specifed small manufacturer designaton, we will be required to increase our rebates to Part D payers untl we are required to pay the full 10% discount (inital phase) in</w:t>
      </w:r>
    </w:p>
    <w:p>
      <w:pPr>
        <w:spacing w:after="0" w:line="10" w:lineRule="exact"/>
        <w:rPr>
          <w:sz w:val="20"/>
          <w:szCs w:val="20"/>
          <w:color w:val="auto"/>
        </w:rPr>
      </w:pPr>
    </w:p>
    <w:p>
      <w:pPr>
        <w:jc w:val="both"/>
        <w:ind w:right="260"/>
        <w:spacing w:after="0" w:line="235" w:lineRule="auto"/>
        <w:rPr>
          <w:sz w:val="20"/>
          <w:szCs w:val="20"/>
          <w:color w:val="auto"/>
        </w:rPr>
      </w:pPr>
      <w:r>
        <w:rPr>
          <w:rFonts w:ascii="Calibri" w:cs="Calibri" w:eastAsia="Calibri" w:hAnsi="Calibri"/>
          <w:sz w:val="18"/>
          <w:szCs w:val="18"/>
          <w:color w:val="auto"/>
        </w:rPr>
        <w:t>2029 and the 20% discount (catastrophic phase) in 2031. CMS is also in the process of implementng the Medicare Prescripton Payment Plan, under which Medicare Part D benefciaries may opt to make their cost-sharing payments in capped monthly installments; CMS expects that this program will most likely beneft those benefciaries with high cost-sharing early in their respectve plan years.</w:t>
      </w:r>
    </w:p>
    <w:p>
      <w:pPr>
        <w:spacing w:after="0" w:line="165"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Over tme, the IRA could reduce the revenues we are able to collect from sales of our products or present challenges for payer negotatons and formulary access for our products, as well as increase our government discount and rebate liabilites; however, the degree of impact that the IRA will ultmately have upon our business remains unclear. In additon, we cannot know the fnal form or tming of any other legislatve, regulatory and/or administratve measures, and some of these pending and enacted policy changes, if implemented as currently proposed, would likely have signifcant and far-reaching impacts on the biopharmaceutcal industry and therefore likely also have a material adverse impact on our business, fnancial conditon and results of operatons. Additonally, there is ongoing litgaton challenging the Medicare Drug Price Negotaton Program, and we cannot predict the outcome of these cases.</w:t>
      </w:r>
    </w:p>
    <w:p>
      <w:pPr>
        <w:spacing w:after="0" w:line="168"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At the state level, legislatures and regulatory agencies have increasingly passed legislaton and implemented regulatons designed to control pharmaceutcal and biotherapeutc product pricing, including restrictons on pricing or reimbursement at the state government level, limitatons on discounts to patents, advance notces of price increases, marketng cost disclosure and transparency measures, and, in some cases, policies to encourage importaton from other countries (subject to federal approval) and bulk purchasing. Furthermore, adopton of these drug pricing transparency regulatons, and our associated compliance obligatons, may increase our general and administratve costs and/or diminish our revenues. Implementaton of these federal and/or state cost-containment measures or other healthcare reforms may limit our ability to generate product revenue or commercialize our products, and in the case of drug pricing transparency regulatons, may result in fuctuatons in our results of operatons.</w:t>
      </w:r>
    </w:p>
    <w:p>
      <w:pPr>
        <w:spacing w:after="0" w:line="168"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b w:val="1"/>
          <w:bCs w:val="1"/>
          <w:i w:val="1"/>
          <w:iCs w:val="1"/>
          <w:color w:val="auto"/>
        </w:rPr>
        <w:t>Lengthy regulatory pricing and reimbursement procedures and cost control initatves imposed by governments outside the U.S. could delay the marketng of and/or result in downward pressure on the price of our approved products, resultng in a decrease in revenue.</w:t>
      </w:r>
    </w:p>
    <w:p>
      <w:pPr>
        <w:spacing w:after="0" w:line="164" w:lineRule="exact"/>
        <w:rPr>
          <w:sz w:val="20"/>
          <w:szCs w:val="20"/>
          <w:color w:val="auto"/>
        </w:rPr>
      </w:pPr>
    </w:p>
    <w:p>
      <w:pPr>
        <w:ind w:right="20" w:firstLine="648"/>
        <w:spacing w:after="0" w:line="251" w:lineRule="auto"/>
        <w:rPr>
          <w:sz w:val="20"/>
          <w:szCs w:val="20"/>
          <w:color w:val="auto"/>
        </w:rPr>
      </w:pPr>
      <w:r>
        <w:rPr>
          <w:rFonts w:ascii="Calibri" w:cs="Calibri" w:eastAsia="Calibri" w:hAnsi="Calibri"/>
          <w:sz w:val="17"/>
          <w:szCs w:val="17"/>
          <w:color w:val="auto"/>
        </w:rPr>
        <w:t>Outside the U.S., including major markets in the EU and Japan, the pricing and reimbursement of prescripton pharmaceutcals is generally subject to signifcant governmental control. In these countries, pricing and reimbursement negotatons with governmental authorites or payers can take six to 12 months or longer afer the inital marketng authorizaton is granted for a product, or afer the marketng authorizaton for a new indicaton is granted. This can substantally delay broad availability of the product. To obtain reimbursement and/or pricing approval in some countries, our collaboraton partners Ipsen and Takeda may also be required to conduct a study or otherwise provide data that seeks to establish the cost efectveness of CABOMETYX compared with other available established therapies. The conduct of such a study could also result in delays in the commercializaton of CABOMETYX.</w:t>
      </w:r>
    </w:p>
    <w:p>
      <w:pPr>
        <w:spacing w:after="0" w:line="156"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Additonally, cost-control initatves, increasingly based on afordability and accessibility, as well as post-marketng assessments of the added value of CABOMETYX and COMETRIQ as compared to existng treatments, could infuence the prices paid for and net revenues we realize from CABOMETYX and COMETRIQ, or the indicatons for which we are able to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obtain reimbursement, which would result in lower license revenues to us. Recent legislatve changes and ongoing policy changes in the EU are aimed at increasing cooperaton between the EU Member States. Such initatves, partcularly the Regulaton on Health Technology Assessment adopted in December 2021 and entered into applicaton in January 2025, may further impact the price and reimbursement status of CABOMETYX and COMETRIQ.</w:t>
      </w:r>
    </w:p>
    <w:p>
      <w:pPr>
        <w:spacing w:after="0" w:line="165"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b w:val="1"/>
          <w:bCs w:val="1"/>
          <w:i w:val="1"/>
          <w:iCs w:val="1"/>
          <w:color w:val="auto"/>
        </w:rPr>
        <w:t>The tming of the entrance of generic compettors to CABOMETYX and legislatve and regulatory acton designed to reduce barriers to the development, approval and adopton of generic drugs in the U.S. could limit the revenue we derive from our products, most notably CABOMETYX, which could have a material adverse impact on our business, fnancial conditon and results of operatons.</w:t>
      </w:r>
    </w:p>
    <w:p>
      <w:pPr>
        <w:spacing w:after="0" w:line="165"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Under the FDCA, the FDA can approve an ANDA for a generic version of a branded drug without the applicant undertaking the human clinical testng necessary to obtain approval to market a new drug. The FDA can also approve a 505(b)(2) NDA that relies in part on the agency’s fndings of safety and/or efectveness for a previously approved drug, where at least some of the informaton required for approval comes from studies not conducted by or for the applicant and for which the applicant has not obtained a right of reference or use. Both the ANDA and 505(b)(2) NDA processes are discussed in more detail in “Item 1. Business—Government Regulaton—FDA Review and Approval—Abbreviated FDA Approval Pathways and Generic Products” of this Annual Report on Form 10-K. In either case, if an ANDA or 505(b)(2) NDA applicant submits an applicaton referencing one of our marketed products prior to the expiry of one or more of our Orange Book-listed patents for the applicable product and includes a paragraph IV certfcaton assertng that the patents are invalid or not infringed, we may litgate with the potental generic compettor to protect our patent rights, which would result in substantal costs, divert the atenton of management, and could have an adverse impact on our stock price. For example, MSN and Sun have separately submited ANDAs to the FDA requestng approval to market their respectve generic versions of CABOMETYX tablets, and we have subsequently fled patent infringement lawsuits against these companies. For a more detailed discussion of these litgaton maters, see “Legal Proceedings” in Part I, Item 3 of this Annual Report on Form 10-K. It is possible that MSN or Sun or other companies, following FDA approval of an ANDA or 505(b)(2) NDA, could introduce generic or otherwise compettor versions of our marketed products before our patents expire if they do not infringe our patents or if it is determined that our patents are invalid or unenforceable, and we expect that generic cabozantnib products would be ofered at a signifcantly lower price compared to our marketed cabozantnib products. Regardless of the regulatory approach, the introducton of a generic version of cabozantnib would likely decrease our revenues derived from the U.S. sales of CABOMETYX and thereby materially harm our business, fnancial conditon and results of operatons. There are also equivalent procedures in the EU permitng authorizaton of generic versions of medicinal products authorized in the EU once related data and market exclusivity periods have expired.</w:t>
      </w:r>
    </w:p>
    <w:p>
      <w:pPr>
        <w:spacing w:after="0" w:line="159"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 U.S. federal government has also taken numerous legislatve and regulatory actons to expedite the development and approval of generic drugs. Both Congress and the FDA are considering, and have enacted, various legislatve and regulatory proposals focused on drug competton, including legislaton focused on drug patentng and provision of drug to generic applicants for testng. For example, the Ensuring Innovaton Act, enacted in April 2021, amended the FDA’s statutory authority for grantng NCE exclusivity to refect the agency’s existng regulatons and longstanding interpretaton that award NCE exclusivity based on a drug’s actve moiety, as opposed to its actve ingredient, which is intended to limit the applicability of NCE exclusivity, thereby potentally facilitatng generic competton. In additon, the Further Consolidated Appropriatons Act, 2020, which incorporated the framework from the Creatng and Restoring Equal Access To Equivalent Samples (CREATES) legislaton, allows ANDA, 505(b)(2) NDA or biosimilar developers to obtain access to quanttes of branded drug and biological product samples necessary to conduct research and development. Further, Secton 3222 of the 2023 Appropriatons Act requires the FDA to make therapeutc equivalence determinatons for 505(b)(2) NDAs at the tme of approval, or up to 180 days thereafer, if requested by the applicant. Additonally, Secton 3224 of the 2023 Appropriatons Act allows the FDA to approve an ANDA even if there are diferences between the generic drug’s proposed labeling and that of the listed drug due to the FDA approving a change to the listed drug’s label (excluding warnings) within 90 days of when the ANDA is otherwise eligible for approval, provided that the ANDA applicant agrees to submit revised labeling for the generic drug within 60 days of approval. In additon, the policies introduced in the Generic Drug User Fee Amendments Commitment Leter give the FDA greater fexibility to approve ANDAs without adding additonal review cycles when there are changes to the reference listed drug that may previously have delayed approval. While the full impact of these provisions is unclear at this tme, they have the potental to facilitate the development and future approval and market success of generic versions of our products, introducing generic competton that could have a material adverse impact on our business, fnancial conditon and results of operatons. Moreover, in September 2023, the FTC issued a policy statement, supported by the FDA, warning brand pharmaceutcal companies that they could face legal acton under the FTC Act if they improperly list patents in the Orange Book, and it subsequently initated challenges against patents held by brand pharmaceutcal companies and listed in the Orange Book</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under the FDA’s patent listng dispute process. In December 2024, the Federal Circuit ruled that, to be listed in the Orange Book, a patent must claim the actve ingredient of the drug product. If afrmed on appeal, this decision may limit the number of patents brand pharmaceutcal companies may list in the Orange Book.</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Growth of Our Product Portolio and Research and Development</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We may be unable to expand our discovery and development pipeline, which could limit our growth and revenue potental.</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Our business is focused on the discovery, development and commercializaton of new medicines for difcult-to-treat cancers. In this regard, we have invested substantal technical, fnancial and human resources toward drug discovery actvites with the goal of identfying new potental product candidates to advance into clinical trials. Notwithstanding this investment, many drug discovery programs that initally show promise will ultmately fail to yield clinical product candidates for multple reasons. For example, product candidates and preclinical development candidates may, on further study, be shown to have inadequate efcacy, harmful side efects, suboptmal pharmaceutcal profles or other characteristcs suggestng that they are unlikely to become commercially viable products.</w:t>
      </w:r>
    </w:p>
    <w:p>
      <w:pPr>
        <w:spacing w:after="0" w:line="16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Apart from our drug discovery eforts, our strategy to expand our development pipeline is also dependent on our ability to successfully identfy and acquire or in-license relevant investgatonal oncology assets and technologies. However, the in-licensing and acquisiton of investgatonal oncology assets and technologies is a highly compettve area, and many other companies are pursuing the same or similar investgatonal oncology assets and technologies to those that we may consider atractve. In partcular, larger companies with more capital resources and more extensive clinical development and commercializaton capabilites may have a compettve advantage over us. Furthermore, companies that perceive us to be a compettor may be unwilling to assign or license rights to us. We may also be unable to in-license or acquire additonal investgatonal oncology assets and technologies on acceptable terms that would allow us to realize an appropriate return on our investment. Even if we succeed in our eforts to obtain rights to suitable investgatonal oncology assets and technologies, the compettve business environment may result in higher acquisiton or licensing costs, and our investment in these potental product candidates and technologies will remain subject to the inherent risks associated with the development and commercializaton of new medicines. In certain circumstances, we may also be reliant on licensors for the contnued development of any product candidates and/or technologies that we have in-licensed and such licensors’ eforts to safeguard their underlying intellectual property.</w:t>
      </w:r>
    </w:p>
    <w:p>
      <w:pPr>
        <w:spacing w:after="0" w:line="171"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With respect to acquisitons, we may not be able to integrate the target company successfully into our existng business, maintain the key business relatonships of the target company, or retain key personnel of the acquired business. Furthermore, we could assume unknown or contngent liabilites or otherwise incur unantcipated expenses. Any acquisitons or investments made by us also could result in our spending signifcant amounts of resources, issuing dilutve securites, assuming or incurring signifcant debt obligatons and contngent liabilites, incurring large one-tme expenses, and acquiring intangible assets that could result in signifcant future amortzaton expense and signifcant write-ofs, any of which could harm our fnancial conditon and results of operatons. If our drug discovery eforts, including research collaboratons, in-licensing arrangements and other business development actvites, do not result in suitable product candidates, our business and prospects for growth could sufer.</w:t>
      </w:r>
    </w:p>
    <w:p>
      <w:pPr>
        <w:spacing w:after="0" w:line="168" w:lineRule="exact"/>
        <w:rPr>
          <w:sz w:val="20"/>
          <w:szCs w:val="20"/>
          <w:color w:val="auto"/>
        </w:rPr>
      </w:pPr>
    </w:p>
    <w:p>
      <w:pPr>
        <w:ind w:right="240" w:firstLine="648"/>
        <w:spacing w:after="0" w:line="235" w:lineRule="auto"/>
        <w:rPr>
          <w:sz w:val="20"/>
          <w:szCs w:val="20"/>
          <w:color w:val="auto"/>
        </w:rPr>
      </w:pPr>
      <w:r>
        <w:rPr>
          <w:rFonts w:ascii="Calibri" w:cs="Calibri" w:eastAsia="Calibri" w:hAnsi="Calibri"/>
          <w:sz w:val="18"/>
          <w:szCs w:val="18"/>
          <w:b w:val="1"/>
          <w:bCs w:val="1"/>
          <w:i w:val="1"/>
          <w:iCs w:val="1"/>
          <w:color w:val="auto"/>
        </w:rPr>
        <w:t>Clinical testng of cabozantnib for new indicatons, or of our other product candidates, such as zanzalintnib, is a lengthy, costly, complex and uncertain process that may ultmately fail to demonstrate sufciently diferentated safety and efcacy data for those products to compete in our highly compettve market environment.</w:t>
      </w:r>
    </w:p>
    <w:p>
      <w:pPr>
        <w:spacing w:after="0" w:line="165" w:lineRule="exact"/>
        <w:rPr>
          <w:sz w:val="20"/>
          <w:szCs w:val="20"/>
          <w:color w:val="auto"/>
        </w:rPr>
      </w:pPr>
    </w:p>
    <w:p>
      <w:pPr>
        <w:ind w:right="100" w:firstLine="648"/>
        <w:spacing w:after="0" w:line="251" w:lineRule="auto"/>
        <w:rPr>
          <w:sz w:val="20"/>
          <w:szCs w:val="20"/>
          <w:color w:val="auto"/>
        </w:rPr>
      </w:pPr>
      <w:r>
        <w:rPr>
          <w:rFonts w:ascii="Calibri" w:cs="Calibri" w:eastAsia="Calibri" w:hAnsi="Calibri"/>
          <w:sz w:val="17"/>
          <w:szCs w:val="17"/>
          <w:color w:val="auto"/>
        </w:rPr>
        <w:t>Clinical trials are inherently risky and may reveal that cabozantnib, despite its approval for certain indicatons, or a new product candidate, such as zanzalintnib, is inefectve or has an unacceptable safety profle with respect to an intended use. Such results may signifcantly decrease the likelihood of regulatory approval of a product candidate or of an approved product for a new indicaton. Moreover, the results of preliminary studies do not necessarily predict clinical or commercial success, and late-stage or other potentally label-enabling clinical trials may fail to confrm the results observed in early-stage trials or preliminary studies. Although we have established tmelines for manufacturing and clinical development of cabozantnib, zanzalintnib and our other product candidates based on existng knowledge of our compounds in development and industry metrics, we may not be able to meet those tmelines.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80" w:firstLine="648"/>
        <w:spacing w:after="0" w:line="235" w:lineRule="auto"/>
        <w:rPr>
          <w:sz w:val="20"/>
          <w:szCs w:val="20"/>
          <w:color w:val="auto"/>
        </w:rPr>
      </w:pPr>
      <w:r>
        <w:rPr>
          <w:rFonts w:ascii="Calibri" w:cs="Calibri" w:eastAsia="Calibri" w:hAnsi="Calibri"/>
          <w:sz w:val="18"/>
          <w:szCs w:val="18"/>
          <w:color w:val="auto"/>
        </w:rPr>
        <w:t>We may experience numerous unforeseen events, during or as a result of clinical investgatons, that could delay or prevent commercializaton of cabozantnib in new indicatons or of zanzalintnib or our other new product candidates. These events may include:</w:t>
      </w:r>
    </w:p>
    <w:p>
      <w:pPr>
        <w:spacing w:after="0" w:line="51" w:lineRule="exact"/>
        <w:rPr>
          <w:sz w:val="20"/>
          <w:szCs w:val="20"/>
          <w:color w:val="auto"/>
        </w:rPr>
      </w:pPr>
    </w:p>
    <w:p>
      <w:pPr>
        <w:ind w:left="820" w:hanging="229"/>
        <w:spacing w:after="0"/>
        <w:tabs>
          <w:tab w:leader="none" w:pos="82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lack of acceptable efcacy or a tolerable safety profle;</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being placed on clinical hold by the FDA due to safety or efectveness concerns;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negatve or inconclusive clinical trial results that require us to conduct further testng or to abandon projects;</w:t>
      </w:r>
    </w:p>
    <w:p>
      <w:pPr>
        <w:spacing w:after="0" w:line="55" w:lineRule="exact"/>
        <w:rPr>
          <w:rFonts w:ascii="Calibri" w:cs="Calibri" w:eastAsia="Calibri" w:hAnsi="Calibri"/>
          <w:sz w:val="18"/>
          <w:szCs w:val="18"/>
          <w:color w:val="auto"/>
        </w:rPr>
      </w:pPr>
    </w:p>
    <w:p>
      <w:pPr>
        <w:ind w:left="820" w:right="460" w:hanging="229"/>
        <w:spacing w:after="0" w:line="235" w:lineRule="auto"/>
        <w:tabs>
          <w:tab w:leader="none" w:pos="816"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discovery or commercializaton by our compettors of other compounds or therapies that demonstrate potentally superior safety or efcacy profles as compared to cabozantnib, zanzalintnib or our other product candidates;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our inability to identfy and maintain a sufcient number of clinical trial sites;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lower-than-antcipated patent registraton or enrollment in our clinical testng;</w:t>
      </w:r>
    </w:p>
    <w:p>
      <w:pPr>
        <w:spacing w:after="0" w:line="55" w:lineRule="exact"/>
        <w:rPr>
          <w:rFonts w:ascii="Calibri" w:cs="Calibri" w:eastAsia="Calibri" w:hAnsi="Calibri"/>
          <w:sz w:val="18"/>
          <w:szCs w:val="18"/>
          <w:color w:val="auto"/>
        </w:rPr>
      </w:pPr>
    </w:p>
    <w:p>
      <w:pPr>
        <w:ind w:left="820" w:right="100" w:hanging="229"/>
        <w:spacing w:after="0" w:line="235" w:lineRule="auto"/>
        <w:tabs>
          <w:tab w:leader="none" w:pos="816"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additonal complexites posed by clinical trials evaluatng cabozantnib, zanzalintnib or our other product candidates in combinaton with other therapies, including extended tmelines to provide for collaboraton on clinical development planning, the failure by our collaboraton partners to provide us with an adequate and tmely supply of product that complies with the applicable quality and regulatory requirements for a combinaton trial;</w:t>
      </w:r>
    </w:p>
    <w:p>
      <w:pPr>
        <w:spacing w:after="0" w:line="52" w:lineRule="exact"/>
        <w:rPr>
          <w:rFonts w:ascii="Calibri" w:cs="Calibri" w:eastAsia="Calibri" w:hAnsi="Calibri"/>
          <w:sz w:val="18"/>
          <w:szCs w:val="18"/>
          <w:color w:val="auto"/>
        </w:rPr>
      </w:pPr>
    </w:p>
    <w:p>
      <w:pPr>
        <w:ind w:left="820" w:hanging="229"/>
        <w:spacing w:after="0"/>
        <w:tabs>
          <w:tab w:leader="none" w:pos="82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reduced stafng or shortages in laboratory supplies and other resources necessary to complete the trials;</w:t>
      </w:r>
    </w:p>
    <w:p>
      <w:pPr>
        <w:spacing w:after="0" w:line="55" w:lineRule="exact"/>
        <w:rPr>
          <w:rFonts w:ascii="Calibri" w:cs="Calibri" w:eastAsia="Calibri" w:hAnsi="Calibri"/>
          <w:sz w:val="18"/>
          <w:szCs w:val="18"/>
          <w:color w:val="auto"/>
        </w:rPr>
      </w:pPr>
    </w:p>
    <w:p>
      <w:pPr>
        <w:ind w:left="820" w:hanging="229"/>
        <w:spacing w:after="0"/>
        <w:tabs>
          <w:tab w:leader="none" w:pos="820"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replacement of staf at the FDA’s OCE that changes OCE’s view of the acceptability of the design, conduct, or data produced by our clinical trials;</w:t>
      </w:r>
    </w:p>
    <w:p>
      <w:pPr>
        <w:spacing w:after="0" w:line="62" w:lineRule="exact"/>
        <w:rPr>
          <w:rFonts w:ascii="Calibri" w:cs="Calibri" w:eastAsia="Calibri" w:hAnsi="Calibri"/>
          <w:sz w:val="17"/>
          <w:szCs w:val="17"/>
          <w:color w:val="auto"/>
        </w:rPr>
      </w:pPr>
    </w:p>
    <w:p>
      <w:pPr>
        <w:ind w:left="820" w:right="120" w:hanging="229"/>
        <w:spacing w:after="0" w:line="235" w:lineRule="auto"/>
        <w:tabs>
          <w:tab w:leader="none" w:pos="816"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failure of our third-party contract research organizatons or investgators to satsfy their contractual obligatons, including deviatng from any trial protocols or failing to adhere to appropriate recordkeeping or data integrity requirements; and</w:t>
      </w:r>
    </w:p>
    <w:p>
      <w:pPr>
        <w:spacing w:after="0" w:line="55" w:lineRule="exact"/>
        <w:rPr>
          <w:rFonts w:ascii="Calibri" w:cs="Calibri" w:eastAsia="Calibri" w:hAnsi="Calibri"/>
          <w:sz w:val="18"/>
          <w:szCs w:val="18"/>
          <w:color w:val="auto"/>
        </w:rPr>
      </w:pPr>
    </w:p>
    <w:p>
      <w:pPr>
        <w:ind w:left="820" w:right="60" w:hanging="229"/>
        <w:spacing w:after="0" w:line="235" w:lineRule="auto"/>
        <w:tabs>
          <w:tab w:leader="none" w:pos="816"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withholding of authorizaton from regulators or insttutonal review boards to commence or conduct clinical trials or delays, variatons, suspensions or terminatons of clinical research for various reasons, including noncompliance with regulatory requirements or a determinaton by these regulators and insttutonal review boards that partcipatng patents are being exposed to unacceptable health risks.</w:t>
      </w:r>
    </w:p>
    <w:p>
      <w:pPr>
        <w:spacing w:after="0" w:line="165" w:lineRule="exact"/>
        <w:rPr>
          <w:sz w:val="20"/>
          <w:szCs w:val="20"/>
          <w:color w:val="auto"/>
        </w:rPr>
      </w:pPr>
    </w:p>
    <w:p>
      <w:pPr>
        <w:jc w:val="both"/>
        <w:ind w:right="20" w:firstLine="648"/>
        <w:spacing w:after="0" w:line="254" w:lineRule="auto"/>
        <w:rPr>
          <w:sz w:val="20"/>
          <w:szCs w:val="20"/>
          <w:color w:val="auto"/>
        </w:rPr>
      </w:pPr>
      <w:r>
        <w:rPr>
          <w:rFonts w:ascii="Calibri" w:cs="Calibri" w:eastAsia="Calibri" w:hAnsi="Calibri"/>
          <w:sz w:val="17"/>
          <w:szCs w:val="17"/>
          <w:color w:val="auto"/>
        </w:rPr>
        <w:t>Further, with the passage of the Food and Drug Omnibus Reform Act of 2022 (FDORA), Congress clarifed the FDA’s authority to conduct inspectons by expressly permitng inspecton of facilites involved in the preparaton, conduct or analysis of clinical and non-clinical studies submited to the FDA, as well as of other persons holding study records or otherwise involved in the study process, which could delay or add complexity to our clinical trials.</w:t>
      </w:r>
    </w:p>
    <w:p>
      <w:pPr>
        <w:spacing w:after="0" w:line="151"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 ongoing Russia-Ukraine and Israel-Hamas conficts have had modest impacts on our clinical development operatons and may contnue to have adverse impacts on the ability of clinical sites and enrolled patents to adhere to trial protocols for in-ofce clinical visits and other procedures, our ability to supply clinical sites with cabozantnib, zanzalintnib or other study drugs and to pay clinical sites and investgators for work performed, as well as our ability to collect data and conduct site monitoring visits, all of which could undermine the data quality for patents enrolled at these clinical sites. These issues could further impact our antcipated tmelines for completng the trials and achieving clinical endpoints, as well as increase our clinical development expenses. If there are further delays in or terminaton of the clinical testng of cabozantnib, zanzalintnib or our other product candidates due to any of the events described above or otherwise, our expenses could increase and our ability to generate revenues could be impaired, either of which could adversely impact our fnancial results. Furthermore, we have relied and may in the future rely on collaboraton partners to share a signifcant porton of the expenses associated with our clinical development programs. Should one or all of our collaboraton partners decline to support future planned clinical trials, we will be entrely responsible for fnancing the further development of the cabozantnib franchise, zanzalintnib or our other product candidates and, as a result, the burden of clinical trial expenses we incur associated with our business plans may be materially greater than currently antcipated, which could have a material adverse impact on our business, fnancial conditon and results of operatons.</w:t>
      </w:r>
    </w:p>
    <w:p>
      <w:pPr>
        <w:spacing w:after="0" w:line="172"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We may not be able to pursue the further development of the cabozantnib franchise, zanzalintnib or our other product candidates or meet current or future requirements of the FDA or regulatory authorites in other jurisdictons in accordance with our stated tmelines or at all. Our planned clinical trials may not begin on tme, or at all, may not be completed on schedule, or at all, may not be sufcient for registraton of our product candidates or otherwise may not result in an approvable product. The duraton and the cost of clinical trials vary signifcantly due to a number of factors, including, but not limited to: the characteristcs of the product candidate under investgaton; the number of patents who ultmately partcipate in the clinical trial; the duraton of patent follow-up; the number of clinical sites included in the trial;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and the length of tme required to enroll eligible patents. Any delay could limit our ability to generate revenues, cause us to incur additonal expenses and cause the market price of our common stock to decline signifcantly.</w:t>
      </w:r>
    </w:p>
    <w:p>
      <w:pPr>
        <w:spacing w:after="0" w:line="164"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b w:val="1"/>
          <w:bCs w:val="1"/>
          <w:i w:val="1"/>
          <w:iCs w:val="1"/>
          <w:color w:val="auto"/>
        </w:rPr>
        <w:t>The regulatory approval processes of the FDA and comparable foreign regulatory authorites are lengthy, uncertain and subject to change, and may not result in regulatory approvals for additonal cabozantnib indicatons or for our other product candidates, such as zanzalintnib, which could have a material adverse impact on our business, fnancial conditon and results of operatons.</w:t>
      </w:r>
    </w:p>
    <w:p>
      <w:pPr>
        <w:spacing w:after="0" w:line="165" w:lineRule="exact"/>
        <w:rPr>
          <w:sz w:val="20"/>
          <w:szCs w:val="20"/>
          <w:color w:val="auto"/>
        </w:rPr>
      </w:pPr>
    </w:p>
    <w:p>
      <w:pPr>
        <w:jc w:val="both"/>
        <w:ind w:right="80" w:firstLine="648"/>
        <w:spacing w:after="0" w:line="251" w:lineRule="auto"/>
        <w:rPr>
          <w:sz w:val="20"/>
          <w:szCs w:val="20"/>
          <w:color w:val="auto"/>
        </w:rPr>
      </w:pPr>
      <w:r>
        <w:rPr>
          <w:rFonts w:ascii="Calibri" w:cs="Calibri" w:eastAsia="Calibri" w:hAnsi="Calibri"/>
          <w:sz w:val="17"/>
          <w:szCs w:val="17"/>
          <w:color w:val="auto"/>
        </w:rPr>
        <w:t>The actvites associated with the research, development and commercializaton of the cabozantnib franchise, zanzalintnib and our other product candidates are subject to extensive regulaton by the FDA and other regulatory agencies in the U.S., as well as by comparable regulatory authorites in other territories. The processes of obtaining regulatory approvals in the U.S. and other foreign jurisdictons are expensive and ofen takes many years, if approval is obtained at all, and they can vary substantally based upon the type, complexity and novelty of the product candidates involved. For example, before an NDA or sNDA can be submited to the FDA, or a MAA to the EMA or any applicaton or submission to comparable regulatory authorites in other jurisdictons, the product candidate must undergo extensive clinical trials, which can take many years and require substantal expenditures.</w:t>
      </w:r>
    </w:p>
    <w:p>
      <w:pPr>
        <w:spacing w:after="0" w:line="156" w:lineRule="exact"/>
        <w:rPr>
          <w:sz w:val="20"/>
          <w:szCs w:val="20"/>
          <w:color w:val="auto"/>
        </w:rPr>
      </w:pPr>
    </w:p>
    <w:p>
      <w:pPr>
        <w:jc w:val="both"/>
        <w:ind w:right="60" w:firstLine="648"/>
        <w:spacing w:after="0" w:line="250" w:lineRule="auto"/>
        <w:rPr>
          <w:sz w:val="20"/>
          <w:szCs w:val="20"/>
          <w:color w:val="auto"/>
        </w:rPr>
      </w:pPr>
      <w:r>
        <w:rPr>
          <w:rFonts w:ascii="Calibri" w:cs="Calibri" w:eastAsia="Calibri" w:hAnsi="Calibri"/>
          <w:sz w:val="17"/>
          <w:szCs w:val="17"/>
          <w:color w:val="auto"/>
        </w:rPr>
        <w:t>Any clinical trial may fail to produce results satsfactory to the FDA or regulatory authorites in other jurisdictons. The FDA has substantal discreton in the approval process and may refuse to approve any NDA or sNDA or require additonal preclinical, clinical, safety or other non-clinical studies. In additon, policy-based actvites could delay the approval of an applicaton for cabozantnib, zanzalintnib, or our other product candidates. For example, the FDA’s OCE has many initatves aimed at improving oncology drug development, some of which may lead to the need for additonal studies, such as dose optmizaton</w:t>
      </w:r>
      <w:r>
        <w:rPr>
          <w:rFonts w:ascii="Calibri" w:cs="Calibri" w:eastAsia="Calibri" w:hAnsi="Calibri"/>
          <w:sz w:val="20"/>
          <w:szCs w:val="20"/>
          <w:color w:val="auto"/>
        </w:rPr>
        <w:t>.</w:t>
      </w:r>
    </w:p>
    <w:p>
      <w:pPr>
        <w:spacing w:after="0" w:line="2" w:lineRule="exact"/>
        <w:rPr>
          <w:sz w:val="20"/>
          <w:szCs w:val="20"/>
          <w:color w:val="auto"/>
        </w:rPr>
      </w:pPr>
    </w:p>
    <w:p>
      <w:pPr>
        <w:ind w:right="20"/>
        <w:spacing w:after="0" w:line="236" w:lineRule="auto"/>
        <w:rPr>
          <w:sz w:val="20"/>
          <w:szCs w:val="20"/>
          <w:color w:val="auto"/>
        </w:rPr>
      </w:pPr>
      <w:r>
        <w:rPr>
          <w:rFonts w:ascii="Calibri" w:cs="Calibri" w:eastAsia="Calibri" w:hAnsi="Calibri"/>
          <w:sz w:val="18"/>
          <w:szCs w:val="18"/>
          <w:color w:val="auto"/>
        </w:rPr>
        <w:t xml:space="preserve">Many of these initatves are based on guidance issued by OCE. If the FDA chooses to withdraw those guidance documents for any reason it may afect our ability to gain regulatory approval based on studies that relied on those guidance documents. The FDA also contnues to develop and fnalize guidance documents </w:t>
      </w:r>
      <w:r>
        <w:rPr>
          <w:rFonts w:ascii="Calibri" w:cs="Calibri" w:eastAsia="Calibri" w:hAnsi="Calibri"/>
          <w:sz w:val="21"/>
          <w:szCs w:val="21"/>
          <w:color w:val="auto"/>
        </w:rPr>
        <w:t>t</w:t>
      </w:r>
      <w:r>
        <w:rPr>
          <w:rFonts w:ascii="Calibri" w:cs="Calibri" w:eastAsia="Calibri" w:hAnsi="Calibri"/>
          <w:sz w:val="18"/>
          <w:szCs w:val="18"/>
          <w:color w:val="auto"/>
        </w:rPr>
        <w:t>hat further refne the development process for oncology drug products. And, as this market expands, it becomes increasingly difcult to demonstrate beneft over the standard of care, which can be a hurdle for approval. Moreover, the development of our product candidates may be delayed by other events beyond our control. For example, acton by the new Trump Administraton to limit federal agency budgets or personnel, may result in reductons to the FDA’s budget, employees, and operatons, which may lead to slower response tmes and longer review periods, potentally afectng our ability to progress development of our product candidates or obtain regulatory approval for our product candidates.</w:t>
      </w:r>
    </w:p>
    <w:p>
      <w:pPr>
        <w:spacing w:after="0" w:line="166" w:lineRule="exact"/>
        <w:rPr>
          <w:sz w:val="20"/>
          <w:szCs w:val="20"/>
          <w:color w:val="auto"/>
        </w:rPr>
      </w:pPr>
    </w:p>
    <w:p>
      <w:pPr>
        <w:ind w:right="20" w:firstLine="648"/>
        <w:spacing w:after="0" w:line="238" w:lineRule="auto"/>
        <w:rPr>
          <w:sz w:val="20"/>
          <w:szCs w:val="20"/>
          <w:color w:val="auto"/>
        </w:rPr>
      </w:pPr>
      <w:r>
        <w:rPr>
          <w:rFonts w:ascii="Calibri" w:cs="Calibri" w:eastAsia="Calibri" w:hAnsi="Calibri"/>
          <w:sz w:val="18"/>
          <w:szCs w:val="18"/>
          <w:color w:val="auto"/>
        </w:rPr>
        <w:t>The FDA has also been tghtening the requirements for confrmatory studies for drugs approved via accelerated approval under additonal authorites the Agency received in Secton 3210 of the FDORA (incorporated in the 2023 Appropriatons Act). While the standard for accelerated approval remains unchanged, the FDA may now require that confrmatory trials for drugs approved under the pathway be underway prior to approval, which was not previously a requirement</w:t>
      </w:r>
      <w:r>
        <w:rPr>
          <w:rFonts w:ascii="Calibri" w:cs="Calibri" w:eastAsia="Calibri" w:hAnsi="Calibri"/>
          <w:sz w:val="21"/>
          <w:szCs w:val="21"/>
          <w:color w:val="auto"/>
        </w:rPr>
        <w:t>.</w:t>
      </w:r>
      <w:r>
        <w:rPr>
          <w:rFonts w:ascii="Calibri" w:cs="Calibri" w:eastAsia="Calibri" w:hAnsi="Calibri"/>
          <w:sz w:val="18"/>
          <w:szCs w:val="18"/>
          <w:color w:val="auto"/>
        </w:rPr>
        <w:t xml:space="preserve"> The changes to the law are intended to prevent accelerated approval of drugs without verifed clinical beneft, which had previously resulted in withdrawal of approval for certain products and indicatons approved on an accelerated basis. While it is not clear at this tme how these legislatve and regulatory initatves will afect our plans to pursue accelerated approval for one or more of our product candidates, these developments may have a material adverse impact on our business, fnancial conditon, and results of operatons.</w:t>
      </w:r>
    </w:p>
    <w:p>
      <w:pPr>
        <w:spacing w:after="0" w:line="166"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Even if the FDA or a comparable authority in another jurisdicton grants accelerated approval for cabozantnib in one or more new indicatons or for one of our other product candidates, including zanzalintnib, such accelerated approval may be limited, imposing signifcant restrictons on the indicated uses, conditons for use, labeling, distributon, and/or producton of the product and would impose requirements for post-marketng studies, including additonal research and clinical trials, all of which may result in signifcant expense and limit our and our collaboraton partners’ ability to commercialize cabozantnib, zanzalintnib or our other product candidates in any new indicatons. In additon, some products approved under accelerated approval have encountered challenges with CMS coverage determinatons. Failure to complete post-marketng requirements could signifcantly increase costs or delay, limit or ultmately restrict the commercializaton of cabozantnib, zanzalintnib or another product candidate in the approved indicaton, or result in product withdrawal. Further, current or any future laws or executve orders governing FDA or foreign regulatory approval processes that may be enacted or executed could have a material adverse impact on our business, fnancial conditon, and results of operatons.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Financial Maters</w:t>
      </w:r>
    </w:p>
    <w:p>
      <w:pPr>
        <w:spacing w:after="0" w:line="163"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b w:val="1"/>
          <w:bCs w:val="1"/>
          <w:i w:val="1"/>
          <w:iCs w:val="1"/>
          <w:color w:val="auto"/>
        </w:rPr>
        <w:t>Our proftability could be negatvely impacted if expenses associated with our drug discovery, clinical development, business development and commercializaton actvites grow more quickly than the revenues we generate.</w:t>
      </w:r>
    </w:p>
    <w:p>
      <w:pPr>
        <w:spacing w:after="0" w:line="16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Although we reported net income of $521.3 million and $207.8 million for the fscal years ended December 31, 2024 and 2023, respectvely, we may not be able to maintain or increase proftability on a quarterly or annual basis, and we are unable to predict the extent of future profts or losses. The amount of our net profts or losses will depend, in part, on: the level of sales of CABOMETYX and COMETRIQ in the U.S.; our achievement of development, regulatory and commercial milestones, if any, under our collaboraton agreements; the amount of royaltes from sales of CABOMETYX and COMETRIQ outside of the U.S. under our collaboraton agreements; other collaboraton revenues; and the level of our expenses associated with our extensive drug discovery, clinical development, business development and commercializaton actvites, as well as our general business expansion plans. Our expected future expenses may also be increased by infatonary pressures, which could increase the costs of outside services, labor, raw materials and fnished drug product. The introducton of or changes in tarifs or trade barriers, such as the enactment of tarifs on goods imported into the United States, including, but not limited to, the proposed tarifs on goods imported from China, Mexico and Canada (including raw materials and components used in our manufacturing processes), could also increase the costs of our fnished drug product. We expect to contnue to spend substantal amounts to fund the contnued development of the cabozantnib franchise for additonal indicatons and of zanzalintnib and our other product candidates, as well as the commercializaton of our approved products. In additon, we intend to contnue to expand our oncology product pipeline through our drug discovery eforts, including research collaboratons, in-licensing arrangements and other strategic transactons that align with our oncology drug development, regulatory and commercial expertse, which eforts could involve substantal costs. To ofset these costs in the future, we will need to generate substantal revenues. If these costs exceed our current expectatons, or we fail to achieve antcipated revenue targets, our proftability and fnancial conditon may be adversely afected and the market value of our common stock may decline.</w:t>
      </w:r>
    </w:p>
    <w:p>
      <w:pPr>
        <w:spacing w:after="0" w:line="17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Relatonships with Third Partes</w:t>
      </w:r>
    </w:p>
    <w:p>
      <w:pPr>
        <w:spacing w:after="0" w:line="163"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b w:val="1"/>
          <w:bCs w:val="1"/>
          <w:i w:val="1"/>
          <w:iCs w:val="1"/>
          <w:color w:val="auto"/>
        </w:rPr>
        <w:t>We rely on Ipsen and Takeda for the commercial success of CABOMETYX in its approved indicatons outside of the U.S., and we are unable to control the amount or tming of resources expended by these collaboraton partners in the commercializaton of CABOMETYX in its approved indicatons outside of the U.S.</w:t>
      </w:r>
    </w:p>
    <w:p>
      <w:pPr>
        <w:spacing w:after="0" w:line="165"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We rely upon the regulatory, commercial, medical afairs, market access and other expertse and resources of our collaboraton partners, Ipsen and Takeda, for commercializaton of CABOMETYX in their respectve territories outside of the U.S. We cannot control the amount and tming of resources that our collaboraton partners dedicate to the commercializaton of CABOMETYX, or to its marketng and distributon, and our ability to generate revenues from the commercializaton of CABOMETYX by our collaboraton partners depends on their ability to obtain and maintain regulatory approvals for, achieve market acceptance of, and to otherwise efectvely market, CABOMETYX in its approved indicatons in their respectve territories. If our collaboraton partners are unable or unwilling to invest the resources necessary to commercialize CABOMETYX successfully in the EU, Japan, and other internatonal territories where it has been approved, this could reduce the amount of revenue we are due to receive under these collaboraton agreements, thus resultng in harm to our business and operatons.</w:t>
      </w:r>
    </w:p>
    <w:p>
      <w:pPr>
        <w:spacing w:after="0" w:line="169" w:lineRule="exact"/>
        <w:rPr>
          <w:sz w:val="20"/>
          <w:szCs w:val="20"/>
          <w:color w:val="auto"/>
        </w:rPr>
      </w:pPr>
    </w:p>
    <w:p>
      <w:pPr>
        <w:ind w:right="940" w:firstLine="648"/>
        <w:spacing w:after="0" w:line="235" w:lineRule="auto"/>
        <w:rPr>
          <w:sz w:val="20"/>
          <w:szCs w:val="20"/>
          <w:color w:val="auto"/>
        </w:rPr>
      </w:pPr>
      <w:r>
        <w:rPr>
          <w:rFonts w:ascii="Calibri" w:cs="Calibri" w:eastAsia="Calibri" w:hAnsi="Calibri"/>
          <w:sz w:val="18"/>
          <w:szCs w:val="18"/>
          <w:b w:val="1"/>
          <w:bCs w:val="1"/>
          <w:i w:val="1"/>
          <w:iCs w:val="1"/>
          <w:color w:val="auto"/>
        </w:rPr>
        <w:t>Our clinical, regulatory and commercial collaboratons with major companies make us reliant on those companies for their contnued performance and investments, which subjects us to a number of risks.</w:t>
      </w:r>
    </w:p>
    <w:p>
      <w:pPr>
        <w:spacing w:after="0" w:line="164"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We have established clinical and commercial collaboratons with leading biopharmaceutcal companies for the development and commercializaton of our products, and our dependence on these collaboraton partners subjects us to a number of risks, including, but not limited to:</w:t>
      </w:r>
    </w:p>
    <w:p>
      <w:pPr>
        <w:spacing w:after="0" w:line="56" w:lineRule="exact"/>
        <w:rPr>
          <w:sz w:val="20"/>
          <w:szCs w:val="20"/>
          <w:color w:val="auto"/>
        </w:rPr>
      </w:pPr>
    </w:p>
    <w:p>
      <w:pPr>
        <w:ind w:left="820" w:right="100" w:hanging="229"/>
        <w:spacing w:after="0" w:line="235" w:lineRule="auto"/>
        <w:tabs>
          <w:tab w:leader="none" w:pos="816"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our collaboraton partners’ decision to terminate our collaboraton, or their failure to comply with the terms of our collaboraton agreements and related ancillary agreements, either intentonally or as a result of negligence or other insufcient performance;</w:t>
      </w:r>
    </w:p>
    <w:p>
      <w:pPr>
        <w:spacing w:after="0" w:line="55" w:lineRule="exact"/>
        <w:rPr>
          <w:rFonts w:ascii="Calibri" w:cs="Calibri" w:eastAsia="Calibri" w:hAnsi="Calibri"/>
          <w:sz w:val="18"/>
          <w:szCs w:val="18"/>
          <w:color w:val="auto"/>
        </w:rPr>
      </w:pPr>
    </w:p>
    <w:p>
      <w:pPr>
        <w:ind w:left="820" w:right="20" w:hanging="229"/>
        <w:spacing w:after="0" w:line="235" w:lineRule="auto"/>
        <w:tabs>
          <w:tab w:leader="none" w:pos="816"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our inability to control the amount and tming of resources that our collaboraton partners devote to the development or commercializaton of our products;</w:t>
      </w:r>
    </w:p>
    <w:p>
      <w:pPr>
        <w:spacing w:after="0" w:line="55" w:lineRule="exact"/>
        <w:rPr>
          <w:rFonts w:ascii="Calibri" w:cs="Calibri" w:eastAsia="Calibri" w:hAnsi="Calibri"/>
          <w:sz w:val="18"/>
          <w:szCs w:val="18"/>
          <w:color w:val="auto"/>
        </w:rPr>
      </w:pPr>
    </w:p>
    <w:p>
      <w:pPr>
        <w:ind w:left="820" w:right="580" w:hanging="229"/>
        <w:spacing w:after="0" w:line="235" w:lineRule="auto"/>
        <w:tabs>
          <w:tab w:leader="none" w:pos="816"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the possibility that our collaboraton partners may stop or delay clinical trials, fail to supply us on a tmely basis with product required for a combinaton trial, or deliver product that fails to meet appropriate quality and regulatory standards;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20" w:right="320" w:hanging="229"/>
        <w:spacing w:after="0" w:line="235" w:lineRule="auto"/>
        <w:tabs>
          <w:tab w:leader="none" w:pos="816"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disputes that may arise between us and our collaboraton partners that result in the delay or terminaton of the development or commercializaton of our products or product candidates, or that diminish or delay receipt of the economic benefts we are enttled to receive under the collaboraton, or that result in costly litgaton or arbitraton;</w:t>
      </w:r>
    </w:p>
    <w:p>
      <w:pPr>
        <w:spacing w:after="0" w:line="56" w:lineRule="exact"/>
        <w:rPr>
          <w:rFonts w:ascii="Calibri" w:cs="Calibri" w:eastAsia="Calibri" w:hAnsi="Calibri"/>
          <w:sz w:val="18"/>
          <w:szCs w:val="18"/>
          <w:color w:val="auto"/>
        </w:rPr>
      </w:pPr>
    </w:p>
    <w:p>
      <w:pPr>
        <w:ind w:left="820" w:right="320" w:hanging="229"/>
        <w:spacing w:after="0" w:line="235" w:lineRule="auto"/>
        <w:tabs>
          <w:tab w:leader="none" w:pos="816"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the possibility that our collaboraton partners may experience fnancial difcultes that prevent them from fulflling their obligatons under our agreements;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our collaboraton partners’ inability to obtain regulatory approvals in a tmely manner, or at all;</w:t>
      </w:r>
    </w:p>
    <w:p>
      <w:pPr>
        <w:spacing w:after="0" w:line="55" w:lineRule="exact"/>
        <w:rPr>
          <w:rFonts w:ascii="Calibri" w:cs="Calibri" w:eastAsia="Calibri" w:hAnsi="Calibri"/>
          <w:sz w:val="18"/>
          <w:szCs w:val="18"/>
          <w:color w:val="auto"/>
        </w:rPr>
      </w:pPr>
    </w:p>
    <w:p>
      <w:pPr>
        <w:ind w:left="820" w:right="340" w:hanging="229"/>
        <w:spacing w:after="0" w:line="235" w:lineRule="auto"/>
        <w:tabs>
          <w:tab w:leader="none" w:pos="816"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our collaboraton partners’ failure to comply with legal and regulatory requirements relevant to the authorizaton, marketng, distributon and supply of our marketed products in the territories outside the U.S. where they are approved; and</w:t>
      </w:r>
    </w:p>
    <w:p>
      <w:pPr>
        <w:spacing w:after="0" w:line="55" w:lineRule="exact"/>
        <w:rPr>
          <w:rFonts w:ascii="Calibri" w:cs="Calibri" w:eastAsia="Calibri" w:hAnsi="Calibri"/>
          <w:sz w:val="18"/>
          <w:szCs w:val="18"/>
          <w:color w:val="auto"/>
        </w:rPr>
      </w:pPr>
    </w:p>
    <w:p>
      <w:pPr>
        <w:ind w:left="820" w:right="80" w:hanging="229"/>
        <w:spacing w:after="0" w:line="235" w:lineRule="auto"/>
        <w:tabs>
          <w:tab w:leader="none" w:pos="816"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our collaboraton partners’ failure to properly maintain or defend our intellectual property rights or their use of our intellectual property rights or proprietary informaton in such a way as to invite litgaton that could jeopardize or invalidate our intellectual property rights or expose us to potental litgaton.</w:t>
      </w:r>
    </w:p>
    <w:p>
      <w:pPr>
        <w:spacing w:after="0" w:line="165" w:lineRule="exact"/>
        <w:rPr>
          <w:sz w:val="20"/>
          <w:szCs w:val="20"/>
          <w:color w:val="auto"/>
        </w:rPr>
      </w:pPr>
    </w:p>
    <w:p>
      <w:pPr>
        <w:jc w:val="both"/>
        <w:ind w:right="100" w:firstLine="648"/>
        <w:spacing w:after="0" w:line="235" w:lineRule="auto"/>
        <w:rPr>
          <w:sz w:val="20"/>
          <w:szCs w:val="20"/>
          <w:color w:val="auto"/>
        </w:rPr>
      </w:pPr>
      <w:r>
        <w:rPr>
          <w:rFonts w:ascii="Calibri" w:cs="Calibri" w:eastAsia="Calibri" w:hAnsi="Calibri"/>
          <w:sz w:val="18"/>
          <w:szCs w:val="18"/>
          <w:color w:val="auto"/>
        </w:rPr>
        <w:t>If any of these risks materialize, we may not receive collaboraton revenues or otherwise realize antcipated benefts from such collaboratons, and our product development eforts and prospects for growth could be delayed or disrupted, all of which could have a material adverse impact on our business, fnancial conditon and results of operatons.</w:t>
      </w:r>
    </w:p>
    <w:p>
      <w:pPr>
        <w:spacing w:after="0" w:line="165"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b w:val="1"/>
          <w:bCs w:val="1"/>
          <w:i w:val="1"/>
          <w:iCs w:val="1"/>
          <w:color w:val="auto"/>
        </w:rPr>
        <w:t>Our growth potental is dependent in part upon companies with which we have entered into research collaboratons, in-licensing arrangements and similar business development relatonships.</w:t>
      </w:r>
    </w:p>
    <w:p>
      <w:pPr>
        <w:spacing w:after="0" w:line="164"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To expand our early-stage product pipeline, we have augmented our drug discovery actvites with multple research collaboratons and in-licensing arrangements with other companies. Our dependence on our relatonships with these research and in-licensing partners subjects us to numerous risks, including, but not limited to:</w:t>
      </w:r>
    </w:p>
    <w:p>
      <w:pPr>
        <w:spacing w:after="0" w:line="57" w:lineRule="exact"/>
        <w:rPr>
          <w:sz w:val="20"/>
          <w:szCs w:val="20"/>
          <w:color w:val="auto"/>
        </w:rPr>
      </w:pPr>
    </w:p>
    <w:p>
      <w:pPr>
        <w:ind w:left="820" w:right="120" w:hanging="229"/>
        <w:spacing w:after="0" w:line="235" w:lineRule="auto"/>
        <w:tabs>
          <w:tab w:leader="none" w:pos="816"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research and in-licensing partners’ decision to terminate our relatonship, or their failure to comply with the terms of our agreements, either intentonally or as a result of negligent performance;</w:t>
      </w:r>
    </w:p>
    <w:p>
      <w:pPr>
        <w:spacing w:after="0" w:line="55" w:lineRule="exact"/>
        <w:rPr>
          <w:rFonts w:ascii="Calibri" w:cs="Calibri" w:eastAsia="Calibri" w:hAnsi="Calibri"/>
          <w:sz w:val="18"/>
          <w:szCs w:val="18"/>
          <w:color w:val="auto"/>
        </w:rPr>
      </w:pPr>
    </w:p>
    <w:p>
      <w:pPr>
        <w:ind w:left="820" w:hanging="229"/>
        <w:spacing w:after="0" w:line="235" w:lineRule="auto"/>
        <w:tabs>
          <w:tab w:leader="none" w:pos="816"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disputes that may arise between us and our research and in-licensing partners that result in the delay or terminaton of research and development actvites with respect to any in-licensed assets or supportng technology platorms;</w:t>
      </w:r>
    </w:p>
    <w:p>
      <w:pPr>
        <w:spacing w:after="0" w:line="55" w:lineRule="exact"/>
        <w:rPr>
          <w:rFonts w:ascii="Calibri" w:cs="Calibri" w:eastAsia="Calibri" w:hAnsi="Calibri"/>
          <w:sz w:val="18"/>
          <w:szCs w:val="18"/>
          <w:color w:val="auto"/>
        </w:rPr>
      </w:pPr>
    </w:p>
    <w:p>
      <w:pPr>
        <w:ind w:left="820" w:right="240" w:hanging="229"/>
        <w:spacing w:after="0" w:line="235" w:lineRule="auto"/>
        <w:tabs>
          <w:tab w:leader="none" w:pos="816"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possibility that our research and in-licensing partners may experience fnancial difcultes that prevent them from fulflling their obligatons under our agreements;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research and in-licensing partners’ failure to retain essental staf, which is crucial for fulflling their obligatons under our agreements;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possibility that our research and in-licensing partners’ technology may be superseded or otherwise no longer be compettve;</w:t>
      </w:r>
    </w:p>
    <w:p>
      <w:pPr>
        <w:spacing w:after="0" w:line="55" w:lineRule="exact"/>
        <w:rPr>
          <w:rFonts w:ascii="Calibri" w:cs="Calibri" w:eastAsia="Calibri" w:hAnsi="Calibri"/>
          <w:sz w:val="18"/>
          <w:szCs w:val="18"/>
          <w:color w:val="auto"/>
        </w:rPr>
      </w:pPr>
    </w:p>
    <w:p>
      <w:pPr>
        <w:ind w:left="820" w:right="280" w:hanging="229"/>
        <w:spacing w:after="0" w:line="235" w:lineRule="auto"/>
        <w:tabs>
          <w:tab w:leader="none" w:pos="816"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possibility that our research and in-licensing partners may be acquired, and that any acquiring entty may not honor our partners’ research commitments or otherwise fail to contnue fulflling their obligatons under our agreements;</w:t>
      </w:r>
    </w:p>
    <w:p>
      <w:pPr>
        <w:spacing w:after="0" w:line="55" w:lineRule="exact"/>
        <w:rPr>
          <w:rFonts w:ascii="Calibri" w:cs="Calibri" w:eastAsia="Calibri" w:hAnsi="Calibri"/>
          <w:sz w:val="18"/>
          <w:szCs w:val="18"/>
          <w:color w:val="auto"/>
        </w:rPr>
      </w:pPr>
    </w:p>
    <w:p>
      <w:pPr>
        <w:ind w:left="820" w:right="40" w:hanging="229"/>
        <w:spacing w:after="0" w:line="235" w:lineRule="auto"/>
        <w:tabs>
          <w:tab w:leader="none" w:pos="816"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research and in-licensing partners’ failure to properly maintain or defend their intellectual property rights or their use of third-party intellectual property rights or proprietary informaton in such a way as to invite litgaton that could jeopardize or invalidate our license to develop these assets or utlize technology platorms;</w:t>
      </w:r>
    </w:p>
    <w:p>
      <w:pPr>
        <w:spacing w:after="0" w:line="56" w:lineRule="exact"/>
        <w:rPr>
          <w:rFonts w:ascii="Calibri" w:cs="Calibri" w:eastAsia="Calibri" w:hAnsi="Calibri"/>
          <w:sz w:val="18"/>
          <w:szCs w:val="18"/>
          <w:color w:val="auto"/>
        </w:rPr>
      </w:pPr>
    </w:p>
    <w:p>
      <w:pPr>
        <w:ind w:left="820" w:right="100" w:hanging="229"/>
        <w:spacing w:after="0" w:line="235" w:lineRule="auto"/>
        <w:tabs>
          <w:tab w:leader="none" w:pos="816"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laws, regulatons or practces imposed by countries or regions outside the U.S. that could impact or inhibit scientfc research or the development of healthcare products by foreign compettors or otherwise disadvantage healthcare products made by foreign compettors, as well as general politcal or economic instability in those countries, any of which could complicate, interfere with or impede our relatonships with our ex-U.S. research, development and in-licensing partners; and</w:t>
      </w:r>
    </w:p>
    <w:p>
      <w:pPr>
        <w:spacing w:after="0" w:line="57" w:lineRule="exact"/>
        <w:rPr>
          <w:rFonts w:ascii="Calibri" w:cs="Calibri" w:eastAsia="Calibri" w:hAnsi="Calibri"/>
          <w:sz w:val="18"/>
          <w:szCs w:val="18"/>
          <w:color w:val="auto"/>
        </w:rPr>
      </w:pPr>
    </w:p>
    <w:p>
      <w:pPr>
        <w:ind w:left="820" w:right="320" w:hanging="229"/>
        <w:spacing w:after="0" w:line="235" w:lineRule="auto"/>
        <w:tabs>
          <w:tab w:leader="none" w:pos="816"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research and in-licensing partners’ failure to comply with applicable healthcare laws, as well as established laws and regulatons related to Good Practce guidelines.</w:t>
      </w:r>
    </w:p>
    <w:p>
      <w:pPr>
        <w:spacing w:after="0" w:line="164" w:lineRule="exact"/>
        <w:rPr>
          <w:sz w:val="20"/>
          <w:szCs w:val="20"/>
          <w:color w:val="auto"/>
        </w:rPr>
      </w:pPr>
    </w:p>
    <w:p>
      <w:pPr>
        <w:ind w:right="440" w:firstLine="648"/>
        <w:spacing w:after="0" w:line="235" w:lineRule="auto"/>
        <w:rPr>
          <w:sz w:val="20"/>
          <w:szCs w:val="20"/>
          <w:color w:val="auto"/>
        </w:rPr>
      </w:pPr>
      <w:r>
        <w:rPr>
          <w:rFonts w:ascii="Calibri" w:cs="Calibri" w:eastAsia="Calibri" w:hAnsi="Calibri"/>
          <w:sz w:val="18"/>
          <w:szCs w:val="18"/>
          <w:color w:val="auto"/>
        </w:rPr>
        <w:t>If any of these risks materialize, we may not be able to expand our product pipeline or otherwise realize a return on the resources we will have invested to develop these early-stage assets, which could have a material adverse impact on our fnancial conditon and prospects for growth.</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60" w:firstLine="648"/>
        <w:spacing w:after="0" w:line="235" w:lineRule="auto"/>
        <w:rPr>
          <w:sz w:val="20"/>
          <w:szCs w:val="20"/>
          <w:color w:val="auto"/>
        </w:rPr>
      </w:pPr>
      <w:r>
        <w:rPr>
          <w:rFonts w:ascii="Calibri" w:cs="Calibri" w:eastAsia="Calibri" w:hAnsi="Calibri"/>
          <w:sz w:val="18"/>
          <w:szCs w:val="18"/>
          <w:b w:val="1"/>
          <w:bCs w:val="1"/>
          <w:i w:val="1"/>
          <w:iCs w:val="1"/>
          <w:color w:val="auto"/>
        </w:rPr>
        <w:t>If third partes, upon which we rely to perform clinical trials for cabozantnib in new indicatons and for other new product candidates, do not perform as contractually required or expected, additonal regulatory approvals may be delayed or may not be possible.</w:t>
      </w:r>
    </w:p>
    <w:p>
      <w:pPr>
        <w:spacing w:after="0" w:line="164"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do not have the ability to conduct clinical trials for cabozantnib or for new potental product candidates independently, so we rely on independent third partes for the performance of these trials, such as the U.S. federal government, third-party contract research organizatons, medical insttutons, clinical investgators and contract laboratories to conduct our clinical trials. If these third partes do not successfully carry out their contractual dutes or regulatory obligatons or meet expected deadlines, or if the third partes must be replaced or if the quality or accuracy of the data they generate or provide is compromised due to their failure to adhere to our clinical trial or data security protocols or regulatory requirements or for other reasons, our preclinical development actvites or clinical trials may be extended, delayed, suspended or terminated, and we may not be able to obtain regulatory approval for or commercialize cabozantnib beyond currently approved indicatons or obtain regulatory approval for zanzalintnib or our other product candidates. In additon, due to the complexity of our research initatves, we may be unable to engage with third-party contract research organizatons that have the necessary experience and sophistcaton to help advance our drug discovery eforts, which would impede our ability to identfy, develop and commercialize our potental product candidates.</w:t>
      </w:r>
    </w:p>
    <w:p>
      <w:pPr>
        <w:spacing w:after="0" w:line="170" w:lineRule="exact"/>
        <w:rPr>
          <w:sz w:val="20"/>
          <w:szCs w:val="20"/>
          <w:color w:val="auto"/>
        </w:rPr>
      </w:pPr>
    </w:p>
    <w:p>
      <w:pPr>
        <w:ind w:right="380" w:firstLine="648"/>
        <w:spacing w:after="0" w:line="235" w:lineRule="auto"/>
        <w:rPr>
          <w:sz w:val="20"/>
          <w:szCs w:val="20"/>
          <w:color w:val="auto"/>
        </w:rPr>
      </w:pPr>
      <w:r>
        <w:rPr>
          <w:rFonts w:ascii="Calibri" w:cs="Calibri" w:eastAsia="Calibri" w:hAnsi="Calibri"/>
          <w:sz w:val="18"/>
          <w:szCs w:val="18"/>
          <w:b w:val="1"/>
          <w:bCs w:val="1"/>
          <w:i w:val="1"/>
          <w:iCs w:val="1"/>
          <w:color w:val="auto"/>
        </w:rPr>
        <w:t>If third-party advisors we rely on to assist with our drug discovery and development eforts do not perform as expected, the expansion of our product pipeline may be delayed.</w:t>
      </w:r>
    </w:p>
    <w:p>
      <w:pPr>
        <w:spacing w:after="0" w:line="164"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We work with scientfc advisors at academic and other insttutons, as well as third-party contractors in various locatons throughout the world, who assist us in our research and development eforts, including in drug discovery and preclinical development strategy. These third partes are not our employees and may have other commitments or contractual obligatons that limit their availability to us. Although these third-party scientfc advisors and contractors generally agree not to do competng work, if a confict of interest between their work for us and their work for another entty arises, we may lose their services. There has also been increased scrutny surrounding the disclosures of payments made to medical researchers from companies in the pharmaceutcal industry, and it is possible that the academic and other insttutons that employ these medical researchers may prevent us from engaging them as scientfc advisors and contractors or otherwise limit our access to these experts, or that the scientfc advisors themselves may now be more reluctant to work with industry partners. Even if these scientfc advisors and contractors with whom we have engaged intend to meet their contractual obligatons, their ability to perform services may be impacted by increased demand for such services from other companies or by other external factors, such as reduced capacity to perform services. If we experience additonal delays in the receipt of services, lose work performed by these scientfc advisors and contractors or are unable to engage them in the frst place, our discovery and development eforts with respect to the maters on which they were working or would work in the future may be signifcantly delayed or otherwise adversely afected.</w:t>
      </w:r>
    </w:p>
    <w:p>
      <w:pPr>
        <w:spacing w:after="0" w:line="172"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b w:val="1"/>
          <w:bCs w:val="1"/>
          <w:i w:val="1"/>
          <w:iCs w:val="1"/>
          <w:color w:val="auto"/>
        </w:rPr>
        <w:t>We lack our own manufacturing and distributon capabilites necessary for us to produce materials required for certain preclinical actvites and to produce and distribute our products for clinical development or for commercial sale, and our reliance on third partes for these services subjects us to various risks.</w:t>
      </w:r>
    </w:p>
    <w:p>
      <w:pPr>
        <w:spacing w:after="0" w:line="165"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do not operate our own manufacturing or distributon facilites for CMC development actvites, preclinical, clinical or commercial producton and distributon for our current products and new product candidates. Instead, we mostly rely on various third-party contract manufacturing organizatons to conduct these operatons on our behalf in accordance with cGMP. As our operatons contnue to grow in these areas, we are expanding internal CMC development laboratories to augment our external network focusing on our product candidates. We expect this to enable us to maximize applicaton of our internal expertse and scientfc know-how and advance our product candidates more efciently and with greater technical precision, speed, agility and quality, while working in close collaboraton with our expanding external manufacturing and supply chain network through additonal third-party contract manufacturers, distributors and suppliers. To establish and manage our manufacturing network and supply chain requires a signifcant fnancial commitment, the creaton of numerous third-party contractual relatonships and contnued oversight of these third partes to fulfll compliance with applicable legal and regulatory requirements, including the FDA’s cGMP, the EC’s Guidelines on GDP, as well as other stringent regulatory requirements enforced by the FDA or foreign regulatory agencies, as applicable. These third partes are also subject to routne inspectons by the FDA and foreign regulatory agencies. Although we maintain signifcant resources to directly and efectvely oversee the actvites and relatonships with the third partes in our network, we do not have direct control over their operatons.</w:t>
      </w:r>
    </w:p>
    <w:p>
      <w:pPr>
        <w:spacing w:after="0" w:line="172"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Our third-party contract manufacturers may not be able to produce or deliver material on a tmely basis or manufacture material with the required quality standards, or in the quantty required to meet our preclinical, clinical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development and commercial needs and applicable regulatory requirements. Although we have not yet experienced signifcant producton delays or seen signifcant impairment to our supply chain as a result of the ongoing hostlites in Eastern Europe and the Middle East or other global events, our third-party contract manufacturers, distributors and suppliers could experience operatonal delays due to lack of capacity or resources, facility closures and other hardships as a result of these types of global events, which could impact our supply chain by potentally causing delays to or disruptons in the supply of our preclinical, clinical or commercial products. If our third-party contract manufacturers, distributors and suppliers do not contnue to supply us with our products or product candidates in a tmely fashion and in compliance with applicable quality and regulatory requirements, or if they otherwise fail or refuse to comply with their obligatons to us under our manufacturing, distributon and supply arrangements, we may not have adequate remedies for any breach. Furthermore, their failure to supply us could impair or preclude meetng commercial or clinical product supply requirements for us or our partners, which could delay product development and future commercializaton eforts and have a material adverse impact on our business, fnancial conditon and results of operatons. In additon, through our third-party contract manufacturers and data service providers, we contnue to provide serialized commercial products as required to comply with the DSCSA and its foreign equivalents where applicable. If our third-party contract manufacturers or data service providers fail to support our eforts to contnue to comply with DSCSA and its foreign equivalents, as well as any future electronic pedigree requirements, we may face legal penaltes or be restricted from selling our products.</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Healthcare Regulatory and Other Legal Compliance Maters</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b w:val="1"/>
          <w:bCs w:val="1"/>
          <w:i w:val="1"/>
          <w:iCs w:val="1"/>
          <w:color w:val="auto"/>
        </w:rPr>
        <w:t>We are subject to healthcare laws, regulatons and enforcement; our failure to comply with those laws could have a material adverse impact on our business, fnancial conditon and results of operatons.</w:t>
      </w:r>
    </w:p>
    <w:p>
      <w:pPr>
        <w:spacing w:after="0" w:line="164"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We are subject to federal and state healthcare laws and regulatons, which laws and regulatons are enforced by the federal government and the states in which we conduct our business. We also conduct clinical trial actvites outside the United States and are therefore subject to applicable laws in the countries where those operatons take place. Should our compliance controls prove inefectve at preventng or mitgatng the risk and impact of improper business conduct or inaccurate reportng, we could be subject to enforcement of the following, including, without limitaton:</w:t>
      </w:r>
    </w:p>
    <w:p>
      <w:pPr>
        <w:spacing w:after="0" w:line="53" w:lineRule="exact"/>
        <w:rPr>
          <w:sz w:val="20"/>
          <w:szCs w:val="20"/>
          <w:color w:val="auto"/>
        </w:rPr>
      </w:pPr>
    </w:p>
    <w:p>
      <w:pPr>
        <w:ind w:left="820" w:hanging="229"/>
        <w:spacing w:after="0"/>
        <w:tabs>
          <w:tab w:leader="none" w:pos="82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the federal AKS;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federal Civil Monetary Penaltes law, including the benefciary inducement provisions;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the Eliminatng Kickbacks in Recovery Act;</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the FDCA and its implementng regulatons;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federal civil and criminal false claims laws, including the civil False Claims Act, and the Civil Monetary Penaltes Law;</w:t>
      </w:r>
    </w:p>
    <w:p>
      <w:pPr>
        <w:spacing w:after="0" w:line="55" w:lineRule="exact"/>
        <w:rPr>
          <w:rFonts w:ascii="Calibri" w:cs="Calibri" w:eastAsia="Calibri" w:hAnsi="Calibri"/>
          <w:sz w:val="18"/>
          <w:szCs w:val="18"/>
          <w:color w:val="auto"/>
        </w:rPr>
      </w:pPr>
    </w:p>
    <w:p>
      <w:pPr>
        <w:ind w:left="820" w:right="780" w:hanging="229"/>
        <w:spacing w:after="0" w:line="235" w:lineRule="auto"/>
        <w:tabs>
          <w:tab w:leader="none" w:pos="816"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federal criminal laws that prohibit executng a scheme to defraud any healthcare beneft program or making false statements relatng to healthcare maters;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the HIPAA and its implementng regulaton, as amended;</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state law equivalents of each of the above federal laws;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state laws concerning contract pharmacy arrangements and related obligatons of drug manufacturers;</w:t>
      </w:r>
    </w:p>
    <w:p>
      <w:pPr>
        <w:spacing w:after="0" w:line="55" w:lineRule="exact"/>
        <w:rPr>
          <w:rFonts w:ascii="Calibri" w:cs="Calibri" w:eastAsia="Calibri" w:hAnsi="Calibri"/>
          <w:sz w:val="18"/>
          <w:szCs w:val="18"/>
          <w:color w:val="auto"/>
        </w:rPr>
      </w:pPr>
    </w:p>
    <w:p>
      <w:pPr>
        <w:ind w:left="820" w:right="840" w:hanging="229"/>
        <w:spacing w:after="0" w:line="235" w:lineRule="auto"/>
        <w:tabs>
          <w:tab w:leader="none" w:pos="816"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state and local laws and regulatons that require drug manufacturers to fle reports relatng to marketng actvites, payments and other remuneraton and items of value provided to healthcare professionals and enttes;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state and federal pharmaceutcal price and price reportng laws and regulatons;</w:t>
      </w:r>
    </w:p>
    <w:p>
      <w:pPr>
        <w:spacing w:after="0" w:line="55" w:lineRule="exact"/>
        <w:rPr>
          <w:rFonts w:ascii="Calibri" w:cs="Calibri" w:eastAsia="Calibri" w:hAnsi="Calibri"/>
          <w:sz w:val="18"/>
          <w:szCs w:val="18"/>
          <w:color w:val="auto"/>
        </w:rPr>
      </w:pPr>
    </w:p>
    <w:p>
      <w:pPr>
        <w:ind w:left="820" w:hanging="229"/>
        <w:spacing w:after="0" w:line="258" w:lineRule="auto"/>
        <w:tabs>
          <w:tab w:leader="none" w:pos="816"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European countries’ natonal laws mandatng public disclosure of transfers of value to healthcare professionals, healthcare organizatons and other enttes actve in the healthcare sector, as well as requirements for prior review and/or approval of agreements with healthcare professionals; and</w:t>
      </w:r>
    </w:p>
    <w:p>
      <w:pPr>
        <w:spacing w:after="0" w:line="39" w:lineRule="exact"/>
        <w:rPr>
          <w:rFonts w:ascii="Calibri" w:cs="Calibri" w:eastAsia="Calibri" w:hAnsi="Calibri"/>
          <w:sz w:val="17"/>
          <w:szCs w:val="17"/>
          <w:color w:val="auto"/>
        </w:rPr>
      </w:pPr>
    </w:p>
    <w:p>
      <w:pPr>
        <w:ind w:left="820" w:right="120" w:hanging="229"/>
        <w:spacing w:after="0" w:line="235" w:lineRule="auto"/>
        <w:tabs>
          <w:tab w:leader="none" w:pos="816"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laws and regulatons in efect in foreign jurisdictons where drug manufacturers, or third party enttes operatng on behalf of drug manufacturers (including clinical research organizatons), are conductng clinical trial actvites.</w:t>
      </w:r>
    </w:p>
    <w:p>
      <w:pPr>
        <w:spacing w:after="0" w:line="164" w:lineRule="exact"/>
        <w:rPr>
          <w:sz w:val="20"/>
          <w:szCs w:val="20"/>
          <w:color w:val="auto"/>
        </w:rPr>
      </w:pPr>
    </w:p>
    <w:p>
      <w:pPr>
        <w:jc w:val="both"/>
        <w:ind w:right="240" w:firstLine="648"/>
        <w:spacing w:after="0" w:line="235" w:lineRule="auto"/>
        <w:rPr>
          <w:sz w:val="20"/>
          <w:szCs w:val="20"/>
          <w:color w:val="auto"/>
        </w:rPr>
      </w:pPr>
      <w:r>
        <w:rPr>
          <w:rFonts w:ascii="Calibri" w:cs="Calibri" w:eastAsia="Calibri" w:hAnsi="Calibri"/>
          <w:sz w:val="18"/>
          <w:szCs w:val="18"/>
          <w:color w:val="auto"/>
        </w:rPr>
        <w:t>In additon, we are subject to the Foreign Corrupt Practces Act, a U.S. law which regulates certain fnancial relatonships with foreign government ofcials (which could include, for example, medical professionals employed by natonal healthcare programs) and its foreign equivalents, as well as federal and state consumer protecton and unfair competton laws.</w:t>
      </w:r>
    </w:p>
    <w:p>
      <w:pPr>
        <w:spacing w:after="0" w:line="165"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These federal and state healthcare laws and regulatons govern drug marketng practces, including of-label promoton, and also impact our current and future business arrangements with third partes, including various healthcare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enttes. If our operatons are found, or even alleged, to be in violaton of the laws described above or other governmental regulatons that apply to us, we, or our ofcers or employees, may be subject to signifcant penaltes, including administratve civil and criminal penaltes, damages, fnes, regulatory penaltes, the curtailment or restructuring of our operatons, exclusion from partcipaton in Medicare, Medicaid and other federal and state healthcare programs, imprisonment, reputatonal harm, additonal reportng requirements and oversight through a Corporate Integrity Agreement or other monitoring agreement, any of which would adversely afect our ability to sell our products and operate our business and also adversely afect our fnancial results. Furthermore, responding to any such allegaton or investgaton and/or defending against any such enforcement actons can be tme-consuming and would require signifcant fnancial and personnel resources. Therefore, if any state or the federal government initates an enforcement acton against us, our business may be impaired, and even if we are ultmately successful in our defense, litgatng these actons could result in substantal costs and divert the atenton of management.</w:t>
      </w:r>
    </w:p>
    <w:p>
      <w:pPr>
        <w:spacing w:after="0" w:line="170" w:lineRule="exact"/>
        <w:rPr>
          <w:sz w:val="20"/>
          <w:szCs w:val="20"/>
          <w:color w:val="auto"/>
        </w:rPr>
      </w:pPr>
    </w:p>
    <w:p>
      <w:pPr>
        <w:ind w:right="220" w:firstLine="648"/>
        <w:spacing w:after="0" w:line="235" w:lineRule="auto"/>
        <w:rPr>
          <w:sz w:val="20"/>
          <w:szCs w:val="20"/>
          <w:color w:val="auto"/>
        </w:rPr>
      </w:pPr>
      <w:r>
        <w:rPr>
          <w:rFonts w:ascii="Calibri" w:cs="Calibri" w:eastAsia="Calibri" w:hAnsi="Calibri"/>
          <w:sz w:val="18"/>
          <w:szCs w:val="18"/>
          <w:b w:val="1"/>
          <w:bCs w:val="1"/>
          <w:i w:val="1"/>
          <w:iCs w:val="1"/>
          <w:color w:val="auto"/>
        </w:rPr>
        <w:t>Enhanced governmental and private scrutny over, or investgatons or litgaton involving, pharmaceutcal manufacturer patent assistance programs and donatons to patent assistance foundatons created by charitable organizatons could negatvely impact our business practces, harm our reputaton, divert the atenton of management and increase our expenses</w:t>
      </w:r>
      <w:r>
        <w:rPr>
          <w:rFonts w:ascii="Calibri" w:cs="Calibri" w:eastAsia="Calibri" w:hAnsi="Calibri"/>
          <w:sz w:val="18"/>
          <w:szCs w:val="18"/>
          <w:color w:val="auto"/>
        </w:rPr>
        <w:t>.</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To help patents aford our products, we have a patent assistance program and also make periodic donatons to independent charitable foundatons that help fnancially needy patents. These types of programs are designed to provide fnancial assistance to patents who might otherwise be unable to aford pharmaceutcals that they have been prescribed by their physicians and have become the subject of Congressional interest and enhanced government scrutny. The HHS Ofce of Inspector General established guidelines permitng pharmaceutcal manufacturers to make donatons to charitable organizatons that provide co-pay assistance to Medicare patents, provided that manufacturers meet certain specifed compliance requirements. In the event we are found not to have complied with these guidelines and other laws or regulatons respectng these arrangements, we could be subject to signifcant damages, fnes, penaltes or other criminal, civil or administratve sanctons or enforcement actons.</w:t>
      </w:r>
    </w:p>
    <w:p>
      <w:pPr>
        <w:spacing w:after="0" w:line="168" w:lineRule="exact"/>
        <w:rPr>
          <w:sz w:val="20"/>
          <w:szCs w:val="20"/>
          <w:color w:val="auto"/>
        </w:rPr>
      </w:pPr>
    </w:p>
    <w:p>
      <w:pPr>
        <w:ind w:right="80" w:firstLine="648"/>
        <w:spacing w:after="0" w:line="250" w:lineRule="auto"/>
        <w:rPr>
          <w:sz w:val="20"/>
          <w:szCs w:val="20"/>
          <w:color w:val="auto"/>
        </w:rPr>
      </w:pPr>
      <w:r>
        <w:rPr>
          <w:rFonts w:ascii="Calibri" w:cs="Calibri" w:eastAsia="Calibri" w:hAnsi="Calibri"/>
          <w:sz w:val="17"/>
          <w:szCs w:val="17"/>
          <w:color w:val="auto"/>
        </w:rPr>
        <w:t>We also rely on a third-party hub provider and exercise oversight to monitor patent assistance program actvites. Hub providers are generally hired by manufacturers to assist patents with insurance coverage, fnancial assistance and treatment support afer the patents receive a prescripton from their healthcare professional. For manufacturers of specialty pharmaceutcals (including our marketed products), the ability to have a single point of contact for their therapies helps ensure efcient medicaton distributon to patents. Accordingly, our hub actvites are also subject to scrutny and may create risk for us if not conducted appropriately. A variety of enttes, including independent charitable foundatons and pharmaceutcal manufacturers, but not including our company, have received subpoenas from the U.S. Department of Justce (DOJ) and other enforcement authorites seeking informaton related to their patent assistance programs and reimbursement and other product support programs, and certain of these enttes have entered into costly civil setlement agreements with DOJ and other enforcement authorites that include requirements to maintain complex corporate integrity agreements that impose signifcant reportng and other requirements. Should we or our hub providers receive a subpoena or other process, regardless of whether we are ultmately found to have complied with the regulatons governing patent assistance and other product support programs, this type of government investgaton could negatvely impact our business practces, harm our reputaton, divert the atenton of management and increase our expenses.</w:t>
      </w:r>
    </w:p>
    <w:p>
      <w:pPr>
        <w:spacing w:after="0" w:line="16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b w:val="1"/>
          <w:bCs w:val="1"/>
          <w:i w:val="1"/>
          <w:iCs w:val="1"/>
          <w:color w:val="auto"/>
        </w:rPr>
        <w:t>We are subject to laws and regulatons relatng to privacy, data protecton and the collecton and processing of personal data. Failure to maintain compliance with these regulatons could create additonal liabilites for us.</w:t>
      </w:r>
    </w:p>
    <w:p>
      <w:pPr>
        <w:spacing w:after="0" w:line="164"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The legislatve and regulatory landscape for privacy and data protecton contnues to evolve in the U.S. and other jurisdictons around the world. For example, the CCPA went into operaton in 2020 and afords California residents expanded privacy rights and protectons, including civil penaltes for violatons and statutory damages under a private right of acton for data security breaches. These protectons were expanded by the CPRA, which became efectve in January 2023. A rapidly-growing number of privacy laws in other states may also impact our operatons, including both comprehensive and sector-specifc legislaton, and Congress has also considered additonal federal privacy legislaton. In additon, most healthcare professionals and facilites are subject to privacy and security requirements under HIPAA with respect to our clinical and commercial actvites. Although we are not considered to be a covered entty or business associate under HIPAA, we could be subject to penaltes if we use or disclose individually identfable health informaton in a manner not authorized or permited by HIPAA. Other countries also have, or are developing, laws governing the collecton, use and transmission of personal informaton. For example, in the EU, the GDPR regulates the processing of personal data of individuals within the EU, even if, under certain circumstances, that processing occurs outside the EU, and also places restrictons on transfers of such data to countries outside of the EU, including the U.S. Should we fail to provide adequate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privacy or data security protectons or maintain compliance with these laws and regulatons, including the CCPA, as amended by the CPRA, as well as the GDPR, we could be subject to sanctons or other penaltes, litgaton, an increase in our cost of doing business and questons concerning the validity of our data processing actvites, including clinical trials.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Informaton Technology and Intellectual Property</w:t>
      </w:r>
    </w:p>
    <w:p>
      <w:pPr>
        <w:spacing w:after="0" w:line="163" w:lineRule="exact"/>
        <w:rPr>
          <w:sz w:val="20"/>
          <w:szCs w:val="20"/>
          <w:color w:val="auto"/>
        </w:rPr>
      </w:pPr>
    </w:p>
    <w:p>
      <w:pPr>
        <w:ind w:right="460" w:firstLine="648"/>
        <w:spacing w:after="0" w:line="235" w:lineRule="auto"/>
        <w:rPr>
          <w:sz w:val="20"/>
          <w:szCs w:val="20"/>
          <w:color w:val="auto"/>
        </w:rPr>
      </w:pPr>
      <w:r>
        <w:rPr>
          <w:rFonts w:ascii="Calibri" w:cs="Calibri" w:eastAsia="Calibri" w:hAnsi="Calibri"/>
          <w:sz w:val="18"/>
          <w:szCs w:val="18"/>
          <w:b w:val="1"/>
          <w:bCs w:val="1"/>
          <w:i w:val="1"/>
          <w:iCs w:val="1"/>
          <w:color w:val="auto"/>
        </w:rPr>
        <w:t>Data breaches and other cybersecurity incidents impactng our informaton technology operatons and infrastructure could compromise our intellectual property or other sensitve informaton, damage our operatons and cause signifcant harm to our business and reputaton.</w:t>
      </w:r>
    </w:p>
    <w:p>
      <w:pPr>
        <w:spacing w:after="0" w:line="16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the ordinary course of our business, we and our third-party service providers, such as contract research organizatons, collect, maintain and transmit sensitve data on our networks and systems, including our intellectual property and proprietary or confdental business informaton (such as research data and personal informaton) and confdental informaton with respect to our customers, clinical trial patents and our collaboraton partners. We outsource signifcant elements of our informaton technology infrastructure to third partes and, as a result, such third partes may or could have access to our confdental informaton. Additonally, we are vulnerable to data exfltraton, which is the loss of confdental and proprietary data in the event that persons with authorized access to our systems transfer our confdental and proprietary data outside our systems for their own use, evading our system safeguards and violatng our policy restrictons on data transfer.</w:t>
      </w:r>
    </w:p>
    <w:p>
      <w:pPr>
        <w:spacing w:after="0" w:line="168"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Artfcial intelligence (AI) sofware is increasingly being used in the biopharmaceutcal industry, including, in limited instances, by us. The misuse of AI-based sofware could result in inadvertent access and use of confdental informaton (including personal and proprietary data) of our employees, clinical trial partcipants, or other third partes, leading to the loss of trade-secrets or other intellectual property. As with many developing technologies, AI also presents risks related to misuse by outside threat actors who may try to gain unauthorized access to our systems and informaton. The secure maintenance of this informaton is critcal to our business and reputaton, and while we have enhanced and are contnuing to enhance our cybersecurity eforts commensurate with the growth and complexity of our business, our systems and those of third-party service providers may be vulnerable to cybersecurity incidents or threats. In additon, we are heavily dependent on the functoning of our informaton technology infrastructure to carry out our business processes, such as external and internal communicatons or access to clinical data and other key business informaton. Accordingly, both inadvertent disruptons to this infrastructure and/or cyber-atacks could cause us to incur signifcant remediaton or litgaton costs, result in product development delays, disrupt critcal business operatons, expend key informaton technology resources and divert the atenton of management.</w:t>
      </w:r>
    </w:p>
    <w:p>
      <w:pPr>
        <w:spacing w:after="0" w:line="170"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Although the aggregate impact of cybersecurity incidents and threats, including cyber-atacks and data exfltraton, on our operatons and fnancial conditon has not been material to date, we and our third-party service providers have frequently been the target of threats of this nature and expect them to contnue. Any future data breach and/or unauthorized access or disclosure of our informaton or intellectual property could compromise our intellectual property and expose our sensitve business informaton or sensitve business informaton of our collaboraton partners, which may lead to signifcant liability for us. A data security breach could also lead to public exposure of personal informaton of our clinical trial patents, employees or others and result in harm to our reputaton and business, compel us to comply with federal and/or state breach notfcaton laws and foreign law equivalents, including the GDPR, subject us to investgatons and mandatory correctve acton, or otherwise subject us to liability under laws and regulatons that protect the privacy and security of personal informaton, which could disrupt our business, result in increased costs or loss of revenue, and/or result in signifcant fnancial exposure. Furthermore, the costs of maintaining or upgrading our cybersecurity systems (including the recruitment and retenton of experienced informaton technology professionals, who are in high demand) at the level necessary to keep up with our expanding operatons and prevent against potental atacks or other cybersecurity incidents are increasing, and despite our best eforts, our network security and data recovery measures and those of our third-party service providers may stll not be adequate to protect against such security breaches and disruptons, which could cause material harm to our business, fnancial conditon and results of operatons.</w:t>
      </w:r>
    </w:p>
    <w:p>
      <w:pPr>
        <w:spacing w:after="0" w:line="173"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b w:val="1"/>
          <w:bCs w:val="1"/>
          <w:i w:val="1"/>
          <w:iCs w:val="1"/>
          <w:color w:val="auto"/>
        </w:rPr>
        <w:t>If we are unable to adequately protect our intellectual property, third partes may be able to use our technology, which could adversely afect our ability to compete in the market.</w:t>
      </w:r>
    </w:p>
    <w:p>
      <w:pPr>
        <w:spacing w:after="0" w:line="164"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Our success will depend in part upon our ability to obtain patents and maintain adequate protecton of the intellectual property related to our technologies and products. The patent positons of biopharmaceutcal companies, including our patent positon, are generally uncertain and involve complex legal and factual questons. We will be able to protect our intellectual property rights from unauthorized use by third partes only to the extent that our technologies are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covered by valid and enforceable patents or are efectvely maintained as trade secrets. We will contnue to apply for patents covering our technologies and products as, where and when we deem lawful and appropriate. However, these applicatons may be challenged or may fail to result in issued patents. Our issued patents have been and may in the future be challenged by third partes as invalid or unenforceable under U.S. or foreign laws, or they may be infringed by third partes, and we are from tme to tme involved in the defense and enforcement of our patents or other intellectual property rights in a court of law, U.S. Patent and Trademark Ofce IPR review or reexaminaton proceeding, foreign oppositon proceeding or related legal and administratve proceeding in the U.S. and elsewhere. The costs of defending our patents or enforcing our proprietary rights in post-issuance administratve proceedings and litgaton can be substantal and the outcome can be uncertain. An adverse outcome may allow third partes to use our intellectual property without a license and/or allow third partes to introduce generic and other competng products, any of which would negatvely impact our business. Third partes may also atempt to invalidate or design around our patents, or assert that they are invalid or otherwise unenforceable, and seek to introduce generic versions of cabozantnib. For example, we received Paragraph IV certfcaton notce leters from MSN, Teva Pharmaceutcal Industries Limited, Teva Pharmaceutcals Development, Inc. and Teva Pharmaceutcals USA, Inc. (individually and collectvely referred to as Teva), Cipla, Ltd. and Cipla USA, Inc. (individually and collectvely referred to as Cipla) and Sun concerning the respectve ANDAs that each had fled with the FDA seeking approval to market their respectve generic versions of CABOMETYX tablets. Should MSN, Teva, Cipla, Sun or any other third partes receive FDA approval of an ANDA or a 505(b)(2) NDA with respect to cabozantnib, it is possible that such company or companies could introduce generic versions of our marketed products before our patents expire if they do not infringe our patents or if it is determined that our patents are invalid or unenforceable, and the resultng generic competton could have a material adverse impact on our business, fnancial conditon and results of operatons.</w:t>
      </w:r>
    </w:p>
    <w:p>
      <w:pPr>
        <w:spacing w:after="0" w:line="176" w:lineRule="exact"/>
        <w:rPr>
          <w:sz w:val="20"/>
          <w:szCs w:val="20"/>
          <w:color w:val="auto"/>
        </w:rPr>
      </w:pPr>
    </w:p>
    <w:p>
      <w:pPr>
        <w:ind w:firstLine="648"/>
        <w:spacing w:after="0" w:line="251" w:lineRule="auto"/>
        <w:rPr>
          <w:sz w:val="20"/>
          <w:szCs w:val="20"/>
          <w:color w:val="auto"/>
        </w:rPr>
      </w:pPr>
      <w:r>
        <w:rPr>
          <w:rFonts w:ascii="Calibri" w:cs="Calibri" w:eastAsia="Calibri" w:hAnsi="Calibri"/>
          <w:sz w:val="17"/>
          <w:szCs w:val="17"/>
          <w:color w:val="auto"/>
        </w:rPr>
        <w:t>In additon, because patent applicatons can take many years to issue, third partes may have pending applicatons, unknown to us, which may later result in issued patents that cover the producton, manufacture, commercializaton or use of our product candidates. Our existng patents and any future patents we obtain may not be sufciently broad to prevent others from practcing our technologies or from developing competng products. They may also be negatvely impacted by the decisions of foreign courts, which could limit the protecton contemplated by the original regulatory approval and our ability to thwart the development of competng products that might otherwise have been determined to infringe our intellectual property rights. Furthermore, others may independently develop similar or alternatve technologies or design around our patents. In additon, our patents may be challenged or invalidated or may fail to provide us with any compettve advantages, if, for example, others were the frst to invent or to fle patent applicatons for closely related inventons.</w:t>
      </w:r>
    </w:p>
    <w:p>
      <w:pPr>
        <w:spacing w:after="0" w:line="155" w:lineRule="exact"/>
        <w:rPr>
          <w:sz w:val="20"/>
          <w:szCs w:val="20"/>
          <w:color w:val="auto"/>
        </w:rPr>
      </w:pPr>
    </w:p>
    <w:p>
      <w:pPr>
        <w:ind w:right="20" w:firstLine="648"/>
        <w:spacing w:after="0" w:line="250" w:lineRule="auto"/>
        <w:rPr>
          <w:sz w:val="20"/>
          <w:szCs w:val="20"/>
          <w:color w:val="auto"/>
        </w:rPr>
      </w:pPr>
      <w:r>
        <w:rPr>
          <w:rFonts w:ascii="Calibri" w:cs="Calibri" w:eastAsia="Calibri" w:hAnsi="Calibri"/>
          <w:sz w:val="17"/>
          <w:szCs w:val="17"/>
          <w:color w:val="auto"/>
        </w:rPr>
        <w:t>The laws of some foreign countries do not protect intellectual property rights to the same extent as the laws of the U.S., and many companies have encountered signifcant problems in protectng and defending such rights in foreign jurisdictons. Many countries have compulsory licensing laws under which a patent owner may be compelled to grant licenses to third partes and many countries limit the enforceability of patents against government agencies or government contractors. In these countries, the patent owner may have limited remedies, which could materially diminish the value of the patent. Moreover, the Russian Federaton has and may further limit protectons on patents originatng from certain countries (including the U.S.) in response to sanctons relatng to the ongoing Russia-Ukraine war, and in general, the legal systems of certain countries, partcularly certain developing countries, do not favor the aggressive enforcement of patent and other intellectual property protecton, which makes it difcult to stop infringement. We also rely on trade secret protecton for some of our confdental and proprietary informaton, and we are taking security measures to protect our proprietary informaton and trade secrets, partcularly in light of recent instances of data loss and misappropriaton of intellectual property in the biopharmaceutcal industry. However, these measures may not provide adequate protecton, and while we seek to protect our proprietary informaton by entering into confdentality agreements with employees, partners and consultants, as well as maintain cybersecurity protocols within our informaton technology infrastructure, we cannot provide assurance that our proprietary informaton will not be disclosed, or that we can meaningfully protect our trade secrets. In additon, our compettors may independently develop substantally equivalent proprietary informaton or may otherwise gain access to our trade secrets.</w:t>
      </w:r>
    </w:p>
    <w:p>
      <w:pPr>
        <w:spacing w:after="0" w:line="160" w:lineRule="exact"/>
        <w:rPr>
          <w:sz w:val="20"/>
          <w:szCs w:val="20"/>
          <w:color w:val="auto"/>
        </w:rPr>
      </w:pPr>
    </w:p>
    <w:p>
      <w:pPr>
        <w:ind w:right="240" w:firstLine="648"/>
        <w:spacing w:after="0" w:line="235" w:lineRule="auto"/>
        <w:rPr>
          <w:sz w:val="20"/>
          <w:szCs w:val="20"/>
          <w:color w:val="auto"/>
        </w:rPr>
      </w:pPr>
      <w:r>
        <w:rPr>
          <w:rFonts w:ascii="Calibri" w:cs="Calibri" w:eastAsia="Calibri" w:hAnsi="Calibri"/>
          <w:sz w:val="18"/>
          <w:szCs w:val="18"/>
          <w:b w:val="1"/>
          <w:bCs w:val="1"/>
          <w:i w:val="1"/>
          <w:iCs w:val="1"/>
          <w:color w:val="auto"/>
        </w:rPr>
        <w:t>Litgaton or third-party claims of intellectual property infringement could require us to spend substantal tme and money and adversely afect our ability to develop and commercialize products.</w:t>
      </w:r>
    </w:p>
    <w:p>
      <w:pPr>
        <w:spacing w:after="0" w:line="164" w:lineRule="exact"/>
        <w:rPr>
          <w:sz w:val="20"/>
          <w:szCs w:val="20"/>
          <w:color w:val="auto"/>
        </w:rPr>
      </w:pPr>
    </w:p>
    <w:p>
      <w:pPr>
        <w:ind w:right="80" w:firstLine="648"/>
        <w:spacing w:after="0" w:line="252" w:lineRule="auto"/>
        <w:rPr>
          <w:sz w:val="20"/>
          <w:szCs w:val="20"/>
          <w:color w:val="auto"/>
        </w:rPr>
      </w:pPr>
      <w:r>
        <w:rPr>
          <w:rFonts w:ascii="Calibri" w:cs="Calibri" w:eastAsia="Calibri" w:hAnsi="Calibri"/>
          <w:sz w:val="17"/>
          <w:szCs w:val="17"/>
          <w:color w:val="auto"/>
        </w:rPr>
        <w:t>Our commercial success depends in part upon our ability to avoid infringing patents and proprietary rights of third partes and not to breach any licenses that we have entered into with regard to our technologies and the technologies of third partes. Other partes have fled, and in the future are likely to fle, patent applicatons covering products and technologies that we have developed or intend to develop. If patents covering technologies required by our operatons are issued to others, we may have to obtain licenses from third partes, which may not be available on commercially reasonable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50" w:lineRule="auto"/>
        <w:rPr>
          <w:sz w:val="20"/>
          <w:szCs w:val="20"/>
          <w:color w:val="auto"/>
        </w:rPr>
      </w:pPr>
      <w:r>
        <w:rPr>
          <w:rFonts w:ascii="Calibri" w:cs="Calibri" w:eastAsia="Calibri" w:hAnsi="Calibri"/>
          <w:sz w:val="17"/>
          <w:szCs w:val="17"/>
          <w:color w:val="auto"/>
        </w:rPr>
        <w:t>terms, or at all, and may require us to pay substantal royaltes, grant a cross-license to some of our patents to another patent holder or redesign the formulaton of a product candidate so that we do not infringe third-party patents, which may be impossible to accomplish or could require substantal tme and expense. In additon, we may be subject to claims that our employees or independent contractors have inadvertently or otherwise used or disclosed trade secrets or other proprietary informaton of their former employers, or that they used or sought to use patent inventons belonging to their former employers. Furthermore, third partes may obtain patents that relate to our technologies and claim that use of such technologies infringes on their patents or otherwise employs their proprietary technology without authorizaton. Regardless of their merit, such claims could require us to incur substantal costs and divert the atenton of management and key technical personnel in defending ourselves against any such claims or enforcing our own patents. In the event of any third party’s successful claim of patent infringement or misappropriaton of trade secrets, we may lose valuable intellectual property rights or personnel, which could impede or prevent the achievement of our product development goals, or we may be required to pay damages and obtain one or more licenses from these third partes, subjectng us to substantal royalty payment obligatons. We may not be able to obtain these licenses on commercially reasonable terms, or at all. Defense of any lawsuit or failure to obtain any of these licenses could adversely afect our ability to develop and commercialize products.</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Operatons, Managing Our Growth and Employee Maters</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b w:val="1"/>
          <w:bCs w:val="1"/>
          <w:i w:val="1"/>
          <w:iCs w:val="1"/>
          <w:color w:val="auto"/>
        </w:rPr>
        <w:t>If we are unable to manage our human capital needs, there could be a material adverse impact on our business, fnancial conditon and results of operatons, and our prospects may be adversely afected</w:t>
      </w:r>
      <w:r>
        <w:rPr>
          <w:rFonts w:ascii="Calibri" w:cs="Calibri" w:eastAsia="Calibri" w:hAnsi="Calibri"/>
          <w:sz w:val="18"/>
          <w:szCs w:val="18"/>
          <w:color w:val="auto"/>
        </w:rPr>
        <w:t>.</w:t>
      </w:r>
    </w:p>
    <w:p>
      <w:pPr>
        <w:spacing w:after="0" w:line="164"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As we contnue to grow our pipeline of product candidates, our clinical development organizaton and related functons may grow, which may place signifcant demands on our management and resources, and our current and planned personnel and operatng practces may not be adequate to support such growth. To efectvely manage our evolving human capital needs, we must contnue to improve existng, and when necessary, implement new facilites, operatonal and fnancial systems, and procedures and controls, as well as train and manage our employee base, and there can be no assurance that we can do so efectvely or avoid experiencing operatng inefciencies or control defciencies. We contnue to rely on our management personnel to oversee our operatons, and retaining and recruitng qualifed individuals is difcult. If we are unable to manage our human capital needs efectvely, or if we are unsuccessful in retaining or recruitng qualifed management personnel, there could be a material adverse impact on our business, fnancial conditon and results of operatons.</w:t>
      </w:r>
    </w:p>
    <w:p>
      <w:pPr>
        <w:spacing w:after="0" w:line="164"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The loss of key personnel or the inability to retain or atract additonal personnel could impair our ability to operate successfully.</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We are highly dependent upon the principal members of our management, as well as clinical, commercial and scientfc staf, the loss of whose services might adversely impact the achievement of our objectves. Also, we may not have sufcient personnel to execute our business plans. Retaining and, where necessary, recruitng qualifed clinical, commercial, scientfc and pharmaceutcal operatons personnel will be critcal to support actvites related to advancing the development programs for the cabozantnib franchise, zanzalintnib and our other product candidates, successfully executng upon our commercializaton plan for the cabozantnib franchise and contnuing our proprietary research and development eforts. Competton is intense for experienced clinical, commercial, scientfc and pharmaceutcal operatons personnel, and we may be unable to retain or recruit such personnel with the expertse or experience necessary to allow us to successfully develop and commercialize our products. In additon, our reducton in workforce announced in January 2024 may adversely afect our ability to atract and retain employees. Furthermore, all of our employees are employed “at will” and, therefore, may leave our employment at any tme.</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Environmental and Product Liability</w:t>
      </w:r>
    </w:p>
    <w:p>
      <w:pPr>
        <w:spacing w:after="0" w:line="163" w:lineRule="exact"/>
        <w:rPr>
          <w:sz w:val="20"/>
          <w:szCs w:val="20"/>
          <w:color w:val="auto"/>
        </w:rPr>
      </w:pPr>
    </w:p>
    <w:p>
      <w:pPr>
        <w:ind w:right="440" w:firstLine="648"/>
        <w:spacing w:after="0" w:line="235" w:lineRule="auto"/>
        <w:rPr>
          <w:sz w:val="20"/>
          <w:szCs w:val="20"/>
          <w:color w:val="auto"/>
        </w:rPr>
      </w:pPr>
      <w:r>
        <w:rPr>
          <w:rFonts w:ascii="Calibri" w:cs="Calibri" w:eastAsia="Calibri" w:hAnsi="Calibri"/>
          <w:sz w:val="18"/>
          <w:szCs w:val="18"/>
          <w:b w:val="1"/>
          <w:bCs w:val="1"/>
          <w:i w:val="1"/>
          <w:iCs w:val="1"/>
          <w:color w:val="auto"/>
        </w:rPr>
        <w:t>We use hazardous chemicals and biological materials in our business. Any claims relatng to improper handling, storage or disposal of these materials could be tme consuming and costly.</w:t>
      </w:r>
    </w:p>
    <w:p>
      <w:pPr>
        <w:spacing w:after="0" w:line="16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Our research and development processes involve the controlled use of hazardous materials, including chemicals and biological materials, and our operatons can produce hazardous waste products. We cannot eliminate the risk of accidental contaminaton or discharge, or any resultant injury from these materials, and we may face liability under applicable laws for any injury or contaminaton that results from our use or the use by our collaboraton partners or other third partes of these materials. Such liability may exceed our insurance coverage and our total assets, and in additon, we may be required to indemnify our collaboraton partners against all damages and other liabilites arising out of our development actvites or products produced in connecton with our collaboratons with them. Moreover, our contnued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60"/>
        <w:spacing w:after="0" w:line="235" w:lineRule="auto"/>
        <w:rPr>
          <w:sz w:val="20"/>
          <w:szCs w:val="20"/>
          <w:color w:val="auto"/>
        </w:rPr>
      </w:pPr>
      <w:r>
        <w:rPr>
          <w:rFonts w:ascii="Calibri" w:cs="Calibri" w:eastAsia="Calibri" w:hAnsi="Calibri"/>
          <w:sz w:val="18"/>
          <w:szCs w:val="18"/>
          <w:color w:val="auto"/>
        </w:rPr>
        <w:t>compliance with environmental laws and regulatons may be expensive, and current or future environmental regulatons may impair our research, development and producton eforts.</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We face potental product liability exposure far in excess of our limited insurance coverage.</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may be held liable if any product we or our collaboraton partners develop or commercialize causes injury or is found otherwise unsuitable during product testng, manufacturing, marketng or sale. Regardless of merit or eventual outcome, product liability claims could result in decreased demand for our products and product candidates, injury to our reputaton, withdrawal of patents from our clinical trials, product recall, substantal monetary awards to third partes and the inability to commercialize any products that we may develop in the future. We maintain limited product liability insurance coverage for our clinical trials and commercial actvites. However, our insurance may not be sufcient to reimburse us for expenses or losses we may sufer. Moreover, if insurance coverage becomes more expensive, we may not be able to maintain insurance coverage at a reasonable cost or in sufcient amounts to protect us against losses due to liability.</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Common Stock</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Our stock price has been and may in the future be highly volatle.</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The trading price of our common stock has been highly volatle, and it may remain highly volatle or fuctuate substantally due to factors such as the following, many of which we cannot control:</w:t>
      </w:r>
    </w:p>
    <w:p>
      <w:pPr>
        <w:spacing w:after="0" w:line="56" w:lineRule="exact"/>
        <w:rPr>
          <w:sz w:val="20"/>
          <w:szCs w:val="20"/>
          <w:color w:val="auto"/>
        </w:rPr>
      </w:pPr>
    </w:p>
    <w:p>
      <w:pPr>
        <w:jc w:val="both"/>
        <w:ind w:left="820" w:right="14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announcement of FDA or other regulatory approval or non-approval, or delays in the FDA or other regulatory review process with respect to cabozantnib, zanzalintnib or our other product candidates, our collaboraton partners’ product candidates being developed in combinaton with either cabozantnib, zanzalintnib or our other product candidates, or our compettors’ product candidates;</w:t>
      </w:r>
    </w:p>
    <w:p>
      <w:pPr>
        <w:spacing w:after="0" w:line="56" w:lineRule="exact"/>
        <w:rPr>
          <w:rFonts w:ascii="Calibri" w:cs="Calibri" w:eastAsia="Calibri" w:hAnsi="Calibri"/>
          <w:sz w:val="18"/>
          <w:szCs w:val="18"/>
          <w:color w:val="auto"/>
        </w:rPr>
      </w:pPr>
    </w:p>
    <w:p>
      <w:pPr>
        <w:ind w:left="820" w:right="58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commercial performance of both CABOMETYX and COMETRIQ and the revenues we generate from those approved products, including royaltes paid under our collaboraton and license agreements;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adverse or inconclusive results or announcements related to our or our collaboraton partners’ clinical trials or delays in those clinical trials;</w:t>
      </w:r>
    </w:p>
    <w:p>
      <w:pPr>
        <w:spacing w:after="0" w:line="55" w:lineRule="exact"/>
        <w:rPr>
          <w:rFonts w:ascii="Calibri" w:cs="Calibri" w:eastAsia="Calibri" w:hAnsi="Calibri"/>
          <w:sz w:val="18"/>
          <w:szCs w:val="18"/>
          <w:color w:val="auto"/>
        </w:rPr>
      </w:pPr>
    </w:p>
    <w:p>
      <w:pPr>
        <w:ind w:left="820" w:right="12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tming of achievement of our clinical, regulatory, partnering, commercial and other milestones for the cabozantnib franchise, zanzalintnib or any of our other product candidates or programs;</w:t>
      </w:r>
    </w:p>
    <w:p>
      <w:pPr>
        <w:spacing w:after="0" w:line="55" w:lineRule="exact"/>
        <w:rPr>
          <w:rFonts w:ascii="Calibri" w:cs="Calibri" w:eastAsia="Calibri" w:hAnsi="Calibri"/>
          <w:sz w:val="18"/>
          <w:szCs w:val="18"/>
          <w:color w:val="auto"/>
        </w:rPr>
      </w:pPr>
    </w:p>
    <w:p>
      <w:pPr>
        <w:ind w:left="820" w:right="56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our ability to make future investments in the expansion of our pipeline through drug discovery, including future research collaboratons, in-licensing arrangements and other strategic transactons;</w:t>
      </w:r>
    </w:p>
    <w:p>
      <w:pPr>
        <w:spacing w:after="0" w:line="55" w:lineRule="exact"/>
        <w:rPr>
          <w:rFonts w:ascii="Calibri" w:cs="Calibri" w:eastAsia="Calibri" w:hAnsi="Calibri"/>
          <w:sz w:val="18"/>
          <w:szCs w:val="18"/>
          <w:color w:val="auto"/>
        </w:rPr>
      </w:pPr>
    </w:p>
    <w:p>
      <w:pPr>
        <w:ind w:left="82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our ability to obtain the materials and services, including an adequate product supply for any approved drug product, from our third-party vendors or do so at acceptable prices;</w:t>
      </w:r>
    </w:p>
    <w:p>
      <w:pPr>
        <w:spacing w:after="0" w:line="55" w:lineRule="exact"/>
        <w:rPr>
          <w:rFonts w:ascii="Calibri" w:cs="Calibri" w:eastAsia="Calibri" w:hAnsi="Calibri"/>
          <w:sz w:val="18"/>
          <w:szCs w:val="18"/>
          <w:color w:val="auto"/>
        </w:rPr>
      </w:pPr>
    </w:p>
    <w:p>
      <w:pPr>
        <w:ind w:left="820" w:right="40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tming and amount of expenses incurred for clinical development and manufacturing of cabozantnib, zanzalintnib and our other product candidates;</w:t>
      </w:r>
    </w:p>
    <w:p>
      <w:pPr>
        <w:spacing w:after="0" w:line="55" w:lineRule="exact"/>
        <w:rPr>
          <w:rFonts w:ascii="Calibri" w:cs="Calibri" w:eastAsia="Calibri" w:hAnsi="Calibri"/>
          <w:sz w:val="18"/>
          <w:szCs w:val="18"/>
          <w:color w:val="auto"/>
        </w:rPr>
      </w:pPr>
    </w:p>
    <w:p>
      <w:pPr>
        <w:ind w:left="820" w:right="22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actons taken by regulatory agencies, both in the U.S. and abroad, with respect to cabozantnib or our clinical trials for zanzalintnib or our other product candidates;</w:t>
      </w:r>
    </w:p>
    <w:p>
      <w:pPr>
        <w:spacing w:after="0" w:line="55" w:lineRule="exact"/>
        <w:rPr>
          <w:rFonts w:ascii="Calibri" w:cs="Calibri" w:eastAsia="Calibri" w:hAnsi="Calibri"/>
          <w:sz w:val="18"/>
          <w:szCs w:val="18"/>
          <w:color w:val="auto"/>
        </w:rPr>
      </w:pPr>
    </w:p>
    <w:p>
      <w:pPr>
        <w:ind w:left="820" w:right="780" w:hanging="229"/>
        <w:spacing w:after="0" w:line="258" w:lineRule="auto"/>
        <w:tabs>
          <w:tab w:leader="none" w:pos="816"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unantcipated regulatory actons taken by the FDA as a result of changing FDA standards and practces concerning the review of product candidates, including approvals at earlier stages of clinical development or with lesser developed data sets and expedited reviews;</w:t>
      </w:r>
    </w:p>
    <w:p>
      <w:pPr>
        <w:spacing w:after="0" w:line="35" w:lineRule="exact"/>
        <w:rPr>
          <w:rFonts w:ascii="Calibri" w:cs="Calibri" w:eastAsia="Calibri" w:hAnsi="Calibri"/>
          <w:sz w:val="17"/>
          <w:szCs w:val="17"/>
          <w:color w:val="auto"/>
        </w:rPr>
      </w:pPr>
    </w:p>
    <w:p>
      <w:pPr>
        <w:ind w:left="820" w:hanging="229"/>
        <w:spacing w:after="0"/>
        <w:tabs>
          <w:tab w:leader="none" w:pos="82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announcement of new products or clinical trial data by our compettors;</w:t>
      </w:r>
    </w:p>
    <w:p>
      <w:pPr>
        <w:spacing w:after="0" w:line="55" w:lineRule="exact"/>
        <w:rPr>
          <w:rFonts w:ascii="Calibri" w:cs="Calibri" w:eastAsia="Calibri" w:hAnsi="Calibri"/>
          <w:sz w:val="18"/>
          <w:szCs w:val="18"/>
          <w:color w:val="auto"/>
        </w:rPr>
      </w:pPr>
    </w:p>
    <w:p>
      <w:pPr>
        <w:ind w:left="820" w:right="22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announcement of regulatory applicatons, such as MSN’s, Teva’s, Cipla’s and Sun’s respectve ANDAs, seeking approval of generic versions of our marketed products;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quarterly variatons in our or our compettors’ results of operatons;</w:t>
      </w:r>
    </w:p>
    <w:p>
      <w:pPr>
        <w:spacing w:after="0" w:line="55" w:lineRule="exact"/>
        <w:rPr>
          <w:rFonts w:ascii="Calibri" w:cs="Calibri" w:eastAsia="Calibri" w:hAnsi="Calibri"/>
          <w:sz w:val="18"/>
          <w:szCs w:val="18"/>
          <w:color w:val="auto"/>
        </w:rPr>
      </w:pPr>
    </w:p>
    <w:p>
      <w:pPr>
        <w:ind w:left="820" w:right="30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changes in our relatonships with our collaboraton partners, including the terminaton or modifcaton of our agreements, or other events or conficts that may afect our collaboraton partners’ tming and willingness to develop, or if approved, commercialize our products and product candidates out-licensed to them;</w:t>
      </w:r>
    </w:p>
    <w:p>
      <w:pPr>
        <w:spacing w:after="0" w:line="51" w:lineRule="exact"/>
        <w:rPr>
          <w:rFonts w:ascii="Calibri" w:cs="Calibri" w:eastAsia="Calibri" w:hAnsi="Calibri"/>
          <w:sz w:val="18"/>
          <w:szCs w:val="18"/>
          <w:color w:val="auto"/>
        </w:rPr>
      </w:pPr>
    </w:p>
    <w:p>
      <w:pPr>
        <w:ind w:left="820" w:hanging="229"/>
        <w:spacing w:after="0"/>
        <w:tabs>
          <w:tab w:leader="none" w:pos="82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announcement of an in-licensed product candidate or strategic acquisiton;</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litgaton, including intellectual property infringement and product liability lawsuits, involving us;</w:t>
      </w:r>
    </w:p>
    <w:p>
      <w:pPr>
        <w:spacing w:after="0" w:line="55" w:lineRule="exact"/>
        <w:rPr>
          <w:rFonts w:ascii="Calibri" w:cs="Calibri" w:eastAsia="Calibri" w:hAnsi="Calibri"/>
          <w:sz w:val="18"/>
          <w:szCs w:val="18"/>
          <w:color w:val="auto"/>
        </w:rPr>
      </w:pPr>
    </w:p>
    <w:p>
      <w:pPr>
        <w:ind w:left="820" w:right="280" w:hanging="229"/>
        <w:spacing w:after="0" w:line="235" w:lineRule="auto"/>
        <w:tabs>
          <w:tab w:leader="none" w:pos="816"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changes in earnings estmates or recommendatons by securites analysts, or fnancial guidance from our management team, and any failure to achieve the operatng results projected by securites analysts or by our management team;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229"/>
        <w:spacing w:after="0"/>
        <w:tabs>
          <w:tab w:leader="none" w:pos="82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entry into new fnancing arrangements;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developments in the biopharmaceutcal industry;</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sales of large blocks of our common stock or sales of our common stock by our executve ofcers, directors and signifcant stockholders;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announcement of a repurchase of our common stock;</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additons and departures of key personnel or board members;</w:t>
      </w:r>
    </w:p>
    <w:p>
      <w:pPr>
        <w:spacing w:after="0" w:line="50" w:lineRule="exact"/>
        <w:rPr>
          <w:rFonts w:ascii="Calibri" w:cs="Calibri" w:eastAsia="Calibri" w:hAnsi="Calibri"/>
          <w:sz w:val="18"/>
          <w:szCs w:val="18"/>
          <w:color w:val="auto"/>
        </w:rPr>
      </w:pPr>
    </w:p>
    <w:p>
      <w:pPr>
        <w:ind w:left="820" w:hanging="229"/>
        <w:spacing w:after="0"/>
        <w:tabs>
          <w:tab w:leader="none" w:pos="82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dispositon of any of our technologies or compounds; and</w:t>
      </w:r>
    </w:p>
    <w:p>
      <w:pPr>
        <w:spacing w:after="0" w:line="55" w:lineRule="exact"/>
        <w:rPr>
          <w:rFonts w:ascii="Calibri" w:cs="Calibri" w:eastAsia="Calibri" w:hAnsi="Calibri"/>
          <w:sz w:val="18"/>
          <w:szCs w:val="18"/>
          <w:color w:val="auto"/>
        </w:rPr>
      </w:pPr>
    </w:p>
    <w:p>
      <w:pPr>
        <w:ind w:left="820" w:right="520" w:hanging="229"/>
        <w:spacing w:after="0" w:line="235" w:lineRule="auto"/>
        <w:tabs>
          <w:tab w:leader="none" w:pos="816"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general market, macroeconomic and politcal conditons and other factors, including factors unrelated to our operatng performance or the operatng performance of our compettors.</w:t>
      </w:r>
    </w:p>
    <w:p>
      <w:pPr>
        <w:spacing w:after="0" w:line="16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These and other factors could have a material adverse impact on the market price of our common stock. In additon, the stock markets in general, and the markets for biotechnology and pharmaceutcal stocks in partcular, have historically experienced signifcant volatlity that has ofen been unrelated or disproportonate to the operatng performance of partcular companies. Likewise, as a result of signifcant changes in U.S. or global politcal and macroeconomic conditons, including infaton, fuctuatng interest rates, as well as policies governing foreign trade (including tarifs) and healthcare spending and delivery, or the ongoing hostlites in Eastern Europe and the Middle East, the fnancial markets could contnue to experience signifcant volatlity that could also contnue to negatvely impact the markets for biotechnology and pharmaceutcal stocks. These broad market fuctuatons have adversely afected and may in the future adversely afect the trading price of our common stock. Excessive volatlity may contnue for an extended period of tme following the date of this report.</w:t>
      </w:r>
    </w:p>
    <w:p>
      <w:pPr>
        <w:spacing w:after="0" w:line="169"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In the past, following periods of volatlity in the market price of a company’s securites, securites class acton litgaton has ofen been initated. A securites class acton suit against us could result in substantal costs and divert the atenton of management, which could have a material adverse impact on our business, fnancial conditon and results of operatons.</w:t>
      </w:r>
    </w:p>
    <w:p>
      <w:pPr>
        <w:spacing w:after="0" w:line="165"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b w:val="1"/>
          <w:bCs w:val="1"/>
          <w:i w:val="1"/>
          <w:iCs w:val="1"/>
          <w:color w:val="auto"/>
        </w:rPr>
        <w:t>Ant-takeover provisions in our charter documents and under Delaware law could make an acquisiton of us, which may be benefcial to our stockholders, more difcult and may prevent or deter atempts by our stockholders to replace or remove our current management, which could cause the market price of our common stock to decline.</w:t>
      </w:r>
    </w:p>
    <w:p>
      <w:pPr>
        <w:spacing w:after="0" w:line="165"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Provisions in our corporate charter and bylaws may discourage, delay or prevent an acquisiton of us, a change in control, or atempts by our stockholders to replace or remove members of our current Board of Directors. Because our Board of Directors is responsible for appointng the members of our management team, these provisions could in turn afect any atempt by our stockholders to replace current members of our management team. These provisions include:</w:t>
      </w:r>
    </w:p>
    <w:p>
      <w:pPr>
        <w:spacing w:after="0" w:line="53" w:lineRule="exact"/>
        <w:rPr>
          <w:sz w:val="20"/>
          <w:szCs w:val="20"/>
          <w:color w:val="auto"/>
        </w:rPr>
      </w:pPr>
    </w:p>
    <w:p>
      <w:pPr>
        <w:ind w:left="820" w:hanging="229"/>
        <w:spacing w:after="0"/>
        <w:tabs>
          <w:tab w:leader="none" w:pos="82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a prohibiton on actons by our stockholders by writen consent;</w:t>
      </w:r>
    </w:p>
    <w:p>
      <w:pPr>
        <w:spacing w:after="0" w:line="55" w:lineRule="exact"/>
        <w:rPr>
          <w:rFonts w:ascii="Calibri" w:cs="Calibri" w:eastAsia="Calibri" w:hAnsi="Calibri"/>
          <w:sz w:val="18"/>
          <w:szCs w:val="18"/>
          <w:color w:val="auto"/>
        </w:rPr>
      </w:pPr>
    </w:p>
    <w:p>
      <w:pPr>
        <w:ind w:left="820" w:right="200" w:hanging="229"/>
        <w:spacing w:after="0" w:line="235" w:lineRule="auto"/>
        <w:tabs>
          <w:tab w:leader="none" w:pos="816"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the ability of our Board of Directors to issue preferred stock without stockholder approval, which could be used to insttute a “poison pill” that would work to dilute the stock ownership of a potental hostle acquirer, efectvely preventng acquisitons that have not been approved by our Board of Directors; and</w:t>
      </w:r>
    </w:p>
    <w:p>
      <w:pPr>
        <w:spacing w:after="0" w:line="51" w:lineRule="exact"/>
        <w:rPr>
          <w:rFonts w:ascii="Calibri" w:cs="Calibri" w:eastAsia="Calibri" w:hAnsi="Calibri"/>
          <w:sz w:val="18"/>
          <w:szCs w:val="18"/>
          <w:color w:val="auto"/>
        </w:rPr>
      </w:pPr>
    </w:p>
    <w:p>
      <w:pPr>
        <w:ind w:left="820" w:hanging="229"/>
        <w:spacing w:after="0"/>
        <w:tabs>
          <w:tab w:leader="none" w:pos="82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advance notce requirements for director nominatons and stockholder proposals.</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Moreover, because we are incorporated in Delaware, we are governed by the provisions of Secton 203 of the Delaware General Corporaton Law, which prohibits a person who owns in excess of 15% of our outstanding votng stock from merging or combining with us for a period of three years afer the date of the transacton in which the person acquired in excess of 15% of our outstanding votng stock, unless the merger or combinaton is approved in a prescribed manner.</w:t>
      </w:r>
    </w:p>
    <w:p>
      <w:pPr>
        <w:spacing w:after="0" w:line="165" w:lineRule="exact"/>
        <w:rPr>
          <w:sz w:val="20"/>
          <w:szCs w:val="20"/>
          <w:color w:val="auto"/>
        </w:rPr>
      </w:pPr>
    </w:p>
    <w:p>
      <w:pPr>
        <w:ind w:left="660"/>
        <w:spacing w:after="0"/>
        <w:rPr>
          <w:sz w:val="20"/>
          <w:szCs w:val="20"/>
          <w:color w:val="auto"/>
        </w:rPr>
      </w:pPr>
      <w:r>
        <w:rPr>
          <w:rFonts w:ascii="Calibri" w:cs="Calibri" w:eastAsia="Calibri" w:hAnsi="Calibri"/>
          <w:sz w:val="17"/>
          <w:szCs w:val="17"/>
          <w:b w:val="1"/>
          <w:bCs w:val="1"/>
          <w:i w:val="1"/>
          <w:iCs w:val="1"/>
          <w:color w:val="auto"/>
        </w:rPr>
        <w:t>Our disclosures related to environmental, social and governance maters subjects us to risks, including risks to our market percepton and stock</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price.</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The focus of governments, investors and other stakeholders on environmental, social and governance (ESG) practces and disclosures is constantly shifing and expectatons in this area are evolving. Laws addressing ESG topics and regulatons may change and afect mandatory disclosure, reportng and diligence requirements. We manage, track and report on our ESG initatves, including in our Corporate Values &amp; Sustainability Report or as may be required in our annual and quarterly reports. Our eforts to accomplish and report on these topics subjects us to risks, any of which could have a material adverse impact on our business, including specifcally market percepton and the market price of our common stock. Such risks may be outside of our control and the criteria by which our ESG practces and disclosures are assessed may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3" w:right="37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change due to the evolving regulatory requirements afectng ESG standards and disclosures, which could result in increased expectatons for us with respect to ESG maters and cause us to undertake costly initatves to satsfy such new criteria. Our failure or perceived failure to pursue or achieve our ESG objectves, or to maintain our ESG practces that meet evolving stakeholder expectatons or expanding legal requirements, could have a material adverse impact on our market percepton and stock price, as well as expose us to government enforcement actons and private litgaton.</w:t>
      </w:r>
    </w:p>
    <w:p>
      <w:pPr>
        <w:spacing w:after="0" w:line="2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1B. Unresolved Staf Comments.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None.</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 Management and Strategy</w:t>
      </w:r>
    </w:p>
    <w:p>
      <w:pPr>
        <w:spacing w:after="0" w:line="163"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We maintain a cybersecurity and informaton security program, which leverages best practces and standards. Risks from cybersecurity threats are regularly evaluated as part of our broader risk management actvites and as a fundamental component of our internal control system. The scope of our evaluaton encompasses risks that may be associated with both our internally managed IT systems and key business functons and sensitve data operated or managed by third-party service providers.</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All employees receive cybersecurity training upon hire with annual or more frequent training thereafer with job-specifc topic consideratons. Our IT team engages third-party vendors to assist with providing tmely cybersecurity threat alerts in additon to monitoring cybersecurity threats and our defenses against cyberatacks. This monitoring includes the proactve identfcaton of vulnerabilites in our systems with threat intelligence. The employees within our broader IT team who specialize in cybersecurity operatons (Security Ops Team) are responsible for coordinatng and overseeing the actvites of these third-party vendors.</w:t>
      </w:r>
    </w:p>
    <w:p>
      <w:pPr>
        <w:spacing w:after="0" w:line="166"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Our Informaton Security Incident Response Plan (Response Plan) sets forth our response protocol for cybersecurity threats and cybersecurity incidents and is maintained by the Informaton Security Governance Commitee (InfoSec Commitee), which reviews the Response Plan on an annual basis. The InfoSec Commitee is comprised of IT department leaders and members of our senior management team and is a subcommitee of our Ethics Commitee, which provides reports to the Risk Commitee of our Board of Directors. Our Response Plan is designed to provide a framework for how we identfy, escalate and respond in the event of a data security breach and designates personnel who are responsible for these functons. Our Security Ops Team evaluates security alerts received from various sources, and any alert or threat that the Security Ops Team identfes as a cybersecurity incident (such as a data security breach) is promptly escalated to the InfoSec Commitee for further assessment. Upon confrmaton that a cybersecurity incident has occurred, our InfoSec Commitee will establish an incident response team, which may include representatves from our internal departments, as well as outside legal counsel or other external cybersecurity consultants or service providers. The Incident Response Team aims to develop a coordinated response strategy, entailing risk containment, notfcaton processes, system restoraton, incident documentaton and assessment, data preservaton and forensic analysis.</w:t>
      </w:r>
    </w:p>
    <w:p>
      <w:pPr>
        <w:spacing w:after="0" w:line="160"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The InfoSec Commitee evaluates the implicatons of cybersecurity incidents to determine whether such incidents have had or are reasonably likely to have a material efect on our business strategy, fnancial conditon, and results of operatons. If a cybersecurity incident is deemed material by our InfoSec Commitee, our Chief Financial Ofcer or General Counsel will notfy the other members of our senior management team and the Chair of the Risk Commitee of our Board of Directors as needed.</w:t>
      </w:r>
    </w:p>
    <w:p>
      <w:pPr>
        <w:spacing w:after="0" w:line="165"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Cybersecurity threats, including as a result of any previous cybersecurity incidents, have not materially afected and we believe are not reasonably likely to materially afect us, including our business strategy, results of operatons or fnancial conditon. We and our third-party service providers have frequently been the target of cybersecurity threats and expect them to contnue, and for an additonal descripton of these cybersecurity risks and potental related impacts on us, see “Risk Factors” in Part I, Item 1A of this Annual Report on Form 10-K.</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Governance</w:t>
      </w:r>
    </w:p>
    <w:p>
      <w:pPr>
        <w:spacing w:after="0" w:line="163" w:lineRule="exact"/>
        <w:rPr>
          <w:sz w:val="20"/>
          <w:szCs w:val="20"/>
          <w:color w:val="auto"/>
        </w:rPr>
      </w:pPr>
    </w:p>
    <w:p>
      <w:pPr>
        <w:ind w:right="280" w:firstLine="648"/>
        <w:spacing w:after="0" w:line="235" w:lineRule="auto"/>
        <w:rPr>
          <w:sz w:val="20"/>
          <w:szCs w:val="20"/>
          <w:color w:val="auto"/>
        </w:rPr>
      </w:pPr>
      <w:r>
        <w:rPr>
          <w:rFonts w:ascii="Calibri" w:cs="Calibri" w:eastAsia="Calibri" w:hAnsi="Calibri"/>
          <w:sz w:val="18"/>
          <w:szCs w:val="18"/>
          <w:i w:val="1"/>
          <w:iCs w:val="1"/>
          <w:color w:val="auto"/>
        </w:rPr>
        <w:t xml:space="preserve">Board of Directors and Board Commitees. </w:t>
      </w:r>
      <w:r>
        <w:rPr>
          <w:rFonts w:ascii="Calibri" w:cs="Calibri" w:eastAsia="Calibri" w:hAnsi="Calibri"/>
          <w:sz w:val="18"/>
          <w:szCs w:val="18"/>
          <w:color w:val="auto"/>
        </w:rPr>
        <w:t>In accordance with our Corporate Governance Guidelines, the Board of Directors, both directly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through its commitees (including the Risk Commitee) oversees the proper functoning of our risk management process. In partcular, the Risk Commitee assists the Board in its oversight of management’s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responsibility to assess, manage and mitgate risks associated with the Company’s business and operatonal actvites and to administer the Company’s various compliance programs, in each case including data privacy and cybersecurity concerns. The Board and the Risk Commitee each meet at regularly scheduled and special meetngs throughout the year at which meetngs management reports to the Board concerning the results of its risk management actvites, as well as external factors that may change the levels of business risk to which we are exposed. Specifcally, the Risk Commitee receives regular updates from members of the InfoSec Commitee or Ethics Commitee, as ofen as necessary but at least once per year, with respect to our cybersecurity threats and responses to any cybersecurity incidents.</w:t>
      </w:r>
    </w:p>
    <w:p>
      <w:pPr>
        <w:spacing w:after="0" w:line="16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i w:val="1"/>
          <w:iCs w:val="1"/>
          <w:color w:val="auto"/>
        </w:rPr>
        <w:t xml:space="preserve">Management’s Responsibilites. </w:t>
      </w:r>
      <w:r>
        <w:rPr>
          <w:rFonts w:ascii="Calibri" w:cs="Calibri" w:eastAsia="Calibri" w:hAnsi="Calibri"/>
          <w:sz w:val="18"/>
          <w:szCs w:val="18"/>
          <w:color w:val="auto"/>
        </w:rPr>
        <w:t>Management has implemented risk management structures, policies and procedures, and manages our risk</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exposure on a day-to-day basis. Accordingly, management assesses and responds to cybersecurity threats as part of our ongoing risk assessment and as an internal control over fnancial reportng. Our Security Ops Team directs our cybersecurity operatons and risk responses. Members of the Security Ops Team then meet with the InfoSec Commitee at least once every quarter to review and assess cybersecurity incidents and non-incident threats (and response measures undertaken) to determine if any adjustment to our cybersecurity risk assessment is required. At least once every year, members of the Security Ops Team and the Senior Vice President of Informaton Technology present our cybersecurity risk evaluaton and threat response to the Ethics Commitee and to the Risk Commitee of the Board of Directors as needed. The InfoSec Commitee is a subcommitee comprised of IT department leaders and members of the senior management team, including the Chief Executve Ofcer, Chief Financial Ofcer (who has oversight of our IT and cybersecurity actvites), General Counsel (who has oversight of our compliance actvites), and Senior Vice President of Informaton Technology (who has over 20 years of experience managing IT systems and personnel). The Security Ops Team reports to the Senior Vice President of Informaton Technology, as well as the broader InfoSec Commitee. Members of the Security Ops team include IT professionals with extensive experience and educaton in technology and cybersecurity, and most have atained accreditaton as Certfed Informaton Systems Security Professionals, as granted by the Internatonal Informaton System Security Certfcaton Consortum (also known as ISC2).</w:t>
      </w: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Propertes.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Our corporate headquarters is located in Alameda, California, where we lease approximately 610,000 square feet of ofce and laboratory space under multple leases. During the third quarter of 2024, we recorded an impairment charge related to leased facilites we have no plan on utlizing in the near term. We are currently marketng approximately 215,000 square feet for sublease in Alameda, California. We have approximately 64,000 square feet of ofce and laboratory space in the Greater Philadelphia area. In 2025, we will be exitng approximately 40,000 square feet of our laboratory space in the Greater Philadelphia area as part of our restructuring plan approved in early 2024. We believe these leased facilites are sufcient to accommodate our current and near-term needs.</w:t>
      </w:r>
    </w:p>
    <w:p>
      <w:pPr>
        <w:spacing w:after="0" w:line="27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Legal Proceedings.</w:t>
      </w:r>
    </w:p>
    <w:p>
      <w:pPr>
        <w:spacing w:after="0" w:line="163" w:lineRule="exact"/>
        <w:rPr>
          <w:sz w:val="20"/>
          <w:szCs w:val="20"/>
          <w:color w:val="auto"/>
        </w:rPr>
      </w:pPr>
    </w:p>
    <w:p>
      <w:pPr>
        <w:ind w:right="560" w:firstLine="648"/>
        <w:spacing w:after="0" w:line="235" w:lineRule="auto"/>
        <w:rPr>
          <w:sz w:val="20"/>
          <w:szCs w:val="20"/>
          <w:color w:val="auto"/>
        </w:rPr>
      </w:pPr>
      <w:r>
        <w:rPr>
          <w:rFonts w:ascii="Calibri" w:cs="Calibri" w:eastAsia="Calibri" w:hAnsi="Calibri"/>
          <w:sz w:val="18"/>
          <w:szCs w:val="18"/>
          <w:color w:val="auto"/>
        </w:rPr>
        <w:t>The informaton required to be set forth under this Item 3 is incorporated by reference to “Note 12. Commitments and Contngencies – Legal Proceedings” of the “Notes to Consolidated Financial Statements” in Part II, Item 8 of this Annual Report on Form 10-K.</w:t>
      </w:r>
    </w:p>
    <w:p>
      <w:pPr>
        <w:spacing w:after="0" w:line="272" w:lineRule="exact"/>
        <w:rPr>
          <w:sz w:val="20"/>
          <w:szCs w:val="20"/>
          <w:color w:val="auto"/>
        </w:rPr>
      </w:pPr>
    </w:p>
    <w:p>
      <w:pPr>
        <w:jc w:val="center"/>
        <w:ind w:right="8860"/>
        <w:spacing w:after="0"/>
        <w:rPr>
          <w:sz w:val="20"/>
          <w:szCs w:val="20"/>
          <w:color w:val="auto"/>
        </w:rPr>
      </w:pPr>
      <w:r>
        <w:rPr>
          <w:rFonts w:ascii="Calibri" w:cs="Calibri" w:eastAsia="Calibri" w:hAnsi="Calibri"/>
          <w:sz w:val="17"/>
          <w:szCs w:val="17"/>
          <w:b w:val="1"/>
          <w:bCs w:val="1"/>
          <w:color w:val="auto"/>
        </w:rPr>
        <w:t>Item 4. Mine Safety Disclosures.</w:t>
      </w:r>
    </w:p>
    <w:p>
      <w:pPr>
        <w:spacing w:after="0" w:line="166"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3" w:right="37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II</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5. Market for Registrant’s Common Equity, Related Stockholder Maters and Issuer Purchases of Equity Securites.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Our common stock has traded on the Nasdaq Global Select Market under the symbol “EXEL” since April 11, 2000.</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Holders</w:t>
      </w:r>
    </w:p>
    <w:p>
      <w:pPr>
        <w:spacing w:after="0" w:line="163"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On February 3, 2025, there were 305 holders of record of our common stock. The number of record holders is based upon the actual number of holders registered on our books at such date and does not include holders of shares in “street names” or persons, partnerships, associatons, corporatons or other enttes identfed in security positon listngs maintained by depository trust companies.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Dividends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Since incepton, we have not paid dividends on our common stock. We currently do not plan to pay any cash dividends in the foreseeable future. Any future determinaton to pay dividends will be at the discreton of our Board of Directors.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Unregistered Sales of Equity Securites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There were no unregistered sales of equity securites by us during the year ended December 31, 2024.</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 Repurchase Programs</w:t>
      </w:r>
    </w:p>
    <w:p>
      <w:pPr>
        <w:spacing w:after="0" w:line="163"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In January 2024, our Board of Directors authorized a stock repurchase program to acquire up to $450.0 million of our outstanding common stock before the end of 2024. As of June 30, 2024, we completed the repurchase of 20.3 million shares of common stock for an aggregate purchase price of $450.0 million pursuant to our stock repurchase program.</w:t>
      </w:r>
    </w:p>
    <w:p>
      <w:pPr>
        <w:spacing w:after="0" w:line="165" w:lineRule="exact"/>
        <w:rPr>
          <w:sz w:val="20"/>
          <w:szCs w:val="20"/>
          <w:color w:val="auto"/>
        </w:rPr>
      </w:pPr>
    </w:p>
    <w:p>
      <w:pPr>
        <w:ind w:right="180" w:firstLine="648"/>
        <w:spacing w:after="0" w:line="254" w:lineRule="auto"/>
        <w:rPr>
          <w:sz w:val="20"/>
          <w:szCs w:val="20"/>
          <w:color w:val="auto"/>
        </w:rPr>
      </w:pPr>
      <w:r>
        <w:rPr>
          <w:rFonts w:ascii="Calibri" w:cs="Calibri" w:eastAsia="Calibri" w:hAnsi="Calibri"/>
          <w:sz w:val="17"/>
          <w:szCs w:val="17"/>
          <w:color w:val="auto"/>
        </w:rPr>
        <w:t>In August 2024, our Board of Directors authorized a stock repurchase program to acquire up to $500.0 million of our outstanding common stock before the end of 2025. During the third and fourth quarter of 2024, we repurchased 6.1 million shares of common stock for an aggregate purchase price of $205.6 million. As of December 31, 2024, approximately $294.4 million remained available for future stock repurchases before the end of 2025.</w:t>
      </w:r>
    </w:p>
    <w:p>
      <w:pPr>
        <w:spacing w:after="0" w:line="151"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Stock repurchases under the program may be made from tme to tme through a variety of methods, which may include open market purchases, in block trades, 10b5-1 trading plans, accelerated share repurchase transactons, exchange transactons, or any combinaton of such methods. The tming and amount of any stock repurchases under the stock repurchase program will be based on a variety of factors, including ongoing assessments of the capital needs of the business, alternatve investment opportunites, the market price of our common stock and general market conditons. The program does not obligate us to acquire any partcular amount of our common stock, and the stock repurchase program may be modifed, suspended or discontnued at any tme without prior notce.</w:t>
      </w:r>
    </w:p>
    <w:p>
      <w:pPr>
        <w:spacing w:after="0" w:line="167" w:lineRule="exact"/>
        <w:rPr>
          <w:sz w:val="20"/>
          <w:szCs w:val="20"/>
          <w:color w:val="auto"/>
        </w:rPr>
      </w:pPr>
    </w:p>
    <w:p>
      <w:pPr>
        <w:ind w:right="220" w:firstLine="648"/>
        <w:spacing w:after="0" w:line="235" w:lineRule="auto"/>
        <w:rPr>
          <w:sz w:val="20"/>
          <w:szCs w:val="20"/>
          <w:color w:val="auto"/>
        </w:rPr>
      </w:pPr>
      <w:r>
        <w:rPr>
          <w:rFonts w:ascii="Calibri" w:cs="Calibri" w:eastAsia="Calibri" w:hAnsi="Calibri"/>
          <w:sz w:val="18"/>
          <w:szCs w:val="18"/>
          <w:color w:val="auto"/>
        </w:rPr>
        <w:t>The following table summarizes the stock repurchase actvity for the three months ended December 31, 2024 and the approximate dollar value of shares that may yet be purchased pursuant to our stock repurchase program (in thousands, except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Calibri" w:cs="Calibri" w:eastAsia="Calibri" w:hAnsi="Calibri"/>
                <w:sz w:val="16"/>
                <w:szCs w:val="16"/>
                <w:b w:val="1"/>
                <w:bCs w:val="1"/>
                <w:color w:val="auto"/>
              </w:rPr>
              <w:t>Total Number of Shares</w:t>
            </w:r>
          </w:p>
        </w:tc>
        <w:tc>
          <w:tcPr>
            <w:tcW w:w="10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Calibri" w:cs="Calibri" w:eastAsia="Calibri" w:hAnsi="Calibri"/>
                <w:sz w:val="16"/>
                <w:szCs w:val="16"/>
                <w:b w:val="1"/>
                <w:bCs w:val="1"/>
                <w:color w:val="auto"/>
              </w:rPr>
              <w:t>Approximate Dollar Value</w:t>
            </w:r>
          </w:p>
        </w:tc>
      </w:tr>
      <w:tr>
        <w:trPr>
          <w:trHeight w:val="194"/>
        </w:trPr>
        <w:tc>
          <w:tcPr>
            <w:tcW w:w="3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Purchased as Part of</w:t>
            </w:r>
          </w:p>
        </w:tc>
        <w:tc>
          <w:tcPr>
            <w:tcW w:w="100" w:type="dxa"/>
            <w:vAlign w:val="bottom"/>
          </w:tcPr>
          <w:p>
            <w:pPr>
              <w:spacing w:after="0"/>
              <w:rPr>
                <w:sz w:val="16"/>
                <w:szCs w:val="16"/>
                <w:color w:val="auto"/>
              </w:rPr>
            </w:pPr>
          </w:p>
        </w:tc>
        <w:tc>
          <w:tcPr>
            <w:tcW w:w="178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w w:val="99"/>
              </w:rPr>
              <w:t>of Shares That May Yet Be</w:t>
            </w:r>
          </w:p>
        </w:tc>
      </w:tr>
      <w:tr>
        <w:trPr>
          <w:trHeight w:val="198"/>
        </w:trPr>
        <w:tc>
          <w:tcPr>
            <w:tcW w:w="3820" w:type="dxa"/>
            <w:vAlign w:val="bottom"/>
          </w:tcPr>
          <w:p>
            <w:pPr>
              <w:spacing w:after="0"/>
              <w:rPr>
                <w:sz w:val="17"/>
                <w:szCs w:val="17"/>
                <w:color w:val="auto"/>
              </w:rPr>
            </w:pPr>
          </w:p>
        </w:tc>
        <w:tc>
          <w:tcPr>
            <w:tcW w:w="1800" w:type="dxa"/>
            <w:vAlign w:val="bottom"/>
          </w:tcPr>
          <w:p>
            <w:pPr>
              <w:jc w:val="right"/>
              <w:ind w:right="33"/>
              <w:spacing w:after="0"/>
              <w:rPr>
                <w:sz w:val="20"/>
                <w:szCs w:val="20"/>
                <w:color w:val="auto"/>
              </w:rPr>
            </w:pPr>
            <w:r>
              <w:rPr>
                <w:rFonts w:ascii="Calibri" w:cs="Calibri" w:eastAsia="Calibri" w:hAnsi="Calibri"/>
                <w:sz w:val="16"/>
                <w:szCs w:val="16"/>
                <w:b w:val="1"/>
                <w:bCs w:val="1"/>
                <w:color w:val="auto"/>
              </w:rPr>
              <w:t>Total Number of 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Calibri" w:cs="Calibri" w:eastAsia="Calibri" w:hAnsi="Calibri"/>
                <w:sz w:val="16"/>
                <w:szCs w:val="16"/>
                <w:b w:val="1"/>
                <w:bCs w:val="1"/>
                <w:color w:val="auto"/>
              </w:rPr>
              <w:t>Average Price Paid per</w:t>
            </w:r>
          </w:p>
        </w:tc>
        <w:tc>
          <w:tcPr>
            <w:tcW w:w="1780" w:type="dxa"/>
            <w:vAlign w:val="bottom"/>
          </w:tcPr>
          <w:p>
            <w:pPr>
              <w:jc w:val="center"/>
              <w:spacing w:after="0"/>
              <w:rPr>
                <w:sz w:val="20"/>
                <w:szCs w:val="20"/>
                <w:color w:val="auto"/>
              </w:rPr>
            </w:pPr>
            <w:r>
              <w:rPr>
                <w:rFonts w:ascii="Calibri" w:cs="Calibri" w:eastAsia="Calibri" w:hAnsi="Calibri"/>
                <w:sz w:val="16"/>
                <w:szCs w:val="16"/>
                <w:b w:val="1"/>
                <w:bCs w:val="1"/>
                <w:color w:val="auto"/>
              </w:rPr>
              <w:t>Publicly Announced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ind w:right="94"/>
              <w:spacing w:after="0"/>
              <w:rPr>
                <w:sz w:val="20"/>
                <w:szCs w:val="20"/>
                <w:color w:val="auto"/>
              </w:rPr>
            </w:pPr>
            <w:r>
              <w:rPr>
                <w:rFonts w:ascii="Calibri" w:cs="Calibri" w:eastAsia="Calibri" w:hAnsi="Calibri"/>
                <w:sz w:val="16"/>
                <w:szCs w:val="16"/>
                <w:b w:val="1"/>
                <w:bCs w:val="1"/>
                <w:color w:val="auto"/>
              </w:rPr>
              <w:t>Purchased Under the</w:t>
            </w:r>
          </w:p>
        </w:tc>
      </w:tr>
      <w:tr>
        <w:trPr>
          <w:trHeight w:val="193"/>
        </w:trPr>
        <w:tc>
          <w:tcPr>
            <w:tcW w:w="3820" w:type="dxa"/>
            <w:vAlign w:val="bottom"/>
          </w:tcPr>
          <w:p>
            <w:pPr>
              <w:spacing w:after="0"/>
              <w:rPr>
                <w:sz w:val="16"/>
                <w:szCs w:val="16"/>
                <w:color w:val="auto"/>
              </w:rPr>
            </w:pPr>
          </w:p>
        </w:tc>
        <w:tc>
          <w:tcPr>
            <w:tcW w:w="1800" w:type="dxa"/>
            <w:vAlign w:val="bottom"/>
          </w:tcPr>
          <w:p>
            <w:pPr>
              <w:jc w:val="right"/>
              <w:ind w:right="473"/>
              <w:spacing w:after="0" w:line="193" w:lineRule="exact"/>
              <w:rPr>
                <w:sz w:val="20"/>
                <w:szCs w:val="20"/>
                <w:color w:val="auto"/>
              </w:rPr>
            </w:pPr>
            <w:r>
              <w:rPr>
                <w:rFonts w:ascii="Calibri" w:cs="Calibri" w:eastAsia="Calibri" w:hAnsi="Calibri"/>
                <w:sz w:val="16"/>
                <w:szCs w:val="16"/>
                <w:b w:val="1"/>
                <w:bCs w:val="1"/>
                <w:color w:val="auto"/>
              </w:rPr>
              <w:t>Purchased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40"/>
              <w:spacing w:after="0" w:line="193" w:lineRule="exact"/>
              <w:rPr>
                <w:sz w:val="20"/>
                <w:szCs w:val="20"/>
                <w:color w:val="auto"/>
              </w:rPr>
            </w:pPr>
            <w:r>
              <w:rPr>
                <w:rFonts w:ascii="Calibri" w:cs="Calibri" w:eastAsia="Calibri" w:hAnsi="Calibri"/>
                <w:sz w:val="16"/>
                <w:szCs w:val="16"/>
                <w:b w:val="1"/>
                <w:bCs w:val="1"/>
                <w:color w:val="auto"/>
              </w:rPr>
              <w:t>Share</w:t>
            </w:r>
          </w:p>
        </w:tc>
        <w:tc>
          <w:tcPr>
            <w:tcW w:w="17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Program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ind w:right="514"/>
              <w:spacing w:after="0" w:line="193" w:lineRule="exact"/>
              <w:rPr>
                <w:sz w:val="20"/>
                <w:szCs w:val="20"/>
                <w:color w:val="auto"/>
              </w:rPr>
            </w:pPr>
            <w:r>
              <w:rPr>
                <w:rFonts w:ascii="Calibri" w:cs="Calibri" w:eastAsia="Calibri" w:hAnsi="Calibri"/>
                <w:sz w:val="16"/>
                <w:szCs w:val="16"/>
                <w:b w:val="1"/>
                <w:bCs w:val="1"/>
                <w:color w:val="auto"/>
              </w:rPr>
              <w:t>Program</w:t>
            </w:r>
          </w:p>
        </w:tc>
      </w:tr>
      <w:tr>
        <w:trPr>
          <w:trHeight w:val="55"/>
        </w:trPr>
        <w:tc>
          <w:tcPr>
            <w:tcW w:w="382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23"/>
        </w:trPr>
        <w:tc>
          <w:tcPr>
            <w:tcW w:w="382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September 28, 2024 - November 1, 2024</w:t>
            </w:r>
          </w:p>
        </w:tc>
        <w:tc>
          <w:tcPr>
            <w:tcW w:w="18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6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6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470,511</w:t>
            </w:r>
          </w:p>
        </w:tc>
      </w:tr>
      <w:tr>
        <w:trPr>
          <w:trHeight w:val="222"/>
        </w:trPr>
        <w:tc>
          <w:tcPr>
            <w:tcW w:w="3820" w:type="dxa"/>
            <w:vAlign w:val="bottom"/>
          </w:tcPr>
          <w:p>
            <w:pPr>
              <w:ind w:left="20"/>
              <w:spacing w:after="0" w:line="215" w:lineRule="exact"/>
              <w:rPr>
                <w:sz w:val="20"/>
                <w:szCs w:val="20"/>
                <w:color w:val="auto"/>
              </w:rPr>
            </w:pPr>
            <w:r>
              <w:rPr>
                <w:rFonts w:ascii="Calibri" w:cs="Calibri" w:eastAsia="Calibri" w:hAnsi="Calibri"/>
                <w:sz w:val="18"/>
                <w:szCs w:val="18"/>
                <w:color w:val="auto"/>
              </w:rPr>
              <w:t>November 2, 2024 - November 29, 2024</w:t>
            </w:r>
          </w:p>
        </w:tc>
        <w:tc>
          <w:tcPr>
            <w:tcW w:w="1800" w:type="dxa"/>
            <w:vAlign w:val="bottom"/>
          </w:tcPr>
          <w:p>
            <w:pPr>
              <w:jc w:val="right"/>
              <w:spacing w:after="0" w:line="215" w:lineRule="exact"/>
              <w:rPr>
                <w:sz w:val="20"/>
                <w:szCs w:val="20"/>
                <w:color w:val="auto"/>
              </w:rPr>
            </w:pPr>
            <w:r>
              <w:rPr>
                <w:rFonts w:ascii="Calibri" w:cs="Calibri" w:eastAsia="Calibri" w:hAnsi="Calibri"/>
                <w:sz w:val="18"/>
                <w:szCs w:val="18"/>
                <w:color w:val="auto"/>
              </w:rPr>
              <w:t>2,390</w:t>
            </w:r>
          </w:p>
        </w:tc>
        <w:tc>
          <w:tcPr>
            <w:tcW w:w="2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35.24</w:t>
            </w:r>
          </w:p>
        </w:tc>
        <w:tc>
          <w:tcPr>
            <w:tcW w:w="100" w:type="dxa"/>
            <w:vAlign w:val="bottom"/>
          </w:tcPr>
          <w:p>
            <w:pPr>
              <w:spacing w:after="0"/>
              <w:rPr>
                <w:sz w:val="19"/>
                <w:szCs w:val="19"/>
                <w:color w:val="auto"/>
              </w:rPr>
            </w:pPr>
          </w:p>
        </w:tc>
        <w:tc>
          <w:tcPr>
            <w:tcW w:w="1780" w:type="dxa"/>
            <w:vAlign w:val="bottom"/>
          </w:tcPr>
          <w:p>
            <w:pPr>
              <w:jc w:val="right"/>
              <w:spacing w:after="0" w:line="215" w:lineRule="exact"/>
              <w:rPr>
                <w:sz w:val="20"/>
                <w:szCs w:val="20"/>
                <w:color w:val="auto"/>
              </w:rPr>
            </w:pPr>
            <w:r>
              <w:rPr>
                <w:rFonts w:ascii="Calibri" w:cs="Calibri" w:eastAsia="Calibri" w:hAnsi="Calibri"/>
                <w:sz w:val="18"/>
                <w:szCs w:val="18"/>
                <w:color w:val="auto"/>
              </w:rPr>
              <w:t>2,390</w:t>
            </w:r>
          </w:p>
        </w:tc>
        <w:tc>
          <w:tcPr>
            <w:tcW w:w="24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w:t>
            </w:r>
          </w:p>
        </w:tc>
        <w:tc>
          <w:tcPr>
            <w:tcW w:w="1640" w:type="dxa"/>
            <w:vAlign w:val="bottom"/>
          </w:tcPr>
          <w:p>
            <w:pPr>
              <w:jc w:val="right"/>
              <w:spacing w:after="0" w:line="215" w:lineRule="exact"/>
              <w:rPr>
                <w:sz w:val="20"/>
                <w:szCs w:val="20"/>
                <w:color w:val="auto"/>
              </w:rPr>
            </w:pPr>
            <w:r>
              <w:rPr>
                <w:rFonts w:ascii="Calibri" w:cs="Calibri" w:eastAsia="Calibri" w:hAnsi="Calibri"/>
                <w:sz w:val="18"/>
                <w:szCs w:val="18"/>
                <w:color w:val="auto"/>
              </w:rPr>
              <w:t>386,277</w:t>
            </w:r>
          </w:p>
        </w:tc>
      </w:tr>
      <w:tr>
        <w:trPr>
          <w:trHeight w:val="237"/>
        </w:trPr>
        <w:tc>
          <w:tcPr>
            <w:tcW w:w="38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November 30, 2024 - January 3, 2025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2,654</w:t>
            </w:r>
          </w:p>
        </w:tc>
        <w:tc>
          <w:tcPr>
            <w:tcW w:w="22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34.64</w:t>
            </w:r>
          </w:p>
        </w:tc>
        <w:tc>
          <w:tcPr>
            <w:tcW w:w="100" w:type="dxa"/>
            <w:vAlign w:val="bottom"/>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2,654</w:t>
            </w:r>
          </w:p>
        </w:tc>
        <w:tc>
          <w:tcPr>
            <w:tcW w:w="240" w:type="dxa"/>
            <w:vAlign w:val="bottom"/>
            <w:gridSpan w:val="2"/>
            <w:shd w:val="clear" w:color="auto" w:fill="CCEEFF"/>
          </w:tcPr>
          <w:p>
            <w:pPr>
              <w:ind w:left="120"/>
              <w:spacing w:after="0"/>
              <w:rPr>
                <w:sz w:val="20"/>
                <w:szCs w:val="20"/>
                <w:color w:val="auto"/>
              </w:rPr>
            </w:pPr>
            <w:r>
              <w:rPr>
                <w:rFonts w:ascii="Calibri" w:cs="Calibri" w:eastAsia="Calibri" w:hAnsi="Calibri"/>
                <w:sz w:val="18"/>
                <w:szCs w:val="18"/>
                <w:color w:val="auto"/>
              </w:rPr>
              <w:t>$</w:t>
            </w:r>
          </w:p>
        </w:tc>
        <w:tc>
          <w:tcPr>
            <w:tcW w:w="16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294,361</w:t>
            </w:r>
          </w:p>
        </w:tc>
      </w:tr>
      <w:tr>
        <w:trPr>
          <w:trHeight w:val="216"/>
        </w:trPr>
        <w:tc>
          <w:tcPr>
            <w:tcW w:w="3820" w:type="dxa"/>
            <w:vAlign w:val="bottom"/>
          </w:tcPr>
          <w:p>
            <w:pPr>
              <w:ind w:left="220"/>
              <w:spacing w:after="0" w:line="199" w:lineRule="exact"/>
              <w:rPr>
                <w:sz w:val="20"/>
                <w:szCs w:val="20"/>
                <w:color w:val="auto"/>
              </w:rPr>
            </w:pPr>
            <w:r>
              <w:rPr>
                <w:rFonts w:ascii="Calibri" w:cs="Calibri" w:eastAsia="Calibri" w:hAnsi="Calibri"/>
                <w:sz w:val="18"/>
                <w:szCs w:val="18"/>
                <w:color w:val="auto"/>
              </w:rPr>
              <w:t>Total</w:t>
            </w:r>
          </w:p>
        </w:tc>
        <w:tc>
          <w:tcPr>
            <w:tcW w:w="1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7"/>
        </w:trPr>
        <w:tc>
          <w:tcPr>
            <w:tcW w:w="38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This performance graph shall not be deemed “fled” for purposes of Secton 18 of the Securites Exchange Act of 1934, as amended, or otherwise subject to the liabilites under that Secton and shall not be deemed to be incorporated by reference into any fling of ours under the Securites Act of 1933, as amended.</w:t>
      </w:r>
    </w:p>
    <w:p>
      <w:pPr>
        <w:spacing w:after="0" w:line="165" w:lineRule="exact"/>
        <w:rPr>
          <w:sz w:val="20"/>
          <w:szCs w:val="20"/>
          <w:color w:val="auto"/>
        </w:rPr>
      </w:pPr>
    </w:p>
    <w:p>
      <w:pPr>
        <w:ind w:right="180" w:firstLine="648"/>
        <w:spacing w:after="0" w:line="235" w:lineRule="auto"/>
        <w:rPr>
          <w:sz w:val="20"/>
          <w:szCs w:val="20"/>
          <w:color w:val="auto"/>
        </w:rPr>
      </w:pPr>
      <w:r>
        <w:rPr>
          <w:rFonts w:ascii="Calibri" w:cs="Calibri" w:eastAsia="Calibri" w:hAnsi="Calibri"/>
          <w:sz w:val="18"/>
          <w:szCs w:val="18"/>
          <w:color w:val="auto"/>
        </w:rPr>
        <w:t>The following graph compares, for the fve-year period ended December 31, 2024, the cumulatve total return for our common stock, the Nasdaq Composite Index and the Nasdaq Biotechnology Index. The graph assumes that $100 was invested on December 31, 2019 in each of our common stock, the Nasdaq Composite Total Return Index and the Nasdaq Biotechnology Total Return Index and assumes reinvestment of any dividends. The stock price performance on the following graph is not necessarily indicatve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119380</wp:posOffset>
            </wp:positionV>
            <wp:extent cx="5254625" cy="3257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320"/>
              <w:spacing w:after="0"/>
              <w:rPr>
                <w:sz w:val="20"/>
                <w:szCs w:val="20"/>
                <w:color w:val="auto"/>
              </w:rPr>
            </w:pPr>
            <w:r>
              <w:rPr>
                <w:rFonts w:ascii="Calibri" w:cs="Calibri" w:eastAsia="Calibri" w:hAnsi="Calibri"/>
                <w:sz w:val="16"/>
                <w:szCs w:val="16"/>
                <w:b w:val="1"/>
                <w:bCs w:val="1"/>
                <w:color w:val="auto"/>
              </w:rPr>
              <w:t>Year Ended December 31,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1"/>
        </w:trPr>
        <w:tc>
          <w:tcPr>
            <w:tcW w:w="40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5"/>
        </w:trPr>
        <w:tc>
          <w:tcPr>
            <w:tcW w:w="40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2019</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2020</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2021</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Calibri" w:cs="Calibri" w:eastAsia="Calibri" w:hAnsi="Calibri"/>
                <w:sz w:val="16"/>
                <w:szCs w:val="16"/>
                <w:b w:val="1"/>
                <w:bCs w:val="1"/>
                <w:color w:val="auto"/>
              </w:rPr>
              <w:t>2022</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2024</w:t>
            </w:r>
          </w:p>
        </w:tc>
      </w:tr>
      <w:tr>
        <w:trPr>
          <w:trHeight w:val="41"/>
        </w:trPr>
        <w:tc>
          <w:tcPr>
            <w:tcW w:w="40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404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Exelixis, Inc.</w:t>
            </w:r>
          </w:p>
        </w:tc>
        <w:tc>
          <w:tcPr>
            <w:tcW w:w="110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4"/>
              </w:rPr>
              <w:t>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rPr>
              <w:t>118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rPr>
              <w:t>107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8"/>
              </w:rPr>
              <w:t>94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4"/>
              </w:rPr>
              <w:t>141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rPr>
              <w:t>200</w:t>
            </w:r>
          </w:p>
        </w:tc>
      </w:tr>
      <w:tr>
        <w:trPr>
          <w:trHeight w:val="222"/>
        </w:trPr>
        <w:tc>
          <w:tcPr>
            <w:tcW w:w="4040" w:type="dxa"/>
            <w:vAlign w:val="bottom"/>
          </w:tcPr>
          <w:p>
            <w:pPr>
              <w:ind w:left="20"/>
              <w:spacing w:after="0" w:line="215" w:lineRule="exact"/>
              <w:rPr>
                <w:sz w:val="20"/>
                <w:szCs w:val="20"/>
                <w:color w:val="auto"/>
              </w:rPr>
            </w:pPr>
            <w:r>
              <w:rPr>
                <w:rFonts w:ascii="Calibri" w:cs="Calibri" w:eastAsia="Calibri" w:hAnsi="Calibri"/>
                <w:sz w:val="18"/>
                <w:szCs w:val="18"/>
                <w:color w:val="auto"/>
              </w:rPr>
              <w:t>Nasdaq Composite Total Return</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100</w:t>
            </w:r>
          </w:p>
        </w:tc>
        <w:tc>
          <w:tcPr>
            <w:tcW w:w="100" w:type="dxa"/>
            <w:vAlign w:val="bottom"/>
          </w:tcPr>
          <w:p>
            <w:pPr>
              <w:spacing w:after="0"/>
              <w:rPr>
                <w:sz w:val="19"/>
                <w:szCs w:val="19"/>
                <w:color w:val="auto"/>
              </w:rPr>
            </w:pPr>
          </w:p>
        </w:tc>
        <w:tc>
          <w:tcPr>
            <w:tcW w:w="1120" w:type="dxa"/>
            <w:vAlign w:val="bottom"/>
          </w:tcPr>
          <w:p>
            <w:pPr>
              <w:jc w:val="center"/>
              <w:spacing w:after="0" w:line="215" w:lineRule="exact"/>
              <w:rPr>
                <w:sz w:val="20"/>
                <w:szCs w:val="20"/>
                <w:color w:val="auto"/>
              </w:rPr>
            </w:pPr>
            <w:r>
              <w:rPr>
                <w:rFonts w:ascii="Calibri" w:cs="Calibri" w:eastAsia="Calibri" w:hAnsi="Calibri"/>
                <w:sz w:val="18"/>
                <w:szCs w:val="18"/>
                <w:color w:val="auto"/>
              </w:rPr>
              <w:t>144</w:t>
            </w:r>
          </w:p>
        </w:tc>
        <w:tc>
          <w:tcPr>
            <w:tcW w:w="100" w:type="dxa"/>
            <w:vAlign w:val="bottom"/>
          </w:tcPr>
          <w:p>
            <w:pPr>
              <w:spacing w:after="0"/>
              <w:rPr>
                <w:sz w:val="19"/>
                <w:szCs w:val="19"/>
                <w:color w:val="auto"/>
              </w:rPr>
            </w:pP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rPr>
              <w:t>176</w:t>
            </w:r>
          </w:p>
        </w:tc>
        <w:tc>
          <w:tcPr>
            <w:tcW w:w="120" w:type="dxa"/>
            <w:vAlign w:val="bottom"/>
          </w:tcPr>
          <w:p>
            <w:pPr>
              <w:spacing w:after="0"/>
              <w:rPr>
                <w:sz w:val="19"/>
                <w:szCs w:val="19"/>
                <w:color w:val="auto"/>
              </w:rPr>
            </w:pP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119</w:t>
            </w:r>
          </w:p>
        </w:tc>
        <w:tc>
          <w:tcPr>
            <w:tcW w:w="120" w:type="dxa"/>
            <w:vAlign w:val="bottom"/>
          </w:tcPr>
          <w:p>
            <w:pPr>
              <w:spacing w:after="0"/>
              <w:rPr>
                <w:sz w:val="19"/>
                <w:szCs w:val="19"/>
                <w:color w:val="auto"/>
              </w:rPr>
            </w:pPr>
          </w:p>
        </w:tc>
        <w:tc>
          <w:tcPr>
            <w:tcW w:w="112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172</w:t>
            </w:r>
          </w:p>
        </w:tc>
        <w:tc>
          <w:tcPr>
            <w:tcW w:w="100" w:type="dxa"/>
            <w:vAlign w:val="bottom"/>
          </w:tcPr>
          <w:p>
            <w:pPr>
              <w:spacing w:after="0"/>
              <w:rPr>
                <w:sz w:val="19"/>
                <w:szCs w:val="19"/>
                <w:color w:val="auto"/>
              </w:rPr>
            </w:pPr>
          </w:p>
        </w:tc>
        <w:tc>
          <w:tcPr>
            <w:tcW w:w="1120" w:type="dxa"/>
            <w:vAlign w:val="bottom"/>
          </w:tcPr>
          <w:p>
            <w:pPr>
              <w:jc w:val="center"/>
              <w:spacing w:after="0" w:line="215" w:lineRule="exact"/>
              <w:rPr>
                <w:sz w:val="20"/>
                <w:szCs w:val="20"/>
                <w:color w:val="auto"/>
              </w:rPr>
            </w:pPr>
            <w:r>
              <w:rPr>
                <w:rFonts w:ascii="Calibri" w:cs="Calibri" w:eastAsia="Calibri" w:hAnsi="Calibri"/>
                <w:sz w:val="18"/>
                <w:szCs w:val="18"/>
                <w:color w:val="auto"/>
              </w:rPr>
              <w:t>226</w:t>
            </w:r>
          </w:p>
        </w:tc>
      </w:tr>
      <w:tr>
        <w:trPr>
          <w:trHeight w:val="237"/>
        </w:trPr>
        <w:tc>
          <w:tcPr>
            <w:tcW w:w="40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Nasdaq Biotechnology Total Return</w:t>
            </w:r>
          </w:p>
        </w:tc>
        <w:tc>
          <w:tcPr>
            <w:tcW w:w="110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4"/>
              </w:rPr>
              <w:t>100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rPr>
              <w:t>129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rPr>
              <w:t>129</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4"/>
              </w:rPr>
              <w:t>116</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w w:val="94"/>
              </w:rPr>
              <w:t>121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Calibri" w:cs="Calibri" w:eastAsia="Calibri" w:hAnsi="Calibri"/>
                <w:sz w:val="18"/>
                <w:szCs w:val="18"/>
                <w:color w:val="auto"/>
              </w:rPr>
              <w:t>122</w:t>
            </w:r>
          </w:p>
        </w:tc>
      </w:tr>
    </w:tbl>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6. [Reserved]</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7. Management’s Discussion and Analysis of Financial Conditon and Results of Operatons.</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Some of the statements under “Management’s Discussion and Analysis of Financial Conditon and Results of Operatons” are forward-looking statements. These statements are based on our current expectatons, assumptons, estmates and projectons about our business and our industry and involve known and unknown risks, uncertaintes and other factors that may cause our company’s or our industry’s results, levels of actvity, performance or achievements to be materially diferent from any future results, levels of actvity, performance or achievements expressed or implied in, or contemplated by, the forward-looking statements. Our actual results and the tming of events may difer signifcantly from the results discussed in the forward-looking statements. Factors that might cause such a diference include those discussed in “Item 1A. Risk Factors” as well as those discussed elsewhere in this Annual Report on Form 10-K. These and many other factors could afect our future fnancial and operatng results. We undertake no obligaton to update any forward-looking statement to refect events afer the date of this report.</w:t>
      </w:r>
    </w:p>
    <w:p>
      <w:pPr>
        <w:sectPr>
          <w:pgSz w:w="11900" w:h="16838" w:orient="portrait"/>
          <w:cols w:equalWidth="0" w:num="1">
            <w:col w:w="11240"/>
          </w:cols>
          <w:pgMar w:left="320" w:top="2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63"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We are an oncology company innovatng next-generaton medicines and combinaton regimens at the forefront of cancer care. We have produced four marketed pharmaceutcal products, two of which are formulatons of our fagship molecule, cabozantnib, and we are steadily advancing and evolving our product pipeline portolio, including our lead asset zanzalintnib, currently the focus of an extensive late-stage clinical development program. With a ratonal and disciplined approach to investment, we are leveraging our internal experience and expertse, and the strength of strategic partnerships, to identfy and pursue opportunites across the landscape of scientfc modalites, including small molecules, biotherapeutcs and ADCs.</w:t>
      </w:r>
    </w:p>
    <w:p>
      <w:pPr>
        <w:spacing w:after="0" w:line="166"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Sales related to cabozantnib account for the majority of our revenues. Cabozantnib is an inhibitor of multple tyrosine kinases, including MET, AXL, VEGF receptors and RET and has been approved by the FDA and in 67 other countries: as CABOMETYX® (cabozantnib) tablets for advanced RCC (both alone and in combinaton with BMS’ nivolumab (OPDIVO®)), for previously treated HCC and for previously treated, RAI-refractory DTC; and as COMETRIQ® (cabozantnib) capsules for progressive, metastatc medullary thyroid cancer. For physicians treatng these types of cancer, cabozantnib has become or is becoming an important medicine in their selecton of efectve therapies.</w:t>
      </w:r>
    </w:p>
    <w:p>
      <w:pPr>
        <w:spacing w:after="0" w:line="166"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The other two products resultng from our discovery eforts are: COTELLIC® (cobimetnib), an inhibitor of MEK, approved as part of multple combinaton regimens to treat specifc forms of advanced melanoma and marketed under a collaboraton with Genentech (a member of the Roche Group); and MINNEBRO® (esaxerenone), an oral, non-steroidal, selectve blocker of the mineralocortcoid receptor, approved for the treatment of hypertension in Japan and licensed to Daiichi Sankyo Company, Limited.</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plan to contnue leveraging our operatng cash fows to advance a broad array of diverse biotherapeutcs and small molecule programs for the treatment of cancer, as well as to support ongoing company-sponsored and externally sponsored trials evaluatng cabozantnib. Furthest along in our pipeline is zanzalintnib, a novel, potent, third-generaton oral TKI that targets VEGF receptors, MET and the TAM kinases (TYRO3, AXL and MER). Our zanzalintnib program includes a series of ongoing and planned pivotal trials to explore its therapeutc potental in CRC, RCC, SCCHN and NET, as well as earlier-stage trials. Our other pipeline programs in phase 1 development each have best-in-class potental and include: XL309, a small molecule inhibitor of USP1, which has emerged as a synthetc lethal target in the context of BRCA-mutated tumors; XB010, an ADC consistng of a MMAE payload conjugated to a human mAb targetng the tumor antgen 5T4; and XL495, a small molecule inhibitor of PKMYT1. We complement our internal drug discovery and development eforts by in-licensing investgatonal oncology assets or obtaining optons to acquire other investgatonal oncology assets from third partes if those oncology assets demonstrate evidence of clinical success. Examples of this approach include XL309 and ADU-1805, a clinical-stage and potentally best-in-class human mAb that targets SIRPα.</w:t>
      </w:r>
    </w:p>
    <w:p>
      <w:pPr>
        <w:spacing w:after="0" w:line="166"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Cabozantnib Franchise</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 FDA frst approved CABOMETYX in the U.S. as a monotherapy for previously treated patents with advanced RCC in April 2016, and then for previously untreated patents with advanced RCC in December 2017. In January 2021, the CABOMETYX label was expanded to include frst-line advanced RCC in combinaton with nivolumab, which was the frst CABOMETYX regimen approved for treatment in combinaton with an ICI. In additon to RCC, in January 2019, the FDA approved CABOMETYX for the treatment of patents with HCC previously treated with sorafenib, and then in September 2021, the FDA approved CABOMETYX for the treatment of adult and pediatric patents 12 years of age and older with locally advanced or metastatc DTC that has progressed following prior VEGF receptor-targeted therapy and who are RAI-refractory or ineligible.</w:t>
      </w:r>
    </w:p>
    <w:p>
      <w:pPr>
        <w:spacing w:after="0" w:line="167" w:lineRule="exact"/>
        <w:rPr>
          <w:sz w:val="20"/>
          <w:szCs w:val="20"/>
          <w:color w:val="auto"/>
        </w:rPr>
      </w:pPr>
    </w:p>
    <w:p>
      <w:pPr>
        <w:ind w:right="100" w:firstLine="648"/>
        <w:spacing w:after="0" w:line="251" w:lineRule="auto"/>
        <w:rPr>
          <w:sz w:val="20"/>
          <w:szCs w:val="20"/>
          <w:color w:val="auto"/>
        </w:rPr>
      </w:pPr>
      <w:r>
        <w:rPr>
          <w:rFonts w:ascii="Calibri" w:cs="Calibri" w:eastAsia="Calibri" w:hAnsi="Calibri"/>
          <w:sz w:val="17"/>
          <w:szCs w:val="17"/>
          <w:color w:val="auto"/>
        </w:rPr>
        <w:t>The IRA introduced numerous substantal changes to drug pricing, reimbursement and access support in the U.S., including enabling the CMS to assert control over the prices of certain single-source drugs and biotherapeutcs reimbursed under the Medicare Drug Price Negotaton Program. The IRA contains the limited small biotech excepton. As of the date of this Annual Report on Form 10-K, CMS has informed us that we have qualifed for the small biotech excepton with respect to our cabozantnib franchise products through 2027 and we intend to apply to CMS to maintain the small biotech excepton each year through 2030. Separately, in November 2023, CMS released fnal guidance on another program, the Part D Discount Program, which will require manufacturers to take on more of the benefciary cost previously subsidized by the federal government through the applicaton of increased drug discounts. We have since received notce from CMS that we qualify for the "specifed small manufacturer” designaton and are thereby eligible for a phase-in of the increased manufacturer discounts under the Part D Discount Program, from 2025 to 2031. We expect the increase in manufacturer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3" w:right="39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discount will be 1% in 2025 and will further increase according to a schedule set by CMS untl we are required to pay the full 20% discount paid by other manufacturers in 2031.</w:t>
      </w:r>
    </w:p>
    <w:p>
      <w:pPr>
        <w:spacing w:after="0" w:line="164"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To develop and commercialize cabozantnib outside the U.S., we have entered into license agreements with Ipsen and Takeda. To Ipsen, we granted the rights to develop and commercialize cabozantnib outside of the U.S. and Japan, and to Takeda we granted such rights in Japan. Both Ipsen and Takeda also contribute fnancially and operatonally to the further global development and commercializaton of the cabozantnib franchise in other potental indicatons, and we work closely with them on these actvites. Utlizing its regulatory expertse and established internatonal oncology marketng network, Ipsen has contnued to execute on its commercializaton plans for CABOMETYX, having received regulatory approvals and launched in multple territories outside of the U.S., including in the EU, the United Kingdom and Canada, as a treatment for advanced RCC (both as a monotherapy and in combinaton with nivolumab) and for previously treated HCC and DTC indicatons. With respect to the Japanese market, Takeda received Manufacturing and Marketng Approvals from the Japanese PMDA for monotherapy CABOMETYX as a treatment of patents with curatvely unresectable or metastatc RCC and as a treatment of patents with unresectable HCC that has progressed afer cancer chemotherapy, as well as for CABOMETYX in combinaton with nivolumab as a treatment for unresectable or metastatc RCC.</w:t>
      </w:r>
    </w:p>
    <w:p>
      <w:pPr>
        <w:spacing w:after="0" w:line="170"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We are also pursuing other indicatons for cabozantnib that have the potental to increase the number of cancer patents who could potentally beneft from this medicine. In August 2023, we announced positve results from CABINET, a phase 3 pivotal study that evaluated cabozantnib versus placebo in patents with NET who experienced progression afer prior systemic therapy in two independently powered cohorts: one for patents with advanced pNET and another for patents with advanced epNET. The trial was unblinded and stopped early due to the dramatc improvement in efcacy with respect to the primary endpoint of PFS observed at interim analysis. Data from CABINET demonstrated that cabozantnib substantally prolonged PFS as assessed by blinded independent central review in both pNET and epNET cohorts, and that the safety profle of cabozantnib observed in the trial was consistent with its known safety profle. In August 2024, we announced that the FDA had accepted our sNDA seeking approval for cabozantnib to treat adult patents with previously treated, locally advanced/unresectable or metastatc, well- or moderately diferentated pNET or epNET, granted standard review in the U.S., and assigned a PDUFA target acton date of April 3, 2025. The FDA also granted orphan drug designaton to cabozantnib for the treatment of pNET. Detailed fnal results from CABINET were presented during the NETs and Endocrine Tumours Profered Paper Session at the ESMO 2024 and were concurrently published in NEJM. In November 2024, we announced that our sNDA would be discussed at an ODAC meetng in March 2025; however, in January 2025, we announced that the FDA had notfed us that our sNDA would no longer be the subject of discussion at an ODAC. CABINET was conducted by the Alliance through our CRADA with the NCI-CTEP, which along with our investgator-sponsored trial program, provides an avenue for independent investgatons of cabozantnib. The Alliance presented results from a subgroup analysis of patents in the epNET cohort with advanced gastrointestnal NET in CABINET at the ASCO GI 2025.</w:t>
      </w:r>
    </w:p>
    <w:p>
      <w:pPr>
        <w:spacing w:after="0" w:line="160"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Building on preclinical and clinical observatons that cabozantnib in combinaton with ICIs may promote a more immune-permissive tumor environment, we have initated several pivotal studies to further explore these combinaton regimens, including collaboratons with Roche and BMS. In August 2023, we announced positve top-line results from CONTACT-02, a phase 3 pivotal trial sponsored by us and co-funded by Roche, evaluatng the combinaton of cabozantnib and Roche’s ICI, atezolizumab, versus a second NHT in patents with measurable, extra-pelvic mCRPC who have progressed afer treatment with one prior NHT. The trial met one of two primary endpoints, demonstratng a statstcally signifcant improvement in PFS in the predefned PFS intent-to-treat populaton (i.e., the frst 400 randomized patents), and these data were presented at the American Society of Clinical Oncology Genitourinary Cancers Symposium in January 2024. For the second primary endpoint of OS, the fnal analysis for CONTACT-02, which was presented during the GU Tumours Profered Paper Session at ESMO 2024, showed a trend that favored the combinaton of cabozantnib and atezolizumab but was not statstcally signifcant. Of note, the trend in OS beneft was consistently observed in key subgroups, including in patents with liver metastases—a subgroup of mCRPC patents with the poorest prognosis in need of new treatment optons, and one we antcipate will grow in the coming years. The safety profle observed in the trial was refectve of the known safety profles for each single agent and was consistent with the known tolerability profle of approved ICI-TKI combinatons in advanced solid tumors. We contnue to evaluate the tming of a potental regulatory submission with the FDA. Both Ipsen and Takeda opted into and are co-funding the trial.</w:t>
      </w:r>
    </w:p>
    <w:p>
      <w:pPr>
        <w:spacing w:after="0" w:line="200" w:lineRule="exact"/>
        <w:rPr>
          <w:sz w:val="20"/>
          <w:szCs w:val="20"/>
          <w:color w:val="auto"/>
        </w:rPr>
      </w:pPr>
    </w:p>
    <w:p>
      <w:pPr>
        <w:ind w:firstLine="648"/>
        <w:spacing w:after="0" w:line="239" w:lineRule="auto"/>
        <w:rPr>
          <w:sz w:val="20"/>
          <w:szCs w:val="20"/>
          <w:color w:val="auto"/>
        </w:rPr>
      </w:pPr>
      <w:r>
        <w:rPr>
          <w:rFonts w:ascii="Calibri" w:cs="Calibri" w:eastAsia="Calibri" w:hAnsi="Calibri"/>
          <w:sz w:val="18"/>
          <w:szCs w:val="18"/>
          <w:color w:val="auto"/>
        </w:rPr>
        <w:t>In August 2024, we announced the fnal analysis for the secondary endpoint of OS for COSMIC-313, a phase 3 pivotal trial evaluatng the combinaton of cabozantnib, nivolumab and ipilimumab versus the combinaton of nivolumab and ipilimumab in patents with previously untreated advanced intermediate- or poor-risk RCC. At the fnal analysis, the experimental arm did not demonstrate an OS beneft over the control arm. Based on these results and the evoluton of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frst-line RCC treatment landscape since this study was initated in May 2019, Exelixis will not pursue marketng authorizaton for COSMIC-313. Data from the fnal analysis of OS in COSMIC-313 will be presented at the ASCO GU 2025.</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Pipeline Actvites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Zanzalintnib</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Zanzalintnib is a novel, potent, third-generaton oral TKI that targets VEGF receptors, MET and the TAM kinases (TYRO3, AXL and MER) implicated in cancer’s growth and spread, and is our frst in-house compound to enter the clinic following our re-initaton of drug discovery actvites in 2017. We are evaluatng zanzalintnib in a growing development program that builds on our prior experience with cabozantnib and targets indicatons with high unmet need. We have established collaboratons and will contnue to explore additonal opportunites for novel combinatons with zanzalintnib. To date, we have initated two large phase 1b/2 clinical trials studying zanzalintnib as a monotherapy and in combinaton with ICIs (STELLAR-001 and STELLAR-002). Patent enrollment into STELLAR-001 was completed in 2023 and preliminary results from a randomized expansion cohort of patents with metastatc CRC were presented at the ASCO GI 2025. We antcipate inital clinical data readouts from STELLAR-002 in the frst half of 2025. In additon, in December 2023, we initated STELLAR-009 studying zanzalintnib in combinaton with AB521, an inhibitor of HIF-2α developed by Arcus; however, enrollment into STELLAR-009 was halted as of September 2024 following the joint decision between us and Arcus to wind down the study and end our clinical collaboraton given the two companies’ difering strategies with respect to potental TKI-HIF combinaton regimens to treat RCC.</w:t>
      </w:r>
    </w:p>
    <w:p>
      <w:pPr>
        <w:spacing w:after="0" w:line="170"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have also initated three pivotal trials evaluatng zanzalintnib in combinaton with ICIs. Our frst such trial, STELLAR-303, was initated in June 2022 and is evaluatng zanzalintnib in combinaton with atezolizumab versus regorafenib in patents with metastatc, refractory non-microsatellite instability-high or non-mismatch repair-defcient CRC; we announced completon of enrollment into STELLAR-303 in August 2024, and preliminary results are expected in the second half of 2025. The second pivotal trial, STELLAR-304, was initated in December 2022 and is evaluatng zanzalintnib in combinaton with nivolumab versus sunitnib in previously untreated patents with advanced nccRCC; we antcipate completng enrollment into STELLAR-304 by mid-2025. In December 2023, we initated STELLAR-305, a phase 2/3 pivotal trial evaluatng zanzalintnib in combinaton with pembrolizumab, an ant-PD-1 ICI developed by Merck &amp; Co., versus monotherapy pembrolizumab in patents with previously untreated PD-L1-positve recurrent or metastatc SCCHN; enrollment into STELLAR-305 is ongoing. We intend to initate additonal pivotal trials evaluatng zanzalintnib across a broad array of future potental indicatons, including in STELLAR-311, a planned phase 3 pivotal trial evaluatng zanzalintnib versus everolimus as a frst oral therapy in patents with advanced NET, regardless of site of origin, which we antcipate initatng in the frst half of 2025.</w:t>
      </w:r>
    </w:p>
    <w:p>
      <w:pPr>
        <w:spacing w:after="0" w:line="170"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To further expand our exploraton of the clinical potental of zanzalintnib, we entered into a clinical development collaboraton with Merck to evaluate zanzalintnib in combinaton with KEYTRUDA® (pembrolizumab) in SCCHN and in combinaton with WELIREG® (belzutfan), Merck's oral HIF-2α inhibitor, in RCC. Under the collaboraton, Merck will supply KEYTRUDA for our ongoing phase 3 STELLAR-305 trial in SCCHN. In additon, Merck will sponsor a phase 1/2 trial and two phase 3 pivotal trials in RCC; Merck will fund one of these phase 3 studies, and we will co-fund the phase 1/2 study and the other phase 3 study, as well as supply zanzalintnib and cabozantnib. We maintain all global commercial and marketng rights to zanzalintnib.</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Biotherapeutcs</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Much of our drug discovery actvity focuses on discovering and advancing various biotherapeutcs that have the potental to become ant-cancer therapies, such as bispecifc antbodies, ADCs and other innovatve treatments. ADCs in partcular present a unique opportunity for new cancer treatments, given their capabilites to target the delivery of ant-cancer drug payloads to specifc cells expressing the target; this increased precision should minimize collateral impact on healthy tssues that do not express the target. This approach has been validated by multple regulatory approvals of ADCs in the past several years. To facilitate the growth of our various biotherapeutcs programs, we have established multple research collaboratons and in-licensing arrangements and have entered into other strategic transactons aimed at conserving capital and managing risks, collectvely providing us access to antbodies, binders, payloads and conjugaton technologies to generate next-generaton ADCs or multspecifc antbodies.</w:t>
      </w:r>
    </w:p>
    <w:p>
      <w:pPr>
        <w:spacing w:after="0" w:line="168"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As part of our strategy to access clinical- or near-clinical-stage assets, we executed an exclusive opton and license agreement and clinical development collaboraton with Sairopa to develop ADU-1805. ADU-1805 is currently being evaluated in a phase 1 clinical trial in patents with advanced or metastatc refractory solid tumors, and enrollment is ongoing. Plans for ADU-1805 include investgatng the compound’s potental in combinaton with approved ICIs, including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3" w:right="41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color w:val="auto"/>
        </w:rPr>
        <w:t>pembrolizumab. In additon to the opton deal with Sairopa, some of our actve research collaboratons for biotherapeutcs programs are with:</w:t>
      </w:r>
    </w:p>
    <w:p>
      <w:pPr>
        <w:spacing w:after="0" w:line="49" w:lineRule="exact"/>
        <w:rPr>
          <w:sz w:val="20"/>
          <w:szCs w:val="20"/>
          <w:color w:val="auto"/>
        </w:rPr>
      </w:pPr>
    </w:p>
    <w:p>
      <w:pPr>
        <w:ind w:left="660" w:right="440" w:hanging="328"/>
        <w:spacing w:after="0" w:line="209" w:lineRule="auto"/>
        <w:tabs>
          <w:tab w:leader="none" w:pos="65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Adagene, which is focused on using Adagene’s SAFEbody</w:t>
      </w:r>
      <w:r>
        <w:rPr>
          <w:rFonts w:ascii="Calibri" w:cs="Calibri" w:eastAsia="Calibri" w:hAnsi="Calibri"/>
          <w:sz w:val="23"/>
          <w:szCs w:val="23"/>
          <w:color w:val="auto"/>
          <w:vertAlign w:val="superscript"/>
        </w:rPr>
        <w:t>TM</w:t>
      </w:r>
      <w:r>
        <w:rPr>
          <w:rFonts w:ascii="Calibri" w:cs="Calibri" w:eastAsia="Calibri" w:hAnsi="Calibri"/>
          <w:sz w:val="18"/>
          <w:szCs w:val="18"/>
          <w:color w:val="auto"/>
        </w:rPr>
        <w:t xml:space="preserve"> technology to develop novel masked ADCs or other innovatve biotherapeutcs with potental for improved therapeutc index;</w:t>
      </w:r>
    </w:p>
    <w:p>
      <w:pPr>
        <w:spacing w:after="0" w:line="56" w:lineRule="exact"/>
        <w:rPr>
          <w:rFonts w:ascii="Calibri" w:cs="Calibri" w:eastAsia="Calibri" w:hAnsi="Calibri"/>
          <w:sz w:val="18"/>
          <w:szCs w:val="18"/>
          <w:color w:val="auto"/>
        </w:rPr>
      </w:pPr>
    </w:p>
    <w:p>
      <w:pPr>
        <w:ind w:left="660" w:right="320" w:hanging="328"/>
        <w:spacing w:after="0" w:line="235" w:lineRule="auto"/>
        <w:tabs>
          <w:tab w:leader="none" w:pos="65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Catalent, which is focused on the discovery and development of multple ADCs using Catalent’s proprietary SMARTag site-specifc bioconjugaton technology;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Invenra, which is focused on the discovery and development of novel binders and multspecifc antbodies for the treatment of cancer.</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We have made signifcant progress under our research collaboratons and in-licensing arrangements and believe we will contnue to do so in 2025 and in future years. For example, in August 2024, we announced the initaton of a phase 1 clinical trial evaluatng XB010, both as a monotherapy and in combinaton with pembrolizumab, in patents with advanced solid tumors, following the FDA’s acceptance of our IND applicaton, and enrollment is ongoing. XB010 is our frst ADC advanced internally and consists of an MMAE payload conjugated to a mAb targetng the tumor antgen 5T4. XB010 was constructed using Catalent’s SMARTag site-specifc bioconjugaton platorm, and its 5T4-targetng mAb was discovered in collaboraton with Invenra. Over the next two years, we also intend to advance four additonal biotherapeutc candidates toward potental IND flings, and each of these candidates was discovered, in part, in connecton with our research collaboratons and in-licensing arrangements, including: XB628, a bispecifc antbody that targets both PD-L1 and NKG2A; XB371, a next-generaton TF-targetng ADC that consists of a topoisomerase inhibitor payload conjugated to a mAb targetng TF; XB064, a high-afnity mAb that targets ILT2; and XB033, an ADC targetng the tumor antgen IL13Rα2.</w:t>
      </w:r>
    </w:p>
    <w:p>
      <w:pPr>
        <w:spacing w:after="0" w:line="170"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color w:val="auto"/>
        </w:rPr>
        <w:t>In August 2024, we announced that we will discontnue the development of XB002, our TF-targetng ADC, as part of our portolio prioritzaton eforts. Based on available data, the compound is unlikely to improve upon tsotumab vedotn or other compettor TF-targetng ADCs currently in development. We plan to disclose data from the phase 1 JEWEL-101 study, evaluatng XB002 in advance solid tumors, at a later date. We plan to reallocate resources to new pivotal trials with zanzalintnib, advancing XL309 and our growing pipeline.</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Other Small Molecules</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The knowledge and experience gained through our eforts to discover cabozantnib, cobimetnib and esaxerenone, each of which were approved by regulatory authorites and are commercially distributed, informs our current strategy for discovering and developing additonal small molecules with the potental to treat cancer:</w:t>
      </w:r>
    </w:p>
    <w:p>
      <w:pPr>
        <w:spacing w:after="0" w:line="57" w:lineRule="exact"/>
        <w:rPr>
          <w:sz w:val="20"/>
          <w:szCs w:val="20"/>
          <w:color w:val="auto"/>
        </w:rPr>
      </w:pPr>
    </w:p>
    <w:p>
      <w:pPr>
        <w:ind w:left="660" w:right="200" w:hanging="328"/>
        <w:spacing w:after="0" w:line="235"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XL309 is a potentally best-in-class small molecule inhibitor of USP1, a synthetc lethal target in the context of BRCA-mutated tumors. It is currently being evaluated in a phase 1 clinical trial as monotherapy and in combinaton with PARP1/2 inhibiton in patents with advanced solid tumors; enrollment is ongoing. XL309 has potental in patents whose tumors are no longer responsive to PARPi, including ovarian, breast and prostate cancers. XL309 also has potental in combinaton with PARPi agents to deepen and prolong the response seen to PARPi, as well as to broaden the actvity beyond that observed in patents with tumors that harbor a BRCA1/2 mutaton.</w:t>
      </w:r>
    </w:p>
    <w:p>
      <w:pPr>
        <w:spacing w:after="0" w:line="58" w:lineRule="exact"/>
        <w:rPr>
          <w:rFonts w:ascii="Calibri" w:cs="Calibri" w:eastAsia="Calibri" w:hAnsi="Calibri"/>
          <w:sz w:val="18"/>
          <w:szCs w:val="18"/>
          <w:color w:val="auto"/>
        </w:rPr>
      </w:pPr>
    </w:p>
    <w:p>
      <w:pPr>
        <w:ind w:left="660" w:right="360" w:hanging="328"/>
        <w:spacing w:after="0" w:line="235"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XL495 is an inhibitor of PKMYT1 with best-in-class potental to treat solid tumors due to its improved selectvity and pharmacokinetc profles. In October 2024, we announced the initaton of a phase 1 clinical trial evaluatng XL495, both as a monotherapy and in combinaton with select cytotoxic agents, in patents with advanced solid tumors, following the FDA’s acceptance of our IND applicaton.</w:t>
      </w:r>
    </w:p>
    <w:p>
      <w:pPr>
        <w:spacing w:after="0" w:line="165" w:lineRule="exact"/>
        <w:rPr>
          <w:sz w:val="20"/>
          <w:szCs w:val="20"/>
          <w:color w:val="auto"/>
        </w:rPr>
      </w:pPr>
    </w:p>
    <w:p>
      <w:pPr>
        <w:ind w:right="80" w:firstLine="648"/>
        <w:spacing w:after="0" w:line="258" w:lineRule="auto"/>
        <w:rPr>
          <w:sz w:val="20"/>
          <w:szCs w:val="20"/>
          <w:color w:val="auto"/>
        </w:rPr>
      </w:pPr>
      <w:r>
        <w:rPr>
          <w:rFonts w:ascii="Calibri" w:cs="Calibri" w:eastAsia="Calibri" w:hAnsi="Calibri"/>
          <w:sz w:val="17"/>
          <w:szCs w:val="17"/>
          <w:color w:val="auto"/>
        </w:rPr>
        <w:t>Beyond these assets, we contnue to make progress on multple lead optmizaton programs for inhibitors of a variety of targets that we believe play signifcant roles in tumor growth, and we antcipate that some of these other programs could reach development candidate status in 2025 and beyond.</w:t>
      </w:r>
    </w:p>
    <w:p>
      <w:pPr>
        <w:spacing w:after="0" w:line="143"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Future Expansion of our Pipeline</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Increasing the number of novel ant-cancer agents in our pipeline is essental to our overall strategy and business goals. We are working to expand our oncology product pipeline through drug discovery eforts, which encompass our diverse biotherapeutcs and small molecule programs exploring multple modalites and mechanisms of acton. This approach provides a high degree of fexibility with respect to target selecton and modality of treatment and allows us to prioritze those targets that we believe have the greatest chance of becoming impactul therapeutcs. As part of our strategy, our drug discovery actvites have and will contnue to include internal research, as well as external research collaboratons, in-licensing arrangements and other strategic transactons that collectvely leverage a wide range of technology platorms and assets and increase our probability of success. As of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expect to progress up to three new development candidates into preclinical development during 2025. We will contnue to engage in pipeline expansion initatves with the goal of discovering, acquiring and/or in-licensing promising investgatonal oncology assets and then further characterize and develop them utlizing our established preclinical and clinical development infrastructure.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2024 Business Updates and Financial Highlights</w:t>
      </w:r>
    </w:p>
    <w:p>
      <w:pPr>
        <w:spacing w:after="0" w:line="158"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color w:val="auto"/>
        </w:rPr>
        <w:t>Business Updates</w:t>
      </w:r>
    </w:p>
    <w:p>
      <w:pPr>
        <w:spacing w:after="0" w:line="55" w:lineRule="exact"/>
        <w:rPr>
          <w:sz w:val="20"/>
          <w:szCs w:val="20"/>
          <w:color w:val="auto"/>
        </w:rPr>
      </w:pPr>
    </w:p>
    <w:p>
      <w:pPr>
        <w:ind w:left="660" w:right="140" w:hanging="231"/>
        <w:spacing w:after="0" w:line="235" w:lineRule="auto"/>
        <w:tabs>
          <w:tab w:leader="none" w:pos="656"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In January 2024, we appointed Mary C. Beckerle, Ph.D. and S. Gail Eckhardt, M.D. to our Board of Directors. Dr. Beckerle currently serves as Chief Executve Ofcer of the Huntsman Cancer Insttute and Distnguished Professor of Biological and Oncological Sciences at the University of Utah. Dr. Eckhardt currently serves as Associate Dean of Experimental Therapeutcs at Baylor College of Medicine and Associate Director of Translatonal Research at the College’s Dan L. Duncan Comprehensive Cancer Center.</w:t>
      </w:r>
    </w:p>
    <w:p>
      <w:pPr>
        <w:spacing w:after="0" w:line="57" w:lineRule="exact"/>
        <w:rPr>
          <w:rFonts w:ascii="Calibri" w:cs="Calibri" w:eastAsia="Calibri" w:hAnsi="Calibri"/>
          <w:sz w:val="18"/>
          <w:szCs w:val="18"/>
          <w:color w:val="auto"/>
        </w:rPr>
      </w:pPr>
    </w:p>
    <w:p>
      <w:pPr>
        <w:ind w:left="660" w:right="20" w:hanging="231"/>
        <w:spacing w:after="0" w:line="235" w:lineRule="auto"/>
        <w:tabs>
          <w:tab w:leader="none" w:pos="656"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In January 2024, we announced that our Board of Directors had authorized a corporate restructuring plan (the 2024 Restructuring Plan) to reduce our workforce and rebalance our cost structure in alignment with our strategic priorites, including reducing real estate commitments and costs, and terminatng certain licensing partnerships. The 2024 Restructuring Plan was initated in the frst quarter of 2024, and substantally completed in the second quarter of 2024.</w:t>
      </w:r>
    </w:p>
    <w:p>
      <w:pPr>
        <w:spacing w:after="0" w:line="57" w:lineRule="exact"/>
        <w:rPr>
          <w:rFonts w:ascii="Calibri" w:cs="Calibri" w:eastAsia="Calibri" w:hAnsi="Calibri"/>
          <w:sz w:val="18"/>
          <w:szCs w:val="18"/>
          <w:color w:val="auto"/>
        </w:rPr>
      </w:pPr>
    </w:p>
    <w:p>
      <w:pPr>
        <w:ind w:left="660" w:hanging="231"/>
        <w:spacing w:after="0" w:line="235" w:lineRule="auto"/>
        <w:tabs>
          <w:tab w:leader="none" w:pos="656"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On March 27, 2024, we received a notce leter from Cipla assertng additonal Paragraph IV Certfcatons arising from Cipla’s amendment of its ANDA with the FDA. In May 2024, we announced entry into a setlement agreement with Cipla, which resolved patent litgaton we brought in response to Cipla’s ANDA. For a more detailed discussion of the Cipla mater, see “Note 12. Commitments and Contngencies – Legal Proceedings” of the “Notes to Consolidated Financial Statements” in Part II, Item 8 of this Annual Report on Form 10-K.</w:t>
      </w:r>
    </w:p>
    <w:p>
      <w:pPr>
        <w:spacing w:after="0" w:line="57" w:lineRule="exact"/>
        <w:rPr>
          <w:rFonts w:ascii="Calibri" w:cs="Calibri" w:eastAsia="Calibri" w:hAnsi="Calibri"/>
          <w:sz w:val="18"/>
          <w:szCs w:val="18"/>
          <w:color w:val="auto"/>
        </w:rPr>
      </w:pPr>
    </w:p>
    <w:p>
      <w:pPr>
        <w:jc w:val="both"/>
        <w:ind w:left="660" w:right="100" w:hanging="231"/>
        <w:spacing w:after="0" w:line="235" w:lineRule="auto"/>
        <w:tabs>
          <w:tab w:leader="none" w:pos="656"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In July 2024, Ipsen announced the expansion of our collaboraton for the commercializaton of cabozantnib to include pNET and epNET indicatons. Accordingly, Ipsen has sought marketng authorizatons for CABOMETYX in these indicatons in certain territories outside of the U.S. and Japan, and in additon, Ipsen has opted into and is now co-funding the development costs for CABINET.</w:t>
      </w:r>
    </w:p>
    <w:p>
      <w:pPr>
        <w:spacing w:after="0" w:line="56" w:lineRule="exact"/>
        <w:rPr>
          <w:rFonts w:ascii="Calibri" w:cs="Calibri" w:eastAsia="Calibri" w:hAnsi="Calibri"/>
          <w:sz w:val="18"/>
          <w:szCs w:val="18"/>
          <w:color w:val="auto"/>
        </w:rPr>
      </w:pPr>
    </w:p>
    <w:p>
      <w:pPr>
        <w:ind w:left="660" w:right="280" w:hanging="231"/>
        <w:spacing w:after="0" w:line="252" w:lineRule="auto"/>
        <w:tabs>
          <w:tab w:leader="none" w:pos="656"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In August 2024, we announced that the FDA had accepted our sNDA for CABOMETYX as a treatment for adult patents with previously treated, locally advanced/unresectable or metastatc, well- or moderately diferentated pNET and epNET, granted standard review and assigned a PDUFA target acton date of April 3, 2025. In November 2024, we announced that our sNDA would be discussed at an ODAC meetng in March 2025; however, in January 2025, we announced that the FDA had notfed us that our sNDA would no longer be the subject of discussion at an ODAC.</w:t>
      </w:r>
    </w:p>
    <w:p>
      <w:pPr>
        <w:spacing w:after="0" w:line="46" w:lineRule="exact"/>
        <w:rPr>
          <w:rFonts w:ascii="Calibri" w:cs="Calibri" w:eastAsia="Calibri" w:hAnsi="Calibri"/>
          <w:sz w:val="17"/>
          <w:szCs w:val="17"/>
          <w:color w:val="auto"/>
        </w:rPr>
      </w:pPr>
    </w:p>
    <w:p>
      <w:pPr>
        <w:ind w:left="660" w:right="20" w:hanging="231"/>
        <w:spacing w:after="0" w:line="235" w:lineRule="auto"/>
        <w:tabs>
          <w:tab w:leader="none" w:pos="656"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In August 2024, we announced the initaton of a phase 1 clinical trial evaluatng XB010, our frst ADC advanced internally, following the FDA’s earlier acceptance of our IND fling.</w:t>
      </w:r>
    </w:p>
    <w:p>
      <w:pPr>
        <w:spacing w:after="0" w:line="55" w:lineRule="exact"/>
        <w:rPr>
          <w:rFonts w:ascii="Calibri" w:cs="Calibri" w:eastAsia="Calibri" w:hAnsi="Calibri"/>
          <w:sz w:val="18"/>
          <w:szCs w:val="18"/>
          <w:color w:val="auto"/>
        </w:rPr>
      </w:pPr>
    </w:p>
    <w:p>
      <w:pPr>
        <w:ind w:left="660" w:right="180" w:hanging="231"/>
        <w:spacing w:after="0" w:line="235" w:lineRule="auto"/>
        <w:tabs>
          <w:tab w:leader="none" w:pos="656"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In August 2024, we announced the achievement of a $150.0 million commercial milestone, recognized as license revenues from Ipsen during the second quarter of 2024, following Ipsen’s achievement of $600.0 million in cumulatve net sales of cabozantnib in its related license territory over four consecutve quarters, which milestone payment we received during the third quarter of 2024.</w:t>
      </w:r>
    </w:p>
    <w:p>
      <w:pPr>
        <w:spacing w:after="0" w:line="56" w:lineRule="exact"/>
        <w:rPr>
          <w:rFonts w:ascii="Calibri" w:cs="Calibri" w:eastAsia="Calibri" w:hAnsi="Calibri"/>
          <w:sz w:val="18"/>
          <w:szCs w:val="18"/>
          <w:color w:val="auto"/>
        </w:rPr>
      </w:pPr>
    </w:p>
    <w:p>
      <w:pPr>
        <w:ind w:left="660" w:right="20" w:hanging="231"/>
        <w:spacing w:after="0" w:line="235" w:lineRule="auto"/>
        <w:tabs>
          <w:tab w:leader="none" w:pos="656"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In August 2024, we announced that our Board of Directors authorized the repurchase of up to $500 million of our common stock through the end of 2025, the third stock repurchase program undertaken by Exelixis since March 2023. Under this program, as of the end of fscal year 2024, we have repurchased $205.6 million of our common stock, at an average price of $33.62 per share.</w:t>
      </w:r>
    </w:p>
    <w:p>
      <w:pPr>
        <w:spacing w:after="0" w:line="56" w:lineRule="exact"/>
        <w:rPr>
          <w:rFonts w:ascii="Calibri" w:cs="Calibri" w:eastAsia="Calibri" w:hAnsi="Calibri"/>
          <w:sz w:val="18"/>
          <w:szCs w:val="18"/>
          <w:color w:val="auto"/>
        </w:rPr>
      </w:pPr>
    </w:p>
    <w:p>
      <w:pPr>
        <w:ind w:left="660" w:right="140" w:hanging="231"/>
        <w:spacing w:after="0" w:line="235" w:lineRule="auto"/>
        <w:tabs>
          <w:tab w:leader="none" w:pos="656"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In September 2024, we received a notce leter regarding an ANDA submited to the FDA by Sun Pharmaceutcal Industries Ltd. (Sun), including a Paragraph IV certfcaton with respect to our U.S. Patent Nos. 8,877,776, 9,724,342, 10,034,873, 10,039,757, 11,091,439, 11,091,440, 11,098,015 and 11,298,349, the latest of which expires on February 10, 2032, requestng approval to market a generic version of CABOMETYX tablets prior to the expiraton of the aforementoned patents. On October 30, 2024, we fled a complaint in the Delaware District Court for patent infringement against Sun assertng infringement of U.S. Patent Nos. 8,877,776, 11,091,440, and 11,098,015. On January 22, 2025, Sun fled its response to the complaint, alleging that the asserted claims of U.S. Patent No. 8,877,776, 11,091,439, 11,091,440 and 11098,015 are invalid and not infringed. Sun also fled counterclaims that, inter alia, seek a declaratory judgment that Sun’s ANDA would not infringe any valid and enforceable claim of U.S. Patent Nos. 8,877,776, 11,091,439, 11,091,440, 11,098,015, 9,724,342, 10,034,873, 10,039,757, and 11,298,349. We have not yet responded to Sun’s counterclaims.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3" w:right="37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160" w:hanging="231"/>
        <w:spacing w:after="0" w:line="235" w:lineRule="auto"/>
        <w:tabs>
          <w:tab w:leader="none" w:pos="656"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In October 2024, we announced a clinical development collaboraton with Merck to support the evaluaton of the combinaton of zanzalintnib and KEYTRUDA in SCCHN through our ongoing STELLAR-305 phase 3 pivotal trial, as well as future evaluatons of the combinaton of zanzalintnib and WELIREG in RCC, including a phase 1/2 trial and two phase 3 pivotal trials to be sponsored by Merck.</w:t>
      </w:r>
    </w:p>
    <w:p>
      <w:pPr>
        <w:spacing w:after="0" w:line="56" w:lineRule="exact"/>
        <w:rPr>
          <w:rFonts w:ascii="Calibri" w:cs="Calibri" w:eastAsia="Calibri" w:hAnsi="Calibri"/>
          <w:sz w:val="18"/>
          <w:szCs w:val="18"/>
          <w:color w:val="auto"/>
        </w:rPr>
      </w:pPr>
    </w:p>
    <w:p>
      <w:pPr>
        <w:ind w:left="660" w:right="40" w:hanging="231"/>
        <w:spacing w:after="0" w:line="250" w:lineRule="auto"/>
        <w:tabs>
          <w:tab w:leader="none" w:pos="656"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In October 2024, the United States District Court for the District of Delaware (the Delaware District Court) issued a ruling in our two consolidated patent lawsuits against MSN Pharmaceutcals, Inc. (individually and collectvely with certain of its afliates, including MSN Laboratories Private Limited, referred to as MSN, and such lawsuits collectvely referred to as MSN II), rejectng MSN’s invalidity challenge to each of U.S. Patents No. 11,091,439, 11,091,440 and 11,098,015, which expire January 15, 2030. The Delaware District Court had previously entered a stpulaton that MSN’s proposed ANDA product infringes these patents. The Delaware District Court also ruled that our U.S. Patent No. 11,298,349 is not invalid and that MSN’s proposed ANDA product does not infringe this patent, which expires February 10, 2032. In accordance with these rulings, the Delaware District Court entered fnal judgment on October 23, 2024, that, should the FDA ultmately approve MSN’s ANDA, the efectve date of any such approval shall not be a date earlier than January 15, 2030, the expiraton date of each of U.S. Patents No. 11,091,439, 11,091,440 and 11,098,015, subject to our potental additonal regulatory exclusivity. On November 22, 2024 MSN notced an appeal to the Court of Appeals for the Federal Circuit and we notced a cross-appeal on November 26, 2024. The Delaware District Court judgment is also subject to appeal by either party. In February 2025, we received notce that MSN submited to the FDA a Paragraph IV certfcaton regarding our Orange Book patent: U.S. Patent No. 12,128,039. For a more detailed discussion of the MSN II litgaton mater, see “Note 12. Commitments and Contngencies – Legal Proceedings” of the “Notes to Consolidated Financial Statements” in Part II, Item 8 of this Annual Report on Form 10-K.</w:t>
      </w:r>
    </w:p>
    <w:p>
      <w:pPr>
        <w:spacing w:after="0" w:line="51" w:lineRule="exact"/>
        <w:rPr>
          <w:rFonts w:ascii="Calibri" w:cs="Calibri" w:eastAsia="Calibri" w:hAnsi="Calibri"/>
          <w:sz w:val="17"/>
          <w:szCs w:val="17"/>
          <w:color w:val="auto"/>
        </w:rPr>
      </w:pPr>
    </w:p>
    <w:p>
      <w:pPr>
        <w:ind w:left="660" w:hanging="231"/>
        <w:spacing w:after="0" w:line="235" w:lineRule="auto"/>
        <w:tabs>
          <w:tab w:leader="none" w:pos="656"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In October 2024, we announced the initaton of a phase 1 clinical trial evaluatng XL495, our small molecule inhibitor of PKMYT1, following the FDA’s earlier acceptance of our IND fling.</w:t>
      </w:r>
    </w:p>
    <w:p>
      <w:pPr>
        <w:spacing w:after="0" w:line="55" w:lineRule="exact"/>
        <w:rPr>
          <w:rFonts w:ascii="Calibri" w:cs="Calibri" w:eastAsia="Calibri" w:hAnsi="Calibri"/>
          <w:sz w:val="18"/>
          <w:szCs w:val="18"/>
          <w:color w:val="auto"/>
        </w:rPr>
      </w:pPr>
    </w:p>
    <w:p>
      <w:pPr>
        <w:ind w:left="660" w:right="380" w:hanging="231"/>
        <w:spacing w:after="0" w:line="258" w:lineRule="auto"/>
        <w:tabs>
          <w:tab w:leader="none" w:pos="656"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In January 2025, preliminary results from a randomized expansion cohort of patents with metastatc CRC from STELLAR-001, and results from a subgroup analysis of patents in the epNET cohort with advanced gastrointestnal NET in CABINET, were presented at the ASCO GI 2025.</w:t>
      </w:r>
    </w:p>
    <w:p>
      <w:pPr>
        <w:spacing w:after="0" w:line="143" w:lineRule="exact"/>
        <w:rPr>
          <w:sz w:val="20"/>
          <w:szCs w:val="20"/>
          <w:color w:val="auto"/>
        </w:rPr>
      </w:pPr>
    </w:p>
    <w:p>
      <w:pPr>
        <w:ind w:left="340"/>
        <w:spacing w:after="0"/>
        <w:rPr>
          <w:sz w:val="20"/>
          <w:szCs w:val="20"/>
          <w:color w:val="auto"/>
        </w:rPr>
      </w:pPr>
      <w:r>
        <w:rPr>
          <w:rFonts w:ascii="Calibri" w:cs="Calibri" w:eastAsia="Calibri" w:hAnsi="Calibri"/>
          <w:sz w:val="18"/>
          <w:szCs w:val="18"/>
          <w:b w:val="1"/>
          <w:bCs w:val="1"/>
          <w:i w:val="1"/>
          <w:iCs w:val="1"/>
          <w:color w:val="auto"/>
        </w:rPr>
        <w:t>Financial Highlights</w:t>
      </w:r>
    </w:p>
    <w:p>
      <w:pPr>
        <w:spacing w:after="0" w:line="50" w:lineRule="exact"/>
        <w:rPr>
          <w:sz w:val="20"/>
          <w:szCs w:val="20"/>
          <w:color w:val="auto"/>
        </w:rPr>
      </w:pPr>
    </w:p>
    <w:p>
      <w:pPr>
        <w:ind w:left="660" w:hanging="231"/>
        <w:spacing w:after="0"/>
        <w:tabs>
          <w:tab w:leader="none" w:pos="66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Net product revenues for 2024 were $1,809.4 million, as compared to $1,628.9 million for 2023.</w:t>
      </w:r>
    </w:p>
    <w:p>
      <w:pPr>
        <w:spacing w:after="0" w:line="50" w:lineRule="exact"/>
        <w:rPr>
          <w:rFonts w:ascii="Calibri" w:cs="Calibri" w:eastAsia="Calibri" w:hAnsi="Calibri"/>
          <w:sz w:val="18"/>
          <w:szCs w:val="18"/>
          <w:color w:val="auto"/>
        </w:rPr>
      </w:pPr>
    </w:p>
    <w:p>
      <w:pPr>
        <w:ind w:left="660" w:hanging="231"/>
        <w:spacing w:after="0"/>
        <w:tabs>
          <w:tab w:leader="none" w:pos="66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Total revenues for 2024 were $2,168.7 million, as compared to $1,830.2 million for 2023.</w:t>
      </w:r>
    </w:p>
    <w:p>
      <w:pPr>
        <w:spacing w:after="0" w:line="50" w:lineRule="exact"/>
        <w:rPr>
          <w:rFonts w:ascii="Calibri" w:cs="Calibri" w:eastAsia="Calibri" w:hAnsi="Calibri"/>
          <w:sz w:val="18"/>
          <w:szCs w:val="18"/>
          <w:color w:val="auto"/>
        </w:rPr>
      </w:pPr>
    </w:p>
    <w:p>
      <w:pPr>
        <w:ind w:left="660" w:hanging="231"/>
        <w:spacing w:after="0"/>
        <w:tabs>
          <w:tab w:leader="none" w:pos="66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Research and development expenses for 2024 were $910.4 million, as compared to $1,044.1 million for 2023.</w:t>
      </w:r>
    </w:p>
    <w:p>
      <w:pPr>
        <w:spacing w:after="0" w:line="50" w:lineRule="exact"/>
        <w:rPr>
          <w:rFonts w:ascii="Calibri" w:cs="Calibri" w:eastAsia="Calibri" w:hAnsi="Calibri"/>
          <w:sz w:val="18"/>
          <w:szCs w:val="18"/>
          <w:color w:val="auto"/>
        </w:rPr>
      </w:pPr>
    </w:p>
    <w:p>
      <w:pPr>
        <w:ind w:left="660" w:hanging="231"/>
        <w:spacing w:after="0"/>
        <w:tabs>
          <w:tab w:leader="none" w:pos="66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Selling, general and administratve expenses for 2024 were $492.1 million, as compared to $542.7 million for 2023.</w:t>
      </w:r>
    </w:p>
    <w:p>
      <w:pPr>
        <w:spacing w:after="0" w:line="50" w:lineRule="exact"/>
        <w:rPr>
          <w:rFonts w:ascii="Calibri" w:cs="Calibri" w:eastAsia="Calibri" w:hAnsi="Calibri"/>
          <w:sz w:val="18"/>
          <w:szCs w:val="18"/>
          <w:color w:val="auto"/>
        </w:rPr>
      </w:pPr>
    </w:p>
    <w:p>
      <w:pPr>
        <w:ind w:left="660" w:hanging="231"/>
        <w:spacing w:after="0"/>
        <w:tabs>
          <w:tab w:leader="none" w:pos="66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Provision for income taxes for 2024 was $160.4 million, as compared to $49.8 million for 2023.</w:t>
      </w:r>
    </w:p>
    <w:p>
      <w:pPr>
        <w:spacing w:after="0" w:line="55" w:lineRule="exact"/>
        <w:rPr>
          <w:rFonts w:ascii="Calibri" w:cs="Calibri" w:eastAsia="Calibri" w:hAnsi="Calibri"/>
          <w:sz w:val="18"/>
          <w:szCs w:val="18"/>
          <w:color w:val="auto"/>
        </w:rPr>
      </w:pPr>
    </w:p>
    <w:p>
      <w:pPr>
        <w:ind w:left="660" w:right="180" w:hanging="231"/>
        <w:spacing w:after="0" w:line="235" w:lineRule="auto"/>
        <w:tabs>
          <w:tab w:leader="none" w:pos="656"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Net income for 2024 was $521.3 million, or $1.80 per share, basic and $1.76 per share, diluted, as compared to $207.8 million, or $0.65 per share, basic and diluted, for 2023.</w:t>
      </w:r>
    </w:p>
    <w:p>
      <w:pPr>
        <w:spacing w:after="0" w:line="158" w:lineRule="exact"/>
        <w:rPr>
          <w:rFonts w:ascii="Calibri" w:cs="Calibri" w:eastAsia="Calibri" w:hAnsi="Calibri"/>
          <w:sz w:val="18"/>
          <w:szCs w:val="18"/>
          <w:color w:val="auto"/>
        </w:rPr>
      </w:pPr>
    </w:p>
    <w:p>
      <w:pPr>
        <w:ind w:left="660"/>
        <w:spacing w:after="0"/>
        <w:rPr>
          <w:rFonts w:ascii="Calibri" w:cs="Calibri" w:eastAsia="Calibri" w:hAnsi="Calibri"/>
          <w:sz w:val="18"/>
          <w:szCs w:val="18"/>
          <w:color w:val="auto"/>
        </w:rPr>
      </w:pPr>
      <w:r>
        <w:rPr>
          <w:rFonts w:ascii="Calibri" w:cs="Calibri" w:eastAsia="Calibri" w:hAnsi="Calibri"/>
          <w:sz w:val="18"/>
          <w:szCs w:val="18"/>
          <w:color w:val="auto"/>
        </w:rPr>
        <w:t xml:space="preserve">See </w:t>
      </w:r>
      <w:r>
        <w:rPr>
          <w:rFonts w:ascii="Calibri" w:cs="Calibri" w:eastAsia="Calibri" w:hAnsi="Calibri"/>
          <w:sz w:val="18"/>
          <w:szCs w:val="18"/>
          <w:i w:val="1"/>
          <w:iCs w:val="1"/>
          <w:color w:val="auto"/>
        </w:rPr>
        <w:t>“Results of Operatons”</w:t>
      </w:r>
      <w:r>
        <w:rPr>
          <w:rFonts w:ascii="Calibri" w:cs="Calibri" w:eastAsia="Calibri" w:hAnsi="Calibri"/>
          <w:sz w:val="18"/>
          <w:szCs w:val="18"/>
          <w:color w:val="auto"/>
        </w:rPr>
        <w:t xml:space="preserve"> below for a discussion of the detailed components and analysis of the amounts above.</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Outlook, Challenges and Risks</w:t>
      </w:r>
    </w:p>
    <w:p>
      <w:pPr>
        <w:spacing w:after="0" w:line="163" w:lineRule="exact"/>
        <w:rPr>
          <w:sz w:val="20"/>
          <w:szCs w:val="20"/>
          <w:color w:val="auto"/>
        </w:rPr>
      </w:pPr>
    </w:p>
    <w:p>
      <w:pPr>
        <w:ind w:right="40" w:firstLine="648"/>
        <w:spacing w:after="0" w:line="251" w:lineRule="auto"/>
        <w:rPr>
          <w:sz w:val="20"/>
          <w:szCs w:val="20"/>
          <w:color w:val="auto"/>
        </w:rPr>
      </w:pPr>
      <w:r>
        <w:rPr>
          <w:rFonts w:ascii="Calibri" w:cs="Calibri" w:eastAsia="Calibri" w:hAnsi="Calibri"/>
          <w:sz w:val="17"/>
          <w:szCs w:val="17"/>
          <w:color w:val="auto"/>
        </w:rPr>
        <w:t>We will contnue to face numerous challenges and risks that may impact our ability to execute on our business objectves. In partcular, for the foreseeable future, we expect our ability to generate sufcient cash fow to fund our business operatons and growth will depend upon the contnued commercial success of CABOMETYX, both alone and in combinaton with other therapies, as a treatment for the highly compettve indicatons for which it is approved, and possibly for other indicatons for which cabozantnib is currently being evaluated in potentally label-enabling clinical trials, if warranted by the data generated from these trials. However, we cannot be certain that the clinical trials we and our collaboraton partners are conductng will demonstrate adequate safety and efcacy in these additonal indicatons to receive regulatory approval in the major commercial markets where CABOMETYX is approved.</w:t>
      </w:r>
    </w:p>
    <w:p>
      <w:pPr>
        <w:spacing w:after="0" w:line="156"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Even if the required regulatory approvals to market CABOMETYX for additonal indicatons are achieved, we and our collaboraton partners may not be able to commercialize CABOMETYX efectvely and successfully in these additonal indicatons. In additon, CABOMETYX will only contnue to be commercially successful if private third-party and government payers contnue to provide coverage and reimbursement. As is the case for all innovatve pharmaceutcal therapies, obtaining and maintaining coverage and reimbursement for CABOMETYX is becoming increasingly difcult, both within the U.S. and in foreign markets. In additon, healthcare policymakers in the U.S. contnue to express concern over healthcare costs, and corresponding legislatve and policy initatves and actvites have been launched aimed at increasing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740"/>
        <w:spacing w:after="0" w:line="235" w:lineRule="auto"/>
        <w:rPr>
          <w:sz w:val="20"/>
          <w:szCs w:val="20"/>
          <w:color w:val="auto"/>
        </w:rPr>
      </w:pPr>
      <w:r>
        <w:rPr>
          <w:rFonts w:ascii="Calibri" w:cs="Calibri" w:eastAsia="Calibri" w:hAnsi="Calibri"/>
          <w:sz w:val="18"/>
          <w:szCs w:val="18"/>
          <w:color w:val="auto"/>
        </w:rPr>
        <w:t>healthcare cost burdens borne by pharmaceutcal manufacturers, as well as expanding access to, and restrictng the prices and growth in prices of, pharmaceutcals.</w:t>
      </w:r>
    </w:p>
    <w:p>
      <w:pPr>
        <w:spacing w:after="0" w:line="164"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Achievement of our business objectves will also depend on our ability to maintain a compettve positon in the shifing landscape of therapeutc strategies for the treatment of cancer, which we may not be able to do. On an ongoing basis, we assess the constantly evolving landscape of other approved and investgatonal cancer therapies that could be compettve, or complementary in combinaton, with our products, and then we adapt our development strategies for the cabozantnib franchise and our pipeline product candidates accordingly, such as by modifying our clinical trials to include evaluaton of our therapies with ICIs and other targeted agents. Even if our current and future clinical trials produce positve results sufcient to obtain marketng approval by the FDA and other global regulatory authorites, it is uncertain whether physicians will choose to prescribe regimens containing our products instead of competng products and product combinatons in approved indicatons.</w:t>
      </w:r>
    </w:p>
    <w:p>
      <w:pPr>
        <w:spacing w:after="0" w:line="168"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In the longer term, we may eventually face competton from potental manufacturers of generic versions of our marketed products, including the proposed generic versions of CABOMETYX tablets that are the subject of ANDAs submited to the FDA by MSN, Teva, Cipla and Sun. The approval of any of these ANDAs and subsequent launch of any generic version of CABOMETYX could signifcantly decrease our revenues derived from the U.S. sales of CABOMETYX and thereby materially harm our business, fnancial conditon and results of operatons.</w:t>
      </w:r>
    </w:p>
    <w:p>
      <w:pPr>
        <w:spacing w:after="0" w:line="165" w:lineRule="exact"/>
        <w:rPr>
          <w:sz w:val="20"/>
          <w:szCs w:val="20"/>
          <w:color w:val="auto"/>
        </w:rPr>
      </w:pPr>
    </w:p>
    <w:p>
      <w:pPr>
        <w:ind w:right="360" w:firstLine="648"/>
        <w:spacing w:after="0" w:line="235" w:lineRule="auto"/>
        <w:rPr>
          <w:sz w:val="20"/>
          <w:szCs w:val="20"/>
          <w:color w:val="auto"/>
        </w:rPr>
      </w:pPr>
      <w:r>
        <w:rPr>
          <w:rFonts w:ascii="Calibri" w:cs="Calibri" w:eastAsia="Calibri" w:hAnsi="Calibri"/>
          <w:sz w:val="18"/>
          <w:szCs w:val="18"/>
          <w:color w:val="auto"/>
        </w:rPr>
        <w:t>Separately, our research and development objectves may be impeded by the challenges of scaling our organizaton to meet the demands of expanded drug development, unantcipated delays in clinical testng and the inherent risks and uncertaintes associated with drug discovery operatons, especially on the global level. In connecton with eforts to expand our product pipeline, we may be unsuccessful in discovering new potental cancer treatments or identfying appropriate candidates for in-licensing or acquisiton.</w:t>
      </w:r>
    </w:p>
    <w:p>
      <w:pPr>
        <w:spacing w:after="0" w:line="165" w:lineRule="exact"/>
        <w:rPr>
          <w:sz w:val="20"/>
          <w:szCs w:val="20"/>
          <w:color w:val="auto"/>
        </w:rPr>
      </w:pPr>
    </w:p>
    <w:p>
      <w:pPr>
        <w:ind w:right="640" w:firstLine="648"/>
        <w:spacing w:after="0" w:line="235" w:lineRule="auto"/>
        <w:rPr>
          <w:sz w:val="20"/>
          <w:szCs w:val="20"/>
          <w:color w:val="auto"/>
        </w:rPr>
      </w:pPr>
      <w:r>
        <w:rPr>
          <w:rFonts w:ascii="Calibri" w:cs="Calibri" w:eastAsia="Calibri" w:hAnsi="Calibri"/>
          <w:sz w:val="18"/>
          <w:szCs w:val="18"/>
          <w:color w:val="auto"/>
        </w:rPr>
        <w:t>Some of these challenges and risks are specifc to our business, others are common to companies in the biopharmaceutcal industry with development and commercial operatons, and an additonal category are macroeconomic, afectng all companies. For a more detailed discussion of challenges and risks we face, see “Risk Factors” in Part I, Item 1A of this Annual Report on Form 10-K.</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Impact of the Duraton of Our Fiscal Year</w:t>
      </w:r>
    </w:p>
    <w:p>
      <w:pPr>
        <w:spacing w:after="0" w:line="163" w:lineRule="exact"/>
        <w:rPr>
          <w:sz w:val="20"/>
          <w:szCs w:val="20"/>
          <w:color w:val="auto"/>
        </w:rPr>
      </w:pPr>
    </w:p>
    <w:p>
      <w:pPr>
        <w:ind w:right="100" w:firstLine="648"/>
        <w:spacing w:after="0" w:line="243" w:lineRule="auto"/>
        <w:rPr>
          <w:sz w:val="20"/>
          <w:szCs w:val="20"/>
          <w:color w:val="auto"/>
        </w:rPr>
      </w:pPr>
      <w:r>
        <w:rPr>
          <w:rFonts w:ascii="Calibri" w:cs="Calibri" w:eastAsia="Calibri" w:hAnsi="Calibri"/>
          <w:sz w:val="18"/>
          <w:szCs w:val="18"/>
          <w:i w:val="1"/>
          <w:iCs w:val="1"/>
          <w:color w:val="auto"/>
        </w:rPr>
        <w:t>We have adopted a 52- or 53-week fscal year policy that generally ends on the Friday closest to December 31st. Fiscal year 2024, which was a 53-week fscal year, ended on January 3, 2025; and fscal year 2023, which was a 52-week fscal year, ended on December 29, 2023. The 53-week fscal year in 2024, as compared to the 52-week fscal year in 2023, contributed to the year-over-year increases in certain revenues and expenses. For convenience, references in this report as of and for the fscal years ended January 3, 2025 and December 29, 2023, are indicated as being as of and for the years ended December 31, 2024 and 2023, respectvely. In fscal year 2025, the annual period will end on January 2, 2026, and will be a 52-week fscal year. The 52-week fscal year in 2025 may result in a modest year-over-year impact on revenues and expenses, as compared to 2024.</w:t>
      </w:r>
    </w:p>
    <w:p>
      <w:pPr>
        <w:spacing w:after="0" w:line="16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i w:val="1"/>
          <w:iCs w:val="1"/>
          <w:color w:val="auto"/>
        </w:rPr>
        <w:t>This discussion and analysis generally addresses 2024 and 2023 items and year-over-year comparisons between 2024 and 2023. Discussions of 2022 items and year-over-year comparisons between 2023 and 2022 that are not included in this Annual Report on Form 10-K can be found in “Item 7. Management’s Discussion and Analysis of Financial Conditon and Results of Operatons” in our Annual Report on Form 10-K for the fscal year ended December 31, 2023, fled with the SEC on February 6, 2024.</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3" w:right="43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Revenues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Revenues by category were as follows (dollars in thousands):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292"/>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Pr>
          <w:p>
            <w:pPr>
              <w:spacing w:after="0"/>
              <w:rPr>
                <w:sz w:val="16"/>
                <w:szCs w:val="16"/>
                <w:color w:val="auto"/>
              </w:rPr>
            </w:pPr>
          </w:p>
        </w:tc>
        <w:tc>
          <w:tcPr>
            <w:tcW w:w="920" w:type="dxa"/>
            <w:vAlign w:val="bottom"/>
            <w:vMerge w:val="restart"/>
          </w:tcPr>
          <w:p>
            <w:pPr>
              <w:jc w:val="right"/>
              <w:ind w:right="116"/>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70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8"/>
                <w:szCs w:val="18"/>
                <w:color w:val="auto"/>
              </w:rPr>
            </w:pPr>
          </w:p>
        </w:tc>
        <w:tc>
          <w:tcPr>
            <w:tcW w:w="920" w:type="dxa"/>
            <w:vAlign w:val="bottom"/>
          </w:tcPr>
          <w:p>
            <w:pPr>
              <w:jc w:val="right"/>
              <w:ind w:right="136"/>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Net product revenues</w:t>
            </w: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1,809,395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1,628,879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22"/>
        </w:trPr>
        <w:tc>
          <w:tcPr>
            <w:tcW w:w="7060" w:type="dxa"/>
            <w:vAlign w:val="bottom"/>
          </w:tcPr>
          <w:p>
            <w:pPr>
              <w:ind w:left="20"/>
              <w:spacing w:after="0" w:line="215" w:lineRule="exact"/>
              <w:rPr>
                <w:sz w:val="20"/>
                <w:szCs w:val="20"/>
                <w:color w:val="auto"/>
              </w:rPr>
            </w:pPr>
            <w:r>
              <w:rPr>
                <w:rFonts w:ascii="Calibri" w:cs="Calibri" w:eastAsia="Calibri" w:hAnsi="Calibri"/>
                <w:sz w:val="18"/>
                <w:szCs w:val="18"/>
                <w:color w:val="auto"/>
              </w:rPr>
              <w:t>License revenues</w:t>
            </w:r>
          </w:p>
        </w:tc>
        <w:tc>
          <w:tcPr>
            <w:tcW w:w="36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349,244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178,635</w:t>
            </w:r>
          </w:p>
        </w:tc>
        <w:tc>
          <w:tcPr>
            <w:tcW w:w="10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96 %</w:t>
            </w:r>
          </w:p>
        </w:tc>
        <w:tc>
          <w:tcPr>
            <w:tcW w:w="0" w:type="dxa"/>
            <w:vAlign w:val="bottom"/>
          </w:tcPr>
          <w:p>
            <w:pPr>
              <w:spacing w:after="0"/>
              <w:rPr>
                <w:sz w:val="1"/>
                <w:szCs w:val="1"/>
                <w:color w:val="auto"/>
              </w:rPr>
            </w:pPr>
          </w:p>
        </w:tc>
      </w:tr>
      <w:tr>
        <w:trPr>
          <w:trHeight w:val="237"/>
        </w:trPr>
        <w:tc>
          <w:tcPr>
            <w:tcW w:w="70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Collaboraton services revenues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10,062</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22,694</w:t>
            </w:r>
          </w:p>
        </w:tc>
        <w:tc>
          <w:tcPr>
            <w:tcW w:w="102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-56 %</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line="199" w:lineRule="exact"/>
              <w:rPr>
                <w:sz w:val="20"/>
                <w:szCs w:val="20"/>
                <w:color w:val="auto"/>
              </w:rPr>
            </w:pPr>
            <w:r>
              <w:rPr>
                <w:rFonts w:ascii="Calibri" w:cs="Calibri" w:eastAsia="Calibri" w:hAnsi="Calibri"/>
                <w:sz w:val="18"/>
                <w:szCs w:val="18"/>
                <w:color w:val="auto"/>
              </w:rPr>
              <w:t>Total revenues</w:t>
            </w:r>
          </w:p>
        </w:tc>
        <w:tc>
          <w:tcPr>
            <w:tcW w:w="36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2,168,701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1,830,208</w:t>
            </w:r>
          </w:p>
        </w:tc>
        <w:tc>
          <w:tcPr>
            <w:tcW w:w="1020" w:type="dxa"/>
            <w:vAlign w:val="bottom"/>
            <w:gridSpan w:val="2"/>
          </w:tcPr>
          <w:p>
            <w:pPr>
              <w:jc w:val="right"/>
              <w:spacing w:after="0" w:line="199" w:lineRule="exact"/>
              <w:rPr>
                <w:sz w:val="20"/>
                <w:szCs w:val="20"/>
                <w:color w:val="auto"/>
              </w:rPr>
            </w:pPr>
            <w:r>
              <w:rPr>
                <w:rFonts w:ascii="Calibri" w:cs="Calibri" w:eastAsia="Calibri" w:hAnsi="Calibri"/>
                <w:sz w:val="18"/>
                <w:szCs w:val="18"/>
                <w:color w:val="auto"/>
              </w:rPr>
              <w:t>18 %</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Net Product Revenues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Gross product revenues, discounts and allowances, and net product revenues were as follows (dollars in thousands):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612"/>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Pr>
          <w:p>
            <w:pPr>
              <w:spacing w:after="0"/>
              <w:rPr>
                <w:sz w:val="16"/>
                <w:szCs w:val="16"/>
                <w:color w:val="auto"/>
              </w:rPr>
            </w:pPr>
          </w:p>
        </w:tc>
        <w:tc>
          <w:tcPr>
            <w:tcW w:w="920" w:type="dxa"/>
            <w:vAlign w:val="bottom"/>
            <w:vMerge w:val="restart"/>
          </w:tcPr>
          <w:p>
            <w:pPr>
              <w:ind w:left="200"/>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70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4"/>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8"/>
                <w:szCs w:val="18"/>
                <w:color w:val="auto"/>
              </w:rPr>
            </w:pPr>
          </w:p>
        </w:tc>
        <w:tc>
          <w:tcPr>
            <w:tcW w:w="920" w:type="dxa"/>
            <w:vAlign w:val="bottom"/>
          </w:tcPr>
          <w:p>
            <w:pPr>
              <w:ind w:left="220"/>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Gross product revenues</w:t>
            </w: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2,518,246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2,272,533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Discounts and allowances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(708,851)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(643,654)</w:t>
            </w:r>
          </w:p>
        </w:tc>
        <w:tc>
          <w:tcPr>
            <w:tcW w:w="102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10 %</w:t>
            </w:r>
          </w:p>
        </w:tc>
        <w:tc>
          <w:tcPr>
            <w:tcW w:w="0" w:type="dxa"/>
            <w:vAlign w:val="bottom"/>
          </w:tcPr>
          <w:p>
            <w:pPr>
              <w:spacing w:after="0"/>
              <w:rPr>
                <w:sz w:val="1"/>
                <w:szCs w:val="1"/>
                <w:color w:val="auto"/>
              </w:rPr>
            </w:pPr>
          </w:p>
        </w:tc>
      </w:tr>
      <w:tr>
        <w:trPr>
          <w:trHeight w:val="254"/>
        </w:trPr>
        <w:tc>
          <w:tcPr>
            <w:tcW w:w="7060" w:type="dxa"/>
            <w:vAlign w:val="bottom"/>
            <w:tcBorders>
              <w:bottom w:val="single" w:sz="8" w:color="CCEEFF"/>
            </w:tcBorders>
            <w:shd w:val="clear" w:color="auto" w:fill="CCEEFF"/>
          </w:tcPr>
          <w:p>
            <w:pPr>
              <w:ind w:left="220"/>
              <w:spacing w:after="0" w:line="206" w:lineRule="exact"/>
              <w:rPr>
                <w:sz w:val="20"/>
                <w:szCs w:val="20"/>
                <w:color w:val="auto"/>
              </w:rPr>
            </w:pPr>
            <w:r>
              <w:rPr>
                <w:rFonts w:ascii="Calibri" w:cs="Calibri" w:eastAsia="Calibri" w:hAnsi="Calibri"/>
                <w:sz w:val="18"/>
                <w:szCs w:val="18"/>
                <w:color w:val="auto"/>
              </w:rPr>
              <w:t>Net product revenues</w:t>
            </w: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1,809,395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1,628,879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640"/>
              <w:spacing w:after="0"/>
              <w:rPr>
                <w:sz w:val="20"/>
                <w:szCs w:val="20"/>
                <w:color w:val="auto"/>
              </w:rPr>
            </w:pPr>
            <w:r>
              <w:rPr>
                <w:rFonts w:ascii="Calibri" w:cs="Calibri" w:eastAsia="Calibri" w:hAnsi="Calibri"/>
                <w:sz w:val="18"/>
                <w:szCs w:val="18"/>
                <w:color w:val="auto"/>
              </w:rPr>
              <w:t>Net product revenues by product were as follows (dollars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7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4"/>
          </w:tcPr>
          <w:p>
            <w:pPr>
              <w:jc w:val="right"/>
              <w:ind w:right="612"/>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Pr>
          <w:p>
            <w:pPr>
              <w:spacing w:after="0"/>
              <w:rPr>
                <w:sz w:val="24"/>
                <w:szCs w:val="24"/>
                <w:color w:val="auto"/>
              </w:rPr>
            </w:pPr>
          </w:p>
        </w:tc>
        <w:tc>
          <w:tcPr>
            <w:tcW w:w="920" w:type="dxa"/>
            <w:vAlign w:val="bottom"/>
            <w:vMerge w:val="restart"/>
          </w:tcPr>
          <w:p>
            <w:pPr>
              <w:ind w:left="200"/>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70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4"/>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8"/>
                <w:szCs w:val="18"/>
                <w:color w:val="auto"/>
              </w:rPr>
            </w:pPr>
          </w:p>
        </w:tc>
        <w:tc>
          <w:tcPr>
            <w:tcW w:w="920" w:type="dxa"/>
            <w:vAlign w:val="bottom"/>
          </w:tcPr>
          <w:p>
            <w:pPr>
              <w:ind w:left="220"/>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CABOMETYX</w:t>
            </w:r>
          </w:p>
        </w:tc>
        <w:tc>
          <w:tcPr>
            <w:tcW w:w="360" w:type="dxa"/>
            <w:vAlign w:val="bottom"/>
            <w:tcBorders>
              <w:top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1,798,237</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1,614,942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COMETRIQ</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11,158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13,937</w:t>
            </w:r>
          </w:p>
        </w:tc>
        <w:tc>
          <w:tcPr>
            <w:tcW w:w="102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-20 %</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20"/>
              <w:spacing w:after="0" w:line="206" w:lineRule="exact"/>
              <w:rPr>
                <w:sz w:val="20"/>
                <w:szCs w:val="20"/>
                <w:color w:val="auto"/>
              </w:rPr>
            </w:pPr>
            <w:r>
              <w:rPr>
                <w:rFonts w:ascii="Calibri" w:cs="Calibri" w:eastAsia="Calibri" w:hAnsi="Calibri"/>
                <w:sz w:val="18"/>
                <w:szCs w:val="18"/>
                <w:color w:val="auto"/>
              </w:rPr>
              <w:t>Net product revenues</w:t>
            </w: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1,809,395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1,628,879</w:t>
            </w:r>
          </w:p>
        </w:tc>
        <w:tc>
          <w:tcPr>
            <w:tcW w:w="1020" w:type="dxa"/>
            <w:vAlign w:val="bottom"/>
            <w:tcBorders>
              <w:bottom w:val="single" w:sz="8" w:color="CCEEFF"/>
            </w:tcBorders>
            <w:gridSpan w:val="2"/>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The increase in net product revenues for the year ended December 31, 2024, as compared to 2023, was primarily related to an 8.2% increase in the number of CABOMETYX units sold as a result of the FDA’s approval of CABOMETYX in combinaton with nivolumab as a frst-line treatment of patents with advanced RCC and, to a lesser extent, a 2.9% increase in the average net selling price of CABOMETYX. The increase in sales volume is largely driven by reflls, refectng the longer duraton of therapy for this combinaton, and an increase in related market share refectng the contnued evoluton of the metastatc RCC, HCC and DTC treatment landscapes.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We project our net product revenues may increase in fscal year 2025, as compared to 2024, for similar reasons noted above.</w:t>
      </w:r>
    </w:p>
    <w:p>
      <w:pPr>
        <w:spacing w:after="0" w:line="163"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We recognize product revenues net of discounts and allowances that are described in “Note 1. Organizaton and Summary of Signifcant Accountng Policies” of the “Notes to Consolidated Financial Statements” in Part II, Item 8 of this Annual Report on Form 10-K. Discounts and allowances have generally increased over tme as the number of patents partcipatng in government programs has increased and as the discounts given and rebates paid to government payers have also increased. The increase in the amount of discounts and allowances for the year ended December 31, 2024, as compared to 2023, was primarily the result of an increase in the volume of units sold, and the increase in utlizaton and dollar amount of chargebacks under the Federal Supply Schedule program.</w:t>
      </w:r>
    </w:p>
    <w:p>
      <w:pPr>
        <w:spacing w:after="0" w:line="16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We project our discounts and allowances may increase during fscal year 2025 for similar reasons noted above.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License Revenues</w:t>
      </w:r>
    </w:p>
    <w:p>
      <w:pPr>
        <w:spacing w:after="0" w:line="163" w:lineRule="exact"/>
        <w:rPr>
          <w:sz w:val="20"/>
          <w:szCs w:val="20"/>
          <w:color w:val="auto"/>
        </w:rPr>
      </w:pPr>
    </w:p>
    <w:p>
      <w:pPr>
        <w:jc w:val="both"/>
        <w:ind w:right="380" w:firstLine="648"/>
        <w:spacing w:after="0" w:line="235" w:lineRule="auto"/>
        <w:rPr>
          <w:sz w:val="20"/>
          <w:szCs w:val="20"/>
          <w:color w:val="auto"/>
        </w:rPr>
      </w:pPr>
      <w:r>
        <w:rPr>
          <w:rFonts w:ascii="Calibri" w:cs="Calibri" w:eastAsia="Calibri" w:hAnsi="Calibri"/>
          <w:sz w:val="18"/>
          <w:szCs w:val="18"/>
          <w:color w:val="auto"/>
        </w:rPr>
        <w:t>License revenues include: (a) the recogniton of the porton of milestone payments allocated to the transfer of intellectual property licenses for which it had become probable, in the related period, that a milestone would be achieved and a signifcant reversal of revenues would not occur in future periods; (b) royalty revenues; and (c) the proft on the U.S. commercializaton of COTELLIC from Genentech.</w:t>
      </w:r>
    </w:p>
    <w:p>
      <w:pPr>
        <w:spacing w:after="0" w:line="165" w:lineRule="exact"/>
        <w:rPr>
          <w:sz w:val="20"/>
          <w:szCs w:val="20"/>
          <w:color w:val="auto"/>
        </w:rPr>
      </w:pPr>
    </w:p>
    <w:p>
      <w:pPr>
        <w:ind w:right="320" w:firstLine="648"/>
        <w:spacing w:after="0" w:line="235" w:lineRule="auto"/>
        <w:rPr>
          <w:sz w:val="20"/>
          <w:szCs w:val="20"/>
          <w:color w:val="auto"/>
        </w:rPr>
      </w:pPr>
      <w:r>
        <w:rPr>
          <w:rFonts w:ascii="Calibri" w:cs="Calibri" w:eastAsia="Calibri" w:hAnsi="Calibri"/>
          <w:sz w:val="18"/>
          <w:szCs w:val="18"/>
          <w:color w:val="auto"/>
        </w:rPr>
        <w:t>See “Note 4. Collaboratons and Business Development Actvites—Cabozantnib Commercial Collaboratons—</w:t>
      </w:r>
      <w:r>
        <w:rPr>
          <w:rFonts w:ascii="Calibri" w:cs="Calibri" w:eastAsia="Calibri" w:hAnsi="Calibri"/>
          <w:sz w:val="18"/>
          <w:szCs w:val="18"/>
          <w:i w:val="1"/>
          <w:iCs w:val="1"/>
          <w:color w:val="auto"/>
        </w:rPr>
        <w:t>Performance Obligatons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Transacton Prices for our Ipsen and Takeda Collaboratons</w:t>
      </w:r>
      <w:r>
        <w:rPr>
          <w:rFonts w:ascii="Calibri" w:cs="Calibri" w:eastAsia="Calibri" w:hAnsi="Calibri"/>
          <w:sz w:val="18"/>
          <w:szCs w:val="18"/>
          <w:color w:val="auto"/>
        </w:rPr>
        <w:t>” of the “Notes to Consolidated Financial Statements” in Part II, Item 8 of this Annual Report 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Form 10-K for a discussion on the allocaton of transacton price which impacts the proporton of milestone revenues allocated to license revenues and collaboraton services revenues.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Milestone revenues, which are allocated between license revenues and collaboraton services revenues, were $169.3 million for the year ended</w:t>
      </w:r>
    </w:p>
    <w:p>
      <w:pPr>
        <w:spacing w:after="0" w:line="235" w:lineRule="auto"/>
        <w:rPr>
          <w:sz w:val="20"/>
          <w:szCs w:val="20"/>
          <w:color w:val="auto"/>
        </w:rPr>
      </w:pPr>
      <w:r>
        <w:rPr>
          <w:rFonts w:ascii="Calibri" w:cs="Calibri" w:eastAsia="Calibri" w:hAnsi="Calibri"/>
          <w:sz w:val="18"/>
          <w:szCs w:val="18"/>
          <w:color w:val="auto"/>
        </w:rPr>
        <w:t>December 31, 2024, as compared to $15.0 million for 2023. Milestone revenues by fscal year included the following:</w:t>
      </w:r>
    </w:p>
    <w:p>
      <w:pPr>
        <w:spacing w:after="0" w:line="56" w:lineRule="exact"/>
        <w:rPr>
          <w:sz w:val="20"/>
          <w:szCs w:val="20"/>
          <w:color w:val="auto"/>
        </w:rPr>
      </w:pPr>
    </w:p>
    <w:p>
      <w:pPr>
        <w:ind w:left="820" w:right="40" w:hanging="229"/>
        <w:spacing w:after="0" w:line="235" w:lineRule="auto"/>
        <w:tabs>
          <w:tab w:leader="none" w:pos="816"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For the year ended December 31, 2024, milestone revenues included: (1) $150.0 million in license revenues recognized in connecton with a commercial milestone from Ipsen upon its achievement of $600.0 million in cumulatve net sales of cabozantnib over four consecutve quarters in its related Ipsen license territory; (2) $2.2 million in license revenues recognized in connecton with a commercial milestone from Ipsen upon its achievement of CAD$30.0 million in cumulatve net sales of cabozantnib over four consecutve quarters in Canada; and (3) $11.4 million in revenues related to a $12.5 million regulatory milestone from Ipsen upon submission of a variaton applicaton the EMA for evaluatng cabozantnib versus placebo in patents with either advanced pNET or advanced epNET who experienced progression afer prior systematc therapy.</w:t>
      </w:r>
    </w:p>
    <w:p>
      <w:pPr>
        <w:spacing w:after="0" w:line="59" w:lineRule="exact"/>
        <w:rPr>
          <w:rFonts w:ascii="Calibri" w:cs="Calibri" w:eastAsia="Calibri" w:hAnsi="Calibri"/>
          <w:sz w:val="18"/>
          <w:szCs w:val="18"/>
          <w:color w:val="auto"/>
        </w:rPr>
      </w:pPr>
    </w:p>
    <w:p>
      <w:pPr>
        <w:ind w:left="820" w:hanging="229"/>
        <w:spacing w:after="0" w:line="235" w:lineRule="auto"/>
        <w:tabs>
          <w:tab w:leader="none" w:pos="816"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For the year ended December 31, 2023, $10.0 million in revenues was recognized in connecton with a commercial milestone of $11.0 million from Takeda upon their achievement of $150.0 million of cumulatve net sales of cabozantnib in Japan.</w:t>
      </w:r>
    </w:p>
    <w:p>
      <w:pPr>
        <w:spacing w:after="0" w:line="164" w:lineRule="exact"/>
        <w:rPr>
          <w:sz w:val="20"/>
          <w:szCs w:val="20"/>
          <w:color w:val="auto"/>
        </w:rPr>
      </w:pPr>
    </w:p>
    <w:p>
      <w:pPr>
        <w:ind w:right="300" w:firstLine="648"/>
        <w:spacing w:after="0" w:line="235" w:lineRule="auto"/>
        <w:rPr>
          <w:sz w:val="20"/>
          <w:szCs w:val="20"/>
          <w:color w:val="auto"/>
        </w:rPr>
      </w:pPr>
      <w:r>
        <w:rPr>
          <w:rFonts w:ascii="Calibri" w:cs="Calibri" w:eastAsia="Calibri" w:hAnsi="Calibri"/>
          <w:sz w:val="18"/>
          <w:szCs w:val="18"/>
          <w:color w:val="auto"/>
        </w:rPr>
        <w:t>Due to uncertaintes surrounding the tming and achievement of development, regulatory and commercial milestones, it is difcult to predict the tming of future milestones revenues; consequently, milestones may vary signifcantly from period to period.</w:t>
      </w:r>
    </w:p>
    <w:p>
      <w:pPr>
        <w:spacing w:after="0" w:line="16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Royalty revenues increased primarily as a result of an increase in Ipsen’s net sales of cabozantnib outside of the U.S. and Japan. Ipsen royaltes were $154.0 million for the year ended December 31, 2024, as compared to $135.8 million for 2023. Ipsen’s net sales of cabozantnib have contnued to grow since the frst commercial sale of CABOMETYX in the Ipsen territories in 2016, primarily due to regulatory approvals in new territories, including regulatory approval in the EU for the combinaton therapy of CABOMETYX and nivolumab received in March 2021. Royalty revenues for the year ended December 31, 2024 also included $12.9 million, as compared to $12.7 million for 2023, related to Takeda’s net sales of cabozantnib. Takeda’s net sales of cabozantnib have contnued to grow since Takeda’s frst commercial sale of CABOMETYX in Japan in 2020; however, royalty revenues during the year ended December 31, 2024 were unfavorably impacted by foreign currency rate fuctuatons, as compared to 2023. As of December 31, 2024, CABOMETYX is approved and commercially available in 67 countries outside of the U.S.</w:t>
      </w:r>
    </w:p>
    <w:p>
      <w:pPr>
        <w:spacing w:after="0" w:line="169" w:lineRule="exact"/>
        <w:rPr>
          <w:sz w:val="20"/>
          <w:szCs w:val="20"/>
          <w:color w:val="auto"/>
        </w:rPr>
      </w:pPr>
    </w:p>
    <w:p>
      <w:pPr>
        <w:ind w:right="280" w:firstLine="648"/>
        <w:spacing w:after="0" w:line="235" w:lineRule="auto"/>
        <w:rPr>
          <w:sz w:val="20"/>
          <w:szCs w:val="20"/>
          <w:color w:val="auto"/>
        </w:rPr>
      </w:pPr>
      <w:r>
        <w:rPr>
          <w:rFonts w:ascii="Calibri" w:cs="Calibri" w:eastAsia="Calibri" w:hAnsi="Calibri"/>
          <w:sz w:val="18"/>
          <w:szCs w:val="18"/>
          <w:color w:val="auto"/>
        </w:rPr>
        <w:t>Our share of profts on the U.S. commercializaton of COTELLIC under our collaboraton agreement with Genentech was $10.6 million for the year ended December 31, 2024, as compared to $13.0 million for 2023. We also earned royalty revenues on ex-U.S. net sales of COTELLIC by Genentech of $3.0 million for the year ended December 31, 2024, as compared to $3.9 million for 2023.</w:t>
      </w:r>
    </w:p>
    <w:p>
      <w:pPr>
        <w:spacing w:after="0" w:line="165" w:lineRule="exact"/>
        <w:rPr>
          <w:sz w:val="20"/>
          <w:szCs w:val="20"/>
          <w:color w:val="auto"/>
        </w:rPr>
      </w:pPr>
    </w:p>
    <w:p>
      <w:pPr>
        <w:ind w:right="680" w:firstLine="648"/>
        <w:spacing w:after="0" w:line="235" w:lineRule="auto"/>
        <w:rPr>
          <w:sz w:val="20"/>
          <w:szCs w:val="20"/>
          <w:color w:val="auto"/>
        </w:rPr>
      </w:pPr>
      <w:r>
        <w:rPr>
          <w:rFonts w:ascii="Calibri" w:cs="Calibri" w:eastAsia="Calibri" w:hAnsi="Calibri"/>
          <w:sz w:val="18"/>
          <w:szCs w:val="18"/>
          <w:color w:val="auto"/>
        </w:rPr>
        <w:t>We project our license revenues may decrease in fscal year 2025, as compared to 2024, as a result of the antcipated achievement of fewer milestones in 2025, partally ofset by an increase in royalty revenues related to an increase in product sales by Ipsen and Takeda.</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Collaboraton Services Revenues</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Collaboraton services revenues include the recogniton of deferred revenues for the porton of upfront and milestone payments that have been allocated to research and development services performance obligatons, development cost reimbursements earned under our collaboraton agreements and product supply revenues, which are net of product supply costs and the royaltes we pay to Royalty Pharma on sales by Ipsen and Takeda of products containing cabozantnib.</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648"/>
        <w:spacing w:after="0" w:line="252" w:lineRule="auto"/>
        <w:rPr>
          <w:sz w:val="20"/>
          <w:szCs w:val="20"/>
          <w:color w:val="auto"/>
        </w:rPr>
      </w:pPr>
      <w:r>
        <w:rPr>
          <w:rFonts w:ascii="Calibri" w:cs="Calibri" w:eastAsia="Calibri" w:hAnsi="Calibri"/>
          <w:sz w:val="17"/>
          <w:szCs w:val="17"/>
          <w:color w:val="auto"/>
        </w:rPr>
        <w:t>Development cost reimbursements were $25.8 million for the year ended December 31, 2024, as compared to $35.6 million for 2023. The decrease in development cost reimbursements during the year ended December 31, 2024 were primarily atributable to decreases in spending on the CONTACT-02, CheckMate -9ER and COSMIC-021 studies, partally ofset by Ipsen’s decision to opt-in and co-fund CABINET development costs in the second quarter of 2024, which includes a cumulatve catch-up for Ipsen’s share of global development costs incurred since the beginning of the study and through the opt-in date.</w:t>
      </w:r>
    </w:p>
    <w:p>
      <w:pPr>
        <w:spacing w:after="0" w:line="154" w:lineRule="exact"/>
        <w:rPr>
          <w:sz w:val="20"/>
          <w:szCs w:val="20"/>
          <w:color w:val="auto"/>
        </w:rPr>
      </w:pPr>
    </w:p>
    <w:p>
      <w:pPr>
        <w:jc w:val="both"/>
        <w:ind w:right="80" w:firstLine="648"/>
        <w:spacing w:after="0" w:line="235" w:lineRule="auto"/>
        <w:rPr>
          <w:sz w:val="20"/>
          <w:szCs w:val="20"/>
          <w:color w:val="auto"/>
        </w:rPr>
      </w:pPr>
      <w:r>
        <w:rPr>
          <w:rFonts w:ascii="Calibri" w:cs="Calibri" w:eastAsia="Calibri" w:hAnsi="Calibri"/>
          <w:sz w:val="18"/>
          <w:szCs w:val="18"/>
          <w:color w:val="auto"/>
        </w:rPr>
        <w:t>Collaboraton services revenues were reduced by $21.3 million and $19.2 million for the years ended December 31, 2024 and 2023, respectvely, to account for the 3% royalty we are required to pay on the net sales by Ipsen and Takeda of any product containing cabozantnib. As royalty generatng sales of cabozantnib by Ipsen and Takeda have increased as described above, our royalty payments have also increased.</w:t>
      </w:r>
    </w:p>
    <w:p>
      <w:pPr>
        <w:spacing w:after="0" w:line="165"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We project our collaboraton services revenues may decrease in fscal year 2025, as compared to 2024, primarily as a result of a decrease in development cost reimbursement revenues, and uncertaintes regarding the tming and achievement of development, regulatory, and commercial milestone revenues.</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Cost of Goods Sold</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cost of goods sold and our gross margins were as follows (dollars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jc w:val="right"/>
              <w:ind w:right="693"/>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Pr>
          <w:p>
            <w:pPr>
              <w:spacing w:after="0"/>
              <w:rPr>
                <w:sz w:val="16"/>
                <w:szCs w:val="16"/>
                <w:color w:val="auto"/>
              </w:rPr>
            </w:pPr>
          </w:p>
        </w:tc>
        <w:tc>
          <w:tcPr>
            <w:tcW w:w="940" w:type="dxa"/>
            <w:vAlign w:val="bottom"/>
            <w:vMerge w:val="restart"/>
          </w:tcPr>
          <w:p>
            <w:pPr>
              <w:ind w:left="200"/>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55"/>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3"/>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Cost of goods sold</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shd w:val="clear" w:color="auto" w:fill="CCEEFF"/>
          </w:tcPr>
          <w:p>
            <w:pPr>
              <w:jc w:val="right"/>
              <w:ind w:right="115"/>
              <w:spacing w:after="0" w:line="215" w:lineRule="exact"/>
              <w:rPr>
                <w:sz w:val="20"/>
                <w:szCs w:val="20"/>
                <w:color w:val="auto"/>
              </w:rPr>
            </w:pPr>
            <w:r>
              <w:rPr>
                <w:rFonts w:ascii="Calibri" w:cs="Calibri" w:eastAsia="Calibri" w:hAnsi="Calibri"/>
                <w:sz w:val="18"/>
                <w:szCs w:val="18"/>
                <w:color w:val="auto"/>
              </w:rPr>
              <w:t>76,216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CEEFF"/>
          </w:tcPr>
          <w:p>
            <w:pPr>
              <w:jc w:val="right"/>
              <w:ind w:right="93"/>
              <w:spacing w:after="0" w:line="215" w:lineRule="exact"/>
              <w:rPr>
                <w:sz w:val="20"/>
                <w:szCs w:val="20"/>
                <w:color w:val="auto"/>
              </w:rPr>
            </w:pPr>
            <w:r>
              <w:rPr>
                <w:rFonts w:ascii="Calibri" w:cs="Calibri" w:eastAsia="Calibri" w:hAnsi="Calibri"/>
                <w:sz w:val="18"/>
                <w:szCs w:val="18"/>
                <w:color w:val="auto"/>
              </w:rPr>
              <w:t>72,547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5 %</w:t>
            </w:r>
          </w:p>
        </w:tc>
        <w:tc>
          <w:tcPr>
            <w:tcW w:w="0" w:type="dxa"/>
            <w:vAlign w:val="bottom"/>
          </w:tcPr>
          <w:p>
            <w:pPr>
              <w:spacing w:after="0"/>
              <w:rPr>
                <w:sz w:val="1"/>
                <w:szCs w:val="1"/>
                <w:color w:val="auto"/>
              </w:rPr>
            </w:pPr>
          </w:p>
        </w:tc>
      </w:tr>
      <w:tr>
        <w:trPr>
          <w:trHeight w:val="215"/>
        </w:trPr>
        <w:tc>
          <w:tcPr>
            <w:tcW w:w="6860" w:type="dxa"/>
            <w:vAlign w:val="bottom"/>
          </w:tcPr>
          <w:p>
            <w:pPr>
              <w:ind w:left="20"/>
              <w:spacing w:after="0" w:line="215" w:lineRule="exact"/>
              <w:rPr>
                <w:sz w:val="20"/>
                <w:szCs w:val="20"/>
                <w:color w:val="auto"/>
              </w:rPr>
            </w:pPr>
            <w:r>
              <w:rPr>
                <w:rFonts w:ascii="Calibri" w:cs="Calibri" w:eastAsia="Calibri" w:hAnsi="Calibri"/>
                <w:sz w:val="18"/>
                <w:szCs w:val="18"/>
                <w:color w:val="auto"/>
              </w:rPr>
              <w:t>Gross margin %</w:t>
            </w:r>
          </w:p>
        </w:tc>
        <w:tc>
          <w:tcPr>
            <w:tcW w:w="36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96 %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96 %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Cost of goods sold is related to our product revenues and consists of a 3% royalty payable on U.S. net sales of any product containing cabozantnib, as well as the cost of inventory sold, indirect labor costs, write-downs related to expiring, excess and obsolete inventory, and other third-party logistcs costs. The increase in cost of goods sold for the year ended December 31, 2024, as compared to 2023, was primarily due to the increase in royaltes as a result of increased U.S. CABOMETYX sales, partally ofset by a decrease in certain period costs. We project our gross margin in 2025 will remain consistent with fscal year 2024.</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Research and Development Expenses</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We do not track fully burdened research and development expenses on a project-by-project basis. We group our research and development expenses into three categories: (1) development; (2) drug discovery; and (3) other research and development. Our development group leads the development and implementaton of our clinical and regulatory strategies and prioritzes disease indicatons in which our compounds are being or may be studied in clinical trials. Development expenses include license and other collaboraton costs, primarily composed of upfront license fees, development milestones and other payments associated with our clinical-stage in-licensing collaboraton programs, clinical trial costs, personnel expenses, consultng and outside services and other development costs, including manufacturing costs of our drug development candidates. Our drug discovery group utlizes a variety of technologies, including in-licensed technologies, to enable the rapid discovery, optmizaton and extensive characterizaton of lead compounds and biotherapeutcs such that we are able to select development candidates with the best potental for further evaluaton and advancement into clinical development. Drug discovery expenses include license and other collaboraton costs primarily composed of upfront license fees, research funding commitments, opton exercise fees, development milestones and other payments associated with our in-licensing collaboraton programs in preclinical development stage. Other drug discovery costs include personnel expenses, consultng and outside services and laboratory supplies. Other research and development expenses include the allocaton of general corporate costs to research and development services and development cost reimbursements in connecton with certain of our collaboraton arrangements.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Research and development expenses by category were as follows (dollars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611"/>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Pr>
          <w:p>
            <w:pPr>
              <w:spacing w:after="0"/>
              <w:rPr>
                <w:sz w:val="16"/>
                <w:szCs w:val="16"/>
                <w:color w:val="auto"/>
              </w:rPr>
            </w:pPr>
          </w:p>
        </w:tc>
        <w:tc>
          <w:tcPr>
            <w:tcW w:w="940" w:type="dxa"/>
            <w:vAlign w:val="bottom"/>
            <w:vMerge w:val="restart"/>
          </w:tcPr>
          <w:p>
            <w:pPr>
              <w:jc w:val="right"/>
              <w:ind w:right="139"/>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54"/>
        </w:trPr>
        <w:tc>
          <w:tcPr>
            <w:tcW w:w="70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7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20"/>
              <w:spacing w:after="0" w:line="195" w:lineRule="exact"/>
              <w:rPr>
                <w:sz w:val="20"/>
                <w:szCs w:val="20"/>
                <w:color w:val="auto"/>
              </w:rPr>
            </w:pPr>
            <w:r>
              <w:rPr>
                <w:rFonts w:ascii="Calibri" w:cs="Calibri" w:eastAsia="Calibri" w:hAnsi="Calibri"/>
                <w:sz w:val="18"/>
                <w:szCs w:val="18"/>
                <w:color w:val="auto"/>
              </w:rPr>
              <w:t>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tcPr>
          <w:p>
            <w:pPr>
              <w:ind w:left="460"/>
              <w:spacing w:after="0" w:line="215" w:lineRule="exact"/>
              <w:rPr>
                <w:sz w:val="20"/>
                <w:szCs w:val="20"/>
                <w:color w:val="auto"/>
              </w:rPr>
            </w:pPr>
            <w:r>
              <w:rPr>
                <w:rFonts w:ascii="Calibri" w:cs="Calibri" w:eastAsia="Calibri" w:hAnsi="Calibri"/>
                <w:sz w:val="18"/>
                <w:szCs w:val="18"/>
                <w:color w:val="auto"/>
              </w:rPr>
              <w:t>Clinical trial costs</w:t>
            </w: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284,335</w:t>
            </w:r>
          </w:p>
        </w:tc>
        <w:tc>
          <w:tcPr>
            <w:tcW w:w="100" w:type="dxa"/>
            <w:vAlign w:val="bottom"/>
          </w:tcPr>
          <w:p>
            <w:pPr>
              <w:spacing w:after="0"/>
              <w:rPr>
                <w:sz w:val="19"/>
                <w:szCs w:val="19"/>
                <w:color w:val="auto"/>
              </w:rPr>
            </w:pP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281,338</w:t>
            </w:r>
          </w:p>
        </w:tc>
        <w:tc>
          <w:tcPr>
            <w:tcW w:w="10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Personnel expenses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183,951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167,879</w:t>
            </w:r>
          </w:p>
        </w:tc>
        <w:tc>
          <w:tcPr>
            <w:tcW w:w="104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10 %</w:t>
            </w:r>
          </w:p>
        </w:tc>
        <w:tc>
          <w:tcPr>
            <w:tcW w:w="0" w:type="dxa"/>
            <w:vAlign w:val="bottom"/>
          </w:tcPr>
          <w:p>
            <w:pPr>
              <w:spacing w:after="0"/>
              <w:rPr>
                <w:sz w:val="1"/>
                <w:szCs w:val="1"/>
                <w:color w:val="auto"/>
              </w:rPr>
            </w:pPr>
          </w:p>
        </w:tc>
      </w:tr>
      <w:tr>
        <w:trPr>
          <w:trHeight w:val="222"/>
        </w:trPr>
        <w:tc>
          <w:tcPr>
            <w:tcW w:w="7020" w:type="dxa"/>
            <w:vAlign w:val="bottom"/>
          </w:tcPr>
          <w:p>
            <w:pPr>
              <w:ind w:left="460"/>
              <w:spacing w:after="0" w:line="215" w:lineRule="exact"/>
              <w:rPr>
                <w:sz w:val="20"/>
                <w:szCs w:val="20"/>
                <w:color w:val="auto"/>
              </w:rPr>
            </w:pPr>
            <w:r>
              <w:rPr>
                <w:rFonts w:ascii="Calibri" w:cs="Calibri" w:eastAsia="Calibri" w:hAnsi="Calibri"/>
                <w:sz w:val="18"/>
                <w:szCs w:val="18"/>
                <w:color w:val="auto"/>
              </w:rPr>
              <w:t>License and other collaboraton costs</w:t>
            </w:r>
          </w:p>
        </w:tc>
        <w:tc>
          <w:tcPr>
            <w:tcW w:w="36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80,036</w:t>
            </w:r>
          </w:p>
        </w:tc>
        <w:tc>
          <w:tcPr>
            <w:tcW w:w="10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-44 %</w:t>
            </w: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Consultng and outside services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46,086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43,586</w:t>
            </w:r>
          </w:p>
        </w:tc>
        <w:tc>
          <w:tcPr>
            <w:tcW w:w="104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6 %</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60"/>
              <w:spacing w:after="0" w:line="215" w:lineRule="exact"/>
              <w:rPr>
                <w:sz w:val="20"/>
                <w:szCs w:val="20"/>
                <w:color w:val="auto"/>
              </w:rPr>
            </w:pPr>
            <w:r>
              <w:rPr>
                <w:rFonts w:ascii="Calibri" w:cs="Calibri" w:eastAsia="Calibri" w:hAnsi="Calibri"/>
                <w:sz w:val="18"/>
                <w:szCs w:val="18"/>
                <w:color w:val="auto"/>
              </w:rPr>
              <w:t>Other development costs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106,475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96,401</w:t>
            </w:r>
          </w:p>
        </w:tc>
        <w:tc>
          <w:tcPr>
            <w:tcW w:w="104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10 %</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660"/>
              <w:spacing w:after="0" w:line="206" w:lineRule="exact"/>
              <w:rPr>
                <w:sz w:val="20"/>
                <w:szCs w:val="20"/>
                <w:color w:val="auto"/>
              </w:rPr>
            </w:pPr>
            <w:r>
              <w:rPr>
                <w:rFonts w:ascii="Calibri" w:cs="Calibri" w:eastAsia="Calibri" w:hAnsi="Calibri"/>
                <w:sz w:val="18"/>
                <w:szCs w:val="18"/>
                <w:color w:val="auto"/>
              </w:rPr>
              <w:t>Total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665,847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669,240</w:t>
            </w:r>
          </w:p>
        </w:tc>
        <w:tc>
          <w:tcPr>
            <w:tcW w:w="1040" w:type="dxa"/>
            <w:vAlign w:val="bottom"/>
            <w:gridSpan w:val="2"/>
            <w:shd w:val="clear" w:color="auto" w:fill="CCEEFF"/>
          </w:tcPr>
          <w:p>
            <w:pPr>
              <w:jc w:val="right"/>
              <w:spacing w:after="0" w:line="202"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2"/>
        </w:trPr>
        <w:tc>
          <w:tcPr>
            <w:tcW w:w="7020" w:type="dxa"/>
            <w:vAlign w:val="bottom"/>
          </w:tcPr>
          <w:p>
            <w:pPr>
              <w:ind w:left="220"/>
              <w:spacing w:after="0" w:line="195" w:lineRule="exact"/>
              <w:rPr>
                <w:sz w:val="20"/>
                <w:szCs w:val="20"/>
                <w:color w:val="auto"/>
              </w:rPr>
            </w:pPr>
            <w:r>
              <w:rPr>
                <w:rFonts w:ascii="Calibri" w:cs="Calibri" w:eastAsia="Calibri" w:hAnsi="Calibri"/>
                <w:sz w:val="18"/>
                <w:szCs w:val="18"/>
                <w:color w:val="auto"/>
              </w:rPr>
              <w:t>Drug discovery:</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License and other collaboraton costs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24,172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92,970</w:t>
            </w:r>
          </w:p>
        </w:tc>
        <w:tc>
          <w:tcPr>
            <w:tcW w:w="104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-74 %</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60"/>
              <w:spacing w:after="0" w:line="215" w:lineRule="exact"/>
              <w:rPr>
                <w:sz w:val="20"/>
                <w:szCs w:val="20"/>
                <w:color w:val="auto"/>
              </w:rPr>
            </w:pPr>
            <w:r>
              <w:rPr>
                <w:rFonts w:ascii="Calibri" w:cs="Calibri" w:eastAsia="Calibri" w:hAnsi="Calibri"/>
                <w:sz w:val="18"/>
                <w:szCs w:val="18"/>
                <w:color w:val="auto"/>
              </w:rPr>
              <w:t>Other drug discovery costs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70,670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122,115</w:t>
            </w:r>
          </w:p>
        </w:tc>
        <w:tc>
          <w:tcPr>
            <w:tcW w:w="104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-42 %</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660"/>
              <w:spacing w:after="0" w:line="206" w:lineRule="exact"/>
              <w:rPr>
                <w:sz w:val="20"/>
                <w:szCs w:val="20"/>
                <w:color w:val="auto"/>
              </w:rPr>
            </w:pPr>
            <w:r>
              <w:rPr>
                <w:rFonts w:ascii="Calibri" w:cs="Calibri" w:eastAsia="Calibri" w:hAnsi="Calibri"/>
                <w:sz w:val="18"/>
                <w:szCs w:val="18"/>
                <w:color w:val="auto"/>
              </w:rPr>
              <w:t>Total drug discovery</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94,842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215,085</w:t>
            </w:r>
          </w:p>
        </w:tc>
        <w:tc>
          <w:tcPr>
            <w:tcW w:w="1040" w:type="dxa"/>
            <w:vAlign w:val="bottom"/>
            <w:gridSpan w:val="2"/>
            <w:shd w:val="clear" w:color="auto" w:fill="CCEEFF"/>
          </w:tcPr>
          <w:p>
            <w:pPr>
              <w:jc w:val="right"/>
              <w:spacing w:after="0" w:line="202" w:lineRule="exact"/>
              <w:rPr>
                <w:sz w:val="20"/>
                <w:szCs w:val="20"/>
                <w:color w:val="auto"/>
              </w:rPr>
            </w:pPr>
            <w:r>
              <w:rPr>
                <w:rFonts w:ascii="Calibri" w:cs="Calibri" w:eastAsia="Calibri" w:hAnsi="Calibri"/>
                <w:sz w:val="18"/>
                <w:szCs w:val="18"/>
                <w:color w:val="auto"/>
              </w:rPr>
              <w:t>-56 %</w:t>
            </w: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line="199" w:lineRule="exact"/>
              <w:rPr>
                <w:sz w:val="20"/>
                <w:szCs w:val="20"/>
                <w:color w:val="auto"/>
              </w:rPr>
            </w:pPr>
            <w:r>
              <w:rPr>
                <w:rFonts w:ascii="Calibri" w:cs="Calibri" w:eastAsia="Calibri" w:hAnsi="Calibri"/>
                <w:sz w:val="18"/>
                <w:szCs w:val="18"/>
                <w:color w:val="auto"/>
              </w:rPr>
              <w:t>Stock-based compensaton</w:t>
            </w:r>
          </w:p>
        </w:tc>
        <w:tc>
          <w:tcPr>
            <w:tcW w:w="36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30,670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34,320</w:t>
            </w:r>
          </w:p>
        </w:tc>
        <w:tc>
          <w:tcPr>
            <w:tcW w:w="1040" w:type="dxa"/>
            <w:vAlign w:val="bottom"/>
            <w:gridSpan w:val="2"/>
          </w:tcPr>
          <w:p>
            <w:pPr>
              <w:jc w:val="right"/>
              <w:spacing w:after="0" w:line="195" w:lineRule="exact"/>
              <w:rPr>
                <w:sz w:val="20"/>
                <w:szCs w:val="20"/>
                <w:color w:val="auto"/>
              </w:rPr>
            </w:pPr>
            <w:r>
              <w:rPr>
                <w:rFonts w:ascii="Calibri" w:cs="Calibri" w:eastAsia="Calibri" w:hAnsi="Calibri"/>
                <w:sz w:val="18"/>
                <w:szCs w:val="18"/>
                <w:color w:val="auto"/>
              </w:rPr>
              <w:t>-11 %</w:t>
            </w: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Other research and development</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119,049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125,426</w:t>
            </w:r>
          </w:p>
        </w:tc>
        <w:tc>
          <w:tcPr>
            <w:tcW w:w="104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-5 %</w:t>
            </w:r>
          </w:p>
        </w:tc>
        <w:tc>
          <w:tcPr>
            <w:tcW w:w="0" w:type="dxa"/>
            <w:vAlign w:val="bottom"/>
          </w:tcPr>
          <w:p>
            <w:pPr>
              <w:spacing w:after="0"/>
              <w:rPr>
                <w:sz w:val="1"/>
                <w:szCs w:val="1"/>
                <w:color w:val="auto"/>
              </w:rPr>
            </w:pPr>
          </w:p>
        </w:tc>
      </w:tr>
      <w:tr>
        <w:trPr>
          <w:trHeight w:val="223"/>
        </w:trPr>
        <w:tc>
          <w:tcPr>
            <w:tcW w:w="7020" w:type="dxa"/>
            <w:vAlign w:val="bottom"/>
          </w:tcPr>
          <w:p>
            <w:pPr>
              <w:ind w:left="780"/>
              <w:spacing w:after="0"/>
              <w:rPr>
                <w:sz w:val="20"/>
                <w:szCs w:val="20"/>
                <w:color w:val="auto"/>
              </w:rPr>
            </w:pPr>
            <w:r>
              <w:rPr>
                <w:rFonts w:ascii="Calibri" w:cs="Calibri" w:eastAsia="Calibri" w:hAnsi="Calibri"/>
                <w:sz w:val="18"/>
                <w:szCs w:val="18"/>
                <w:color w:val="auto"/>
              </w:rPr>
              <w:t>Total research and development expenses</w:t>
            </w:r>
          </w:p>
        </w:tc>
        <w:tc>
          <w:tcPr>
            <w:tcW w:w="36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910,408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1,044,071</w:t>
            </w:r>
          </w:p>
        </w:tc>
        <w:tc>
          <w:tcPr>
            <w:tcW w:w="1040" w:type="dxa"/>
            <w:vAlign w:val="bottom"/>
            <w:gridSpan w:val="2"/>
          </w:tcPr>
          <w:p>
            <w:pPr>
              <w:jc w:val="right"/>
              <w:spacing w:after="0" w:line="199" w:lineRule="exact"/>
              <w:rPr>
                <w:sz w:val="20"/>
                <w:szCs w:val="20"/>
                <w:color w:val="auto"/>
              </w:rPr>
            </w:pPr>
            <w:r>
              <w:rPr>
                <w:rFonts w:ascii="Calibri" w:cs="Calibri" w:eastAsia="Calibri" w:hAnsi="Calibri"/>
                <w:sz w:val="18"/>
                <w:szCs w:val="18"/>
                <w:color w:val="auto"/>
              </w:rPr>
              <w:t>-13 %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80" w:firstLine="648"/>
        <w:spacing w:after="0" w:line="235" w:lineRule="auto"/>
        <w:rPr>
          <w:sz w:val="20"/>
          <w:szCs w:val="20"/>
          <w:color w:val="auto"/>
        </w:rPr>
      </w:pPr>
      <w:r>
        <w:rPr>
          <w:rFonts w:ascii="Calibri" w:cs="Calibri" w:eastAsia="Calibri" w:hAnsi="Calibri"/>
          <w:sz w:val="18"/>
          <w:szCs w:val="18"/>
          <w:color w:val="auto"/>
        </w:rPr>
        <w:t>In additon, we track our external clinical trial costs by product and product candidate and by scientfc modalites, which are categorized as small molecule and biotherapeutcs programs. Small molecule clinical development for the reported periods was primarily composed of cabozantnib and zanzalintnib. Biotherapeutcs clinical development for the reported periods was primarily composed of XB002 and XB010.</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Clinical trial costs by scientfc modalites, by product and by product candidate were as follows (dollars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591"/>
              <w:spacing w:after="0"/>
              <w:rPr>
                <w:sz w:val="20"/>
                <w:szCs w:val="20"/>
                <w:color w:val="auto"/>
              </w:rPr>
            </w:pPr>
            <w:r>
              <w:rPr>
                <w:rFonts w:ascii="Calibri" w:cs="Calibri" w:eastAsia="Calibri" w:hAnsi="Calibri"/>
                <w:sz w:val="16"/>
                <w:szCs w:val="16"/>
                <w:b w:val="1"/>
                <w:bCs w:val="1"/>
                <w:color w:val="auto"/>
              </w:rPr>
              <w:t>Year Ended December 31,</w:t>
            </w:r>
          </w:p>
        </w:tc>
        <w:tc>
          <w:tcPr>
            <w:tcW w:w="80" w:type="dxa"/>
            <w:vAlign w:val="bottom"/>
          </w:tcPr>
          <w:p>
            <w:pPr>
              <w:spacing w:after="0"/>
              <w:rPr>
                <w:sz w:val="16"/>
                <w:szCs w:val="16"/>
                <w:color w:val="auto"/>
              </w:rPr>
            </w:pPr>
          </w:p>
        </w:tc>
        <w:tc>
          <w:tcPr>
            <w:tcW w:w="940" w:type="dxa"/>
            <w:vAlign w:val="bottom"/>
            <w:vMerge w:val="restart"/>
          </w:tcPr>
          <w:p>
            <w:pPr>
              <w:jc w:val="right"/>
              <w:ind w:right="119"/>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69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1"/>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940" w:type="dxa"/>
            <w:vAlign w:val="bottom"/>
          </w:tcPr>
          <w:p>
            <w:pPr>
              <w:jc w:val="right"/>
              <w:ind w:right="139"/>
              <w:spacing w:after="0" w:line="182" w:lineRule="exact"/>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41"/>
        </w:trPr>
        <w:tc>
          <w:tcPr>
            <w:tcW w:w="69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line="195" w:lineRule="exact"/>
              <w:rPr>
                <w:sz w:val="20"/>
                <w:szCs w:val="20"/>
                <w:color w:val="auto"/>
              </w:rPr>
            </w:pPr>
            <w:r>
              <w:rPr>
                <w:rFonts w:ascii="Calibri" w:cs="Calibri" w:eastAsia="Calibri" w:hAnsi="Calibri"/>
                <w:sz w:val="18"/>
                <w:szCs w:val="18"/>
                <w:color w:val="auto"/>
              </w:rPr>
              <w:t>Small molecules: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ind w:left="360"/>
              <w:spacing w:after="0" w:line="215" w:lineRule="exact"/>
              <w:rPr>
                <w:sz w:val="20"/>
                <w:szCs w:val="20"/>
                <w:color w:val="auto"/>
              </w:rPr>
            </w:pPr>
            <w:r>
              <w:rPr>
                <w:rFonts w:ascii="Calibri" w:cs="Calibri" w:eastAsia="Calibri" w:hAnsi="Calibri"/>
                <w:sz w:val="18"/>
                <w:szCs w:val="18"/>
                <w:color w:val="auto"/>
              </w:rPr>
              <w:t>Zanzalintnib</w:t>
            </w: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148,808</w:t>
            </w:r>
          </w:p>
        </w:tc>
        <w:tc>
          <w:tcPr>
            <w:tcW w:w="8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136,383</w:t>
            </w:r>
          </w:p>
        </w:tc>
        <w:tc>
          <w:tcPr>
            <w:tcW w:w="10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37"/>
        </w:trPr>
        <w:tc>
          <w:tcPr>
            <w:tcW w:w="694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Cabozantnib</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70,755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105,318</w:t>
            </w:r>
          </w:p>
        </w:tc>
        <w:tc>
          <w:tcPr>
            <w:tcW w:w="102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-33 %</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ind w:left="360"/>
              <w:spacing w:after="0" w:line="215" w:lineRule="exact"/>
              <w:rPr>
                <w:sz w:val="20"/>
                <w:szCs w:val="20"/>
                <w:color w:val="auto"/>
              </w:rPr>
            </w:pPr>
            <w:r>
              <w:rPr>
                <w:rFonts w:ascii="Calibri" w:cs="Calibri" w:eastAsia="Calibri" w:hAnsi="Calibri"/>
                <w:sz w:val="18"/>
                <w:szCs w:val="18"/>
                <w:color w:val="auto"/>
              </w:rPr>
              <w:t>Other small molecules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20,232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9,115</w:t>
            </w:r>
          </w:p>
        </w:tc>
        <w:tc>
          <w:tcPr>
            <w:tcW w:w="102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122 %</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600"/>
              <w:spacing w:after="0" w:line="206" w:lineRule="exact"/>
              <w:rPr>
                <w:sz w:val="20"/>
                <w:szCs w:val="20"/>
                <w:color w:val="auto"/>
              </w:rPr>
            </w:pPr>
            <w:r>
              <w:rPr>
                <w:rFonts w:ascii="Calibri" w:cs="Calibri" w:eastAsia="Calibri" w:hAnsi="Calibri"/>
                <w:sz w:val="18"/>
                <w:szCs w:val="18"/>
                <w:color w:val="auto"/>
              </w:rPr>
              <w:t>Total small molecules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239,795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250,816</w:t>
            </w:r>
          </w:p>
        </w:tc>
        <w:tc>
          <w:tcPr>
            <w:tcW w:w="1020" w:type="dxa"/>
            <w:vAlign w:val="bottom"/>
            <w:gridSpan w:val="2"/>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-4 %</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ind w:left="180"/>
              <w:spacing w:after="0" w:line="215" w:lineRule="exact"/>
              <w:rPr>
                <w:sz w:val="20"/>
                <w:szCs w:val="20"/>
                <w:color w:val="auto"/>
              </w:rPr>
            </w:pPr>
            <w:r>
              <w:rPr>
                <w:rFonts w:ascii="Calibri" w:cs="Calibri" w:eastAsia="Calibri" w:hAnsi="Calibri"/>
                <w:sz w:val="18"/>
                <w:szCs w:val="18"/>
                <w:color w:val="auto"/>
              </w:rPr>
              <w:t>Biotherapeutcs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44,540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30,522</w:t>
            </w:r>
          </w:p>
        </w:tc>
        <w:tc>
          <w:tcPr>
            <w:tcW w:w="102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46 %</w:t>
            </w:r>
          </w:p>
        </w:tc>
        <w:tc>
          <w:tcPr>
            <w:tcW w:w="0" w:type="dxa"/>
            <w:vAlign w:val="bottom"/>
          </w:tcPr>
          <w:p>
            <w:pPr>
              <w:spacing w:after="0"/>
              <w:rPr>
                <w:sz w:val="1"/>
                <w:szCs w:val="1"/>
                <w:color w:val="auto"/>
              </w:rPr>
            </w:pPr>
          </w:p>
        </w:tc>
      </w:tr>
      <w:tr>
        <w:trPr>
          <w:trHeight w:val="254"/>
        </w:trPr>
        <w:tc>
          <w:tcPr>
            <w:tcW w:w="6940" w:type="dxa"/>
            <w:vAlign w:val="bottom"/>
            <w:tcBorders>
              <w:bottom w:val="single" w:sz="8" w:color="CCEEFF"/>
            </w:tcBorders>
            <w:shd w:val="clear" w:color="auto" w:fill="CCEEFF"/>
          </w:tcPr>
          <w:p>
            <w:pPr>
              <w:ind w:left="800"/>
              <w:spacing w:after="0"/>
              <w:rPr>
                <w:sz w:val="20"/>
                <w:szCs w:val="20"/>
                <w:color w:val="auto"/>
              </w:rPr>
            </w:pPr>
            <w:r>
              <w:rPr>
                <w:rFonts w:ascii="Calibri" w:cs="Calibri" w:eastAsia="Calibri" w:hAnsi="Calibri"/>
                <w:sz w:val="18"/>
                <w:szCs w:val="18"/>
                <w:color w:val="auto"/>
              </w:rPr>
              <w:t>Total clinical trial costs</w:t>
            </w: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284,335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281,338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The decrease in research and development expenses for the year ended December 31, 2024, as compared to 2023, was primarily related to decreases in license and other collaboraton costs and other drug discovery costs, partally ofset by an increase in other development costs, primarily related to manufacturing costs to support Exelixis’ development candidates and clinical trial costs.</w:t>
      </w:r>
    </w:p>
    <w:p>
      <w:pPr>
        <w:spacing w:after="0" w:line="165" w:lineRule="exact"/>
        <w:rPr>
          <w:sz w:val="20"/>
          <w:szCs w:val="20"/>
          <w:color w:val="auto"/>
        </w:rPr>
      </w:pPr>
    </w:p>
    <w:p>
      <w:pPr>
        <w:ind w:right="40" w:firstLine="648"/>
        <w:spacing w:after="0" w:line="251" w:lineRule="auto"/>
        <w:rPr>
          <w:sz w:val="20"/>
          <w:szCs w:val="20"/>
          <w:color w:val="auto"/>
        </w:rPr>
      </w:pPr>
      <w:r>
        <w:rPr>
          <w:rFonts w:ascii="Calibri" w:cs="Calibri" w:eastAsia="Calibri" w:hAnsi="Calibri"/>
          <w:sz w:val="17"/>
          <w:szCs w:val="17"/>
          <w:color w:val="auto"/>
        </w:rPr>
        <w:t>Development-related license and other collaboraton costs decreased for the year ended December 31, 2024, as compared to 2023, primarily due to an $80.0 million upfront payment made upon the executon of the exclusive license agreement with Insilico in 2023, partally ofset by development milestone achievement in our clinical-stage in-licensing collaboraton programs. Drug discovery-related license and other collaboraton costs decreased for the year ended December 31, 2024, as compared to 2023, primarily due to lower development milestone achievement in our preclinical development stage in-licensing collaboraton programs, lower upfront fees and lower research funding. Other drug discovery costs decreased for the year ended December 31, 2024, as compared to 2023, primarily due to decreases in personnel expenses, consultng and outside services, and laboratory supplies. Clinical trial costs, which include services performed by third-party contract research organizatons and other vendors who support our clinical trials, increased for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year ended December 31, 2024, as compared to 2023, primarily due to higher costs associated with studies evaluatng zanzalintnib, XB010, XL309 and XL495, partally ofset by lower costs associated with cabozantnib studies.</w:t>
      </w:r>
    </w:p>
    <w:p>
      <w:pPr>
        <w:spacing w:after="0" w:line="16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additon to reviewing the three categories of research and development expenses described above, we principally consider qualitatve factors in making decisions regarding our research and development programs. These factors include enrollment in clinical trials for our product candidates, preliminary data and fnal results from clinical trials, the potental market indicatons and overall clinical and commercial potental for our product candidates, and compettve dynamics. We also make our research and development decisions in the context of our overall business strategy.</w:t>
      </w:r>
    </w:p>
    <w:p>
      <w:pPr>
        <w:spacing w:after="0" w:line="165"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We project that clinical trial costs may contnue to increase with higher costs associated with various studies evaluatng zanzalintnib, XL309, XL495, and XB628, partally ofset by decreases in costs associated with cabozantnib and XB002.</w:t>
      </w:r>
    </w:p>
    <w:p>
      <w:pPr>
        <w:spacing w:after="0" w:line="16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To contnue growing our pipeline, we are prioritzing investment in new molecules that are clinically diferentated with the potental to improve the standard of care for our cancer patents, including current and planned clinical trial programs evaluatng zanzalintnib, XL309, XL495, and XB010. We are working to expand our oncology product pipeline through drug discovery eforts, which encompass our diverse biotherapeutcs and small molecule programs exploring multple modalites and mechanisms of acton. This approach provides a high degree of fexibility with respect to target selecton and allows us to prioritze those targets that we believe have the greatest chance of yielding impactul therapeutcs. As part of our strategy, our drug discovery actvites have included and contnue to include internal research, as well as external research collaboratons, in-licensing arrangements and other strategic transactons that collectvely incorporate a wide range of technology platorms and assets and increase our probability of success. As of the date of this Annual Report on Form 10-K, we expect to progress up to three new development candidates into preclinical development in 2025. We will contnue to engage in pipeline expansion initatves with the goal of acquiring and in-licensing promising investgatonal oncology assets and then further characterize and develop them utlizing our established preclinical and clinical development infrastructure.</w:t>
      </w:r>
    </w:p>
    <w:p>
      <w:pPr>
        <w:spacing w:after="0" w:line="17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We project our research and development expenses may increase for fscal year 2025, as compared to the prior year, primarily driven by increases in license and other collaboraton costs and clinical trial costs, including the current and planned trials evaluatng zanzalintnib, XL309, XL495, and XB010, partally ofset by lower manufacturing costs.</w:t>
      </w:r>
    </w:p>
    <w:p>
      <w:pPr>
        <w:spacing w:after="0" w:line="165"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A discussion of the risks and uncertaintes with respect to our research and development actvites, and the consequences to our business, fnancial positon, and growth prospects can be found in “Risk Factors” in Part I, Item 1A of this Annual Report on Form 10-K.</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Selling, General and Administratve Expenses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Selling, general and administratve expenses were as follows (dollars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612"/>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Pr>
          <w:p>
            <w:pPr>
              <w:spacing w:after="0"/>
              <w:rPr>
                <w:sz w:val="16"/>
                <w:szCs w:val="16"/>
                <w:color w:val="auto"/>
              </w:rPr>
            </w:pPr>
          </w:p>
        </w:tc>
        <w:tc>
          <w:tcPr>
            <w:tcW w:w="940" w:type="dxa"/>
            <w:vAlign w:val="bottom"/>
            <w:vMerge w:val="restart"/>
          </w:tcPr>
          <w:p>
            <w:pPr>
              <w:jc w:val="right"/>
              <w:ind w:right="136"/>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7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4"/>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8"/>
                <w:szCs w:val="18"/>
                <w:color w:val="auto"/>
              </w:rPr>
            </w:pPr>
          </w:p>
        </w:tc>
        <w:tc>
          <w:tcPr>
            <w:tcW w:w="940" w:type="dxa"/>
            <w:vAlign w:val="bottom"/>
          </w:tcPr>
          <w:p>
            <w:pPr>
              <w:jc w:val="right"/>
              <w:ind w:right="156"/>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7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line="223" w:lineRule="exact"/>
              <w:rPr>
                <w:sz w:val="20"/>
                <w:szCs w:val="20"/>
                <w:color w:val="auto"/>
              </w:rPr>
            </w:pPr>
            <w:r>
              <w:rPr>
                <w:rFonts w:ascii="Calibri" w:cs="Calibri" w:eastAsia="Calibri" w:hAnsi="Calibri"/>
                <w:sz w:val="18"/>
                <w:szCs w:val="18"/>
                <w:color w:val="auto"/>
              </w:rPr>
              <w:t>Selling, general and administratve expenses</w:t>
            </w:r>
            <w:r>
              <w:rPr>
                <w:rFonts w:ascii="Calibri" w:cs="Calibri" w:eastAsia="Calibri" w:hAnsi="Calibri"/>
                <w:sz w:val="23"/>
                <w:szCs w:val="23"/>
                <w:color w:val="auto"/>
                <w:vertAlign w:val="superscript"/>
              </w:rPr>
              <w:t>(1)</w:t>
            </w: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428,962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470,680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Stock-based compensaton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63,166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72,025</w:t>
            </w:r>
          </w:p>
        </w:tc>
        <w:tc>
          <w:tcPr>
            <w:tcW w:w="1040" w:type="dxa"/>
            <w:vAlign w:val="bottom"/>
            <w:tcBorders>
              <w:bottom w:val="single" w:sz="8" w:color="CCEEFF"/>
            </w:tcBorders>
            <w:gridSpan w:val="2"/>
          </w:tcPr>
          <w:p>
            <w:pPr>
              <w:jc w:val="right"/>
              <w:spacing w:after="0" w:line="215" w:lineRule="exact"/>
              <w:rPr>
                <w:sz w:val="20"/>
                <w:szCs w:val="20"/>
                <w:color w:val="auto"/>
              </w:rPr>
            </w:pPr>
            <w:r>
              <w:rPr>
                <w:rFonts w:ascii="Calibri" w:cs="Calibri" w:eastAsia="Calibri" w:hAnsi="Calibri"/>
                <w:sz w:val="18"/>
                <w:szCs w:val="18"/>
                <w:color w:val="auto"/>
              </w:rPr>
              <w:t>-12 %</w:t>
            </w:r>
          </w:p>
        </w:tc>
        <w:tc>
          <w:tcPr>
            <w:tcW w:w="0" w:type="dxa"/>
            <w:vAlign w:val="bottom"/>
          </w:tcPr>
          <w:p>
            <w:pPr>
              <w:spacing w:after="0"/>
              <w:rPr>
                <w:sz w:val="1"/>
                <w:szCs w:val="1"/>
                <w:color w:val="auto"/>
              </w:rPr>
            </w:pPr>
          </w:p>
        </w:tc>
      </w:tr>
      <w:tr>
        <w:trPr>
          <w:trHeight w:val="255"/>
        </w:trPr>
        <w:tc>
          <w:tcPr>
            <w:tcW w:w="702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color w:val="auto"/>
              </w:rPr>
              <w:t>Total selling, general and administratve expenses</w:t>
            </w: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492,128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542,705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Calibri" w:cs="Calibri" w:eastAsia="Calibri" w:hAnsi="Calibri"/>
          <w:sz w:val="16"/>
          <w:szCs w:val="16"/>
          <w:color w:val="auto"/>
        </w:rPr>
        <w:t>____________________</w:t>
      </w:r>
    </w:p>
    <w:p>
      <w:pPr>
        <w:ind w:left="220" w:hanging="212"/>
        <w:spacing w:after="0" w:line="185" w:lineRule="auto"/>
        <w:tabs>
          <w:tab w:leader="none" w:pos="220" w:val="left"/>
        </w:tabs>
        <w:numPr>
          <w:ilvl w:val="0"/>
          <w:numId w:val="34"/>
        </w:numPr>
        <w:rPr>
          <w:rFonts w:ascii="Calibri" w:cs="Calibri" w:eastAsia="Calibri" w:hAnsi="Calibri"/>
          <w:sz w:val="20"/>
          <w:szCs w:val="20"/>
          <w:color w:val="auto"/>
          <w:vertAlign w:val="superscript"/>
        </w:rPr>
      </w:pPr>
      <w:r>
        <w:rPr>
          <w:rFonts w:ascii="Calibri" w:cs="Calibri" w:eastAsia="Calibri" w:hAnsi="Calibri"/>
          <w:sz w:val="15"/>
          <w:szCs w:val="15"/>
          <w:color w:val="auto"/>
        </w:rPr>
        <w:t>Excludes stock-based compensaton allocated to selling, general and administratve expenses.</w:t>
      </w:r>
    </w:p>
    <w:p>
      <w:pPr>
        <w:spacing w:after="0" w:line="154"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Selling, general and administratve expenses consist primarily of personnel expenses, stock-based compensaton, marketng costs and certain other administratve costs.</w:t>
      </w:r>
    </w:p>
    <w:p>
      <w:pPr>
        <w:spacing w:after="0" w:line="164"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The decrease in selling, general and administratve expenses for the year ended December 31, 2024, as compared to 2023, was primarily due to decreases in corporate giving, legal and advisory fees related to the 2023 proxy contest and a reducton in actvites related to litgaton, technology costs and stock-based compensaton expenses, partally ofset by an increase in personnel expenses.</w:t>
      </w:r>
    </w:p>
    <w:p>
      <w:pPr>
        <w:spacing w:after="0" w:line="165"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We project our selling, general and administratve expenses may increase in fscal year 2025, as compared to 2024, as a result of an increase in the Branded Prescripton Drug Fee due to higher revenues and an increase in marketng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actvites in support of the antcipated commercial launch of CABOMETYX for the treatment of patents with either advanced pNET or advanced epNET who experienced progression afer prior systemic therapy.</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Impairment of Long-Lived Assets</w:t>
      </w:r>
    </w:p>
    <w:p>
      <w:pPr>
        <w:spacing w:after="0" w:line="163" w:lineRule="exact"/>
        <w:rPr>
          <w:sz w:val="20"/>
          <w:szCs w:val="20"/>
          <w:color w:val="auto"/>
        </w:rPr>
      </w:pPr>
    </w:p>
    <w:p>
      <w:pPr>
        <w:jc w:val="both"/>
        <w:ind w:right="80" w:firstLine="648"/>
        <w:spacing w:after="0" w:line="252" w:lineRule="auto"/>
        <w:rPr>
          <w:sz w:val="20"/>
          <w:szCs w:val="20"/>
          <w:color w:val="auto"/>
        </w:rPr>
      </w:pPr>
      <w:r>
        <w:rPr>
          <w:rFonts w:ascii="Calibri" w:cs="Calibri" w:eastAsia="Calibri" w:hAnsi="Calibri"/>
          <w:sz w:val="17"/>
          <w:szCs w:val="17"/>
          <w:color w:val="auto"/>
        </w:rPr>
        <w:t>Impairment of long-lived assets for the year ended December 31, 2024, relates to certain leased facilites at our Alameda campus. During fscal year 2024, we listed certain buildings for sublease. As a result, we assessed the impacted asset groups for impairment and concluded that the related right-of-use assets and leasehold improvements were not fully recoverable and recognized a $51.7 million non-cash impairment charge. See “Note 12. Commitments and Contngencies” of the “Notes to Consolidated Financial Statements” in Part II, Item 8 of this Annual Report on Form 10-K for additonal informaton.</w:t>
      </w:r>
    </w:p>
    <w:p>
      <w:pPr>
        <w:spacing w:after="0" w:line="150"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Impairment of long-lived assets were as follows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tcPr>
          <w:p>
            <w:pPr>
              <w:spacing w:after="0"/>
              <w:rPr>
                <w:sz w:val="16"/>
                <w:szCs w:val="16"/>
                <w:color w:val="auto"/>
              </w:rPr>
            </w:pPr>
          </w:p>
        </w:tc>
        <w:tc>
          <w:tcPr>
            <w:tcW w:w="2720" w:type="dxa"/>
            <w:vAlign w:val="bottom"/>
            <w:gridSpan w:val="4"/>
          </w:tcPr>
          <w:p>
            <w:pPr>
              <w:jc w:val="right"/>
              <w:ind w:right="215"/>
              <w:spacing w:after="0"/>
              <w:rPr>
                <w:sz w:val="20"/>
                <w:szCs w:val="20"/>
                <w:color w:val="auto"/>
              </w:rPr>
            </w:pPr>
            <w:r>
              <w:rPr>
                <w:rFonts w:ascii="Calibri" w:cs="Calibri" w:eastAsia="Calibri" w:hAnsi="Calibri"/>
                <w:sz w:val="16"/>
                <w:szCs w:val="16"/>
                <w:b w:val="1"/>
                <w:bCs w:val="1"/>
                <w:color w:val="auto"/>
              </w:rPr>
              <w:t>Year Ended 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ind w:left="180"/>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71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714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2024</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right"/>
              <w:ind w:right="95"/>
              <w:spacing w:after="0"/>
              <w:rPr>
                <w:sz w:val="20"/>
                <w:szCs w:val="20"/>
                <w:color w:val="auto"/>
              </w:rPr>
            </w:pPr>
            <w:r>
              <w:rPr>
                <w:rFonts w:ascii="Calibri" w:cs="Calibri" w:eastAsia="Calibri" w:hAnsi="Calibri"/>
                <w:sz w:val="16"/>
                <w:szCs w:val="16"/>
                <w:b w:val="1"/>
                <w:bCs w:val="1"/>
                <w:color w:val="auto"/>
              </w:rPr>
              <w:t>2023</w:t>
            </w: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180"/>
              <w:spacing w:after="0" w:line="193" w:lineRule="exact"/>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7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Impairment of long-lived assets</w:t>
            </w:r>
          </w:p>
        </w:tc>
        <w:tc>
          <w:tcPr>
            <w:tcW w:w="940" w:type="dxa"/>
            <w:vAlign w:val="bottom"/>
            <w:shd w:val="clear" w:color="auto" w:fill="CCEEFF"/>
          </w:tcPr>
          <w:p>
            <w:pPr>
              <w:jc w:val="right"/>
              <w:ind w:right="756"/>
              <w:spacing w:after="0" w:line="215" w:lineRule="exact"/>
              <w:rPr>
                <w:sz w:val="20"/>
                <w:szCs w:val="20"/>
                <w:color w:val="auto"/>
              </w:rPr>
            </w:pPr>
            <w:r>
              <w:rPr>
                <w:rFonts w:ascii="Calibri" w:cs="Calibri" w:eastAsia="Calibri" w:hAnsi="Calibri"/>
                <w:sz w:val="18"/>
                <w:szCs w:val="18"/>
                <w:color w:val="auto"/>
                <w:w w:val="87"/>
              </w:rPr>
              <w:t>$</w:t>
            </w:r>
          </w:p>
        </w:tc>
        <w:tc>
          <w:tcPr>
            <w:tcW w:w="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9"/>
              </w:rPr>
              <w:t>51,672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line="215" w:lineRule="exact"/>
              <w:rPr>
                <w:sz w:val="20"/>
                <w:szCs w:val="20"/>
                <w:color w:val="auto"/>
              </w:rPr>
            </w:pPr>
            <w:r>
              <w:rPr>
                <w:rFonts w:ascii="Calibri" w:cs="Calibri" w:eastAsia="Calibri" w:hAnsi="Calibri"/>
                <w:sz w:val="18"/>
                <w:szCs w:val="18"/>
                <w:color w:val="auto"/>
                <w:w w:val="87"/>
              </w:rPr>
              <w:t>$</w:t>
            </w:r>
          </w:p>
        </w:tc>
        <w:tc>
          <w:tcPr>
            <w:tcW w:w="420" w:type="dxa"/>
            <w:vAlign w:val="bottom"/>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line="215" w:lineRule="exact"/>
              <w:rPr>
                <w:sz w:val="20"/>
                <w:szCs w:val="20"/>
                <w:color w:val="auto"/>
              </w:rPr>
            </w:pPr>
            <w:r>
              <w:rPr>
                <w:rFonts w:ascii="Calibri" w:cs="Calibri" w:eastAsia="Calibri" w:hAnsi="Calibri"/>
                <w:sz w:val="18"/>
                <w:szCs w:val="18"/>
                <w:color w:val="auto"/>
                <w:w w:val="95"/>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Restructuring Expenses</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Restructuring expenses resulted from the executon of the 2024 Restructuring Plan to reduce our workforce and rebalance our cost structure in alignment with our strategic priorites. Restructuring expenses consist of severance and employee-related costs, asset impairment, and contract terminaton costs. We incurred the majority of the charges related to the 2024 Restructuring Plan during the frst quarter of 2024. See “Note 13. Restructuring” of the “Notes to Consolidated Financial Statements” in Part II, Item 8 of this Annual Report on Form 10-K for additonal informaton.</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Restructuring expenses were as follows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7"/>
          </w:tcPr>
          <w:p>
            <w:pPr>
              <w:ind w:left="400"/>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Pr>
          <w:p>
            <w:pPr>
              <w:spacing w:after="0"/>
              <w:rPr>
                <w:sz w:val="16"/>
                <w:szCs w:val="16"/>
                <w:color w:val="auto"/>
              </w:rPr>
            </w:pPr>
          </w:p>
        </w:tc>
        <w:tc>
          <w:tcPr>
            <w:tcW w:w="860" w:type="dxa"/>
            <w:vAlign w:val="bottom"/>
            <w:gridSpan w:val="2"/>
            <w:vMerge w:val="restart"/>
          </w:tcPr>
          <w:p>
            <w:pPr>
              <w:ind w:left="180"/>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7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35"/>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3"/>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4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gridSpan w:val="2"/>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Restructuring expenses</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Calibri" w:cs="Calibri" w:eastAsia="Calibri" w:hAnsi="Calibri"/>
                <w:sz w:val="18"/>
                <w:szCs w:val="18"/>
                <w:color w:val="auto"/>
              </w:rPr>
              <w:t>33,660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CCEEFF"/>
            </w:tcBorders>
            <w:gridSpan w:val="2"/>
            <w:shd w:val="clear" w:color="auto" w:fill="CCEEFF"/>
          </w:tcPr>
          <w:p>
            <w:pPr>
              <w:ind w:left="10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600"/>
              <w:spacing w:after="0"/>
              <w:rPr>
                <w:sz w:val="20"/>
                <w:szCs w:val="20"/>
                <w:color w:val="auto"/>
              </w:rPr>
            </w:pPr>
            <w:r>
              <w:rPr>
                <w:rFonts w:ascii="Calibri" w:cs="Calibri" w:eastAsia="Calibri" w:hAnsi="Calibri"/>
                <w:sz w:val="18"/>
                <w:szCs w:val="18"/>
                <w:color w:val="auto"/>
                <w:w w:val="95"/>
              </w:rPr>
              <w:t>n/a</w:t>
            </w:r>
          </w:p>
        </w:tc>
        <w:tc>
          <w:tcPr>
            <w:tcW w:w="0" w:type="dxa"/>
            <w:vAlign w:val="bottom"/>
          </w:tcPr>
          <w:p>
            <w:pPr>
              <w:spacing w:after="0"/>
              <w:rPr>
                <w:sz w:val="1"/>
                <w:szCs w:val="1"/>
                <w:color w:val="auto"/>
              </w:rPr>
            </w:pPr>
          </w:p>
        </w:tc>
      </w:tr>
      <w:tr>
        <w:trPr>
          <w:trHeight w:val="436"/>
        </w:trPr>
        <w:tc>
          <w:tcPr>
            <w:tcW w:w="40" w:type="dxa"/>
            <w:vAlign w:val="bottom"/>
          </w:tcPr>
          <w:p>
            <w:pPr>
              <w:spacing w:after="0"/>
              <w:rPr>
                <w:sz w:val="24"/>
                <w:szCs w:val="24"/>
                <w:color w:val="auto"/>
              </w:rPr>
            </w:pPr>
          </w:p>
        </w:tc>
        <w:tc>
          <w:tcPr>
            <w:tcW w:w="7020" w:type="dxa"/>
            <w:vAlign w:val="bottom"/>
          </w:tcPr>
          <w:p>
            <w:pPr>
              <w:ind w:left="620"/>
              <w:spacing w:after="0"/>
              <w:rPr>
                <w:sz w:val="20"/>
                <w:szCs w:val="20"/>
                <w:color w:val="auto"/>
              </w:rPr>
            </w:pPr>
            <w:r>
              <w:rPr>
                <w:rFonts w:ascii="Calibri" w:cs="Calibri" w:eastAsia="Calibri" w:hAnsi="Calibri"/>
                <w:sz w:val="18"/>
                <w:szCs w:val="18"/>
                <w:b w:val="1"/>
                <w:bCs w:val="1"/>
                <w:i w:val="1"/>
                <w:iCs w:val="1"/>
                <w:color w:val="auto"/>
              </w:rPr>
              <w:t>Non-Operatng Income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7020" w:type="dxa"/>
            <w:vAlign w:val="bottom"/>
          </w:tcPr>
          <w:p>
            <w:pPr>
              <w:ind w:left="620"/>
              <w:spacing w:after="0"/>
              <w:rPr>
                <w:sz w:val="20"/>
                <w:szCs w:val="20"/>
                <w:color w:val="auto"/>
              </w:rPr>
            </w:pPr>
            <w:r>
              <w:rPr>
                <w:rFonts w:ascii="Calibri" w:cs="Calibri" w:eastAsia="Calibri" w:hAnsi="Calibri"/>
                <w:sz w:val="18"/>
                <w:szCs w:val="18"/>
                <w:color w:val="auto"/>
              </w:rPr>
              <w:t>Non-operatng income was as follows (dollars in thousands):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7"/>
          </w:tcPr>
          <w:p>
            <w:pPr>
              <w:ind w:left="320"/>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Pr>
          <w:p>
            <w:pPr>
              <w:spacing w:after="0"/>
              <w:rPr>
                <w:sz w:val="24"/>
                <w:szCs w:val="24"/>
                <w:color w:val="auto"/>
              </w:rPr>
            </w:pPr>
          </w:p>
        </w:tc>
        <w:tc>
          <w:tcPr>
            <w:tcW w:w="860" w:type="dxa"/>
            <w:vAlign w:val="bottom"/>
            <w:gridSpan w:val="2"/>
            <w:vMerge w:val="restart"/>
          </w:tcPr>
          <w:p>
            <w:pPr>
              <w:ind w:left="100"/>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70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5"/>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513"/>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2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Interest income</w:t>
            </w:r>
          </w:p>
        </w:tc>
        <w:tc>
          <w:tcPr>
            <w:tcW w:w="380" w:type="dxa"/>
            <w:vAlign w:val="bottom"/>
            <w:gridSpan w:val="2"/>
            <w:shd w:val="clear" w:color="auto" w:fill="CCEEFF"/>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77,156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86,543</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2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 income (expense), net</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340"/>
              <w:spacing w:after="0"/>
              <w:rPr>
                <w:sz w:val="20"/>
                <w:szCs w:val="20"/>
                <w:color w:val="auto"/>
              </w:rPr>
            </w:pPr>
            <w:r>
              <w:rPr>
                <w:rFonts w:ascii="Calibri" w:cs="Calibri" w:eastAsia="Calibri" w:hAnsi="Calibri"/>
                <w:sz w:val="18"/>
                <w:szCs w:val="18"/>
                <w:color w:val="auto"/>
              </w:rPr>
              <w:t>Non-operatng income</w:t>
            </w:r>
          </w:p>
        </w:tc>
        <w:tc>
          <w:tcPr>
            <w:tcW w:w="380" w:type="dxa"/>
            <w:vAlign w:val="bottom"/>
            <w:tcBorders>
              <w:bottom w:val="single" w:sz="8" w:color="auto"/>
            </w:tcBorders>
            <w:gridSpan w:val="2"/>
            <w:shd w:val="clear" w:color="auto" w:fill="CCEEFF"/>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77,023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86,636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-11 %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540" w:firstLine="648"/>
        <w:spacing w:after="0" w:line="235" w:lineRule="auto"/>
        <w:rPr>
          <w:sz w:val="20"/>
          <w:szCs w:val="20"/>
          <w:color w:val="auto"/>
        </w:rPr>
      </w:pPr>
      <w:r>
        <w:rPr>
          <w:rFonts w:ascii="Calibri" w:cs="Calibri" w:eastAsia="Calibri" w:hAnsi="Calibri"/>
          <w:sz w:val="18"/>
          <w:szCs w:val="18"/>
          <w:color w:val="auto"/>
        </w:rPr>
        <w:t>The decrease in non-operatng income for the year ended December 31, 2024, as compared to 2023, was primarily the result of a decrease in interest income due to lower average interest-bearing investment balances, partally ofset by higher average interest rates.</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Provision for Income Taxes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provision for income taxes and the efectve tax rates were as follows (dollars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4"/>
          </w:tcPr>
          <w:p>
            <w:pPr>
              <w:jc w:val="right"/>
              <w:ind w:right="713"/>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Pr>
          <w:p>
            <w:pPr>
              <w:spacing w:after="0"/>
              <w:rPr>
                <w:sz w:val="16"/>
                <w:szCs w:val="16"/>
                <w:color w:val="auto"/>
              </w:rPr>
            </w:pPr>
          </w:p>
        </w:tc>
        <w:tc>
          <w:tcPr>
            <w:tcW w:w="920" w:type="dxa"/>
            <w:vAlign w:val="bottom"/>
            <w:vMerge w:val="restart"/>
          </w:tcPr>
          <w:p>
            <w:pPr>
              <w:ind w:left="200"/>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55"/>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53"/>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8"/>
                <w:szCs w:val="18"/>
                <w:color w:val="auto"/>
              </w:rPr>
            </w:pPr>
          </w:p>
        </w:tc>
        <w:tc>
          <w:tcPr>
            <w:tcW w:w="920" w:type="dxa"/>
            <w:vAlign w:val="bottom"/>
          </w:tcPr>
          <w:p>
            <w:pPr>
              <w:ind w:left="200"/>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spacing w:after="0" w:line="199" w:lineRule="exact"/>
              <w:rPr>
                <w:sz w:val="20"/>
                <w:szCs w:val="20"/>
                <w:color w:val="auto"/>
              </w:rPr>
            </w:pPr>
            <w:r>
              <w:rPr>
                <w:rFonts w:ascii="Calibri" w:cs="Calibri" w:eastAsia="Calibri" w:hAnsi="Calibri"/>
                <w:sz w:val="18"/>
                <w:szCs w:val="18"/>
                <w:color w:val="auto"/>
              </w:rPr>
              <w:t>Provision for income taxes</w:t>
            </w: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shd w:val="clear" w:color="auto" w:fill="CCEEFF"/>
          </w:tcPr>
          <w:p>
            <w:pPr>
              <w:jc w:val="right"/>
              <w:ind w:right="115"/>
              <w:spacing w:after="0" w:line="215" w:lineRule="exact"/>
              <w:rPr>
                <w:sz w:val="20"/>
                <w:szCs w:val="20"/>
                <w:color w:val="auto"/>
              </w:rPr>
            </w:pPr>
            <w:r>
              <w:rPr>
                <w:rFonts w:ascii="Calibri" w:cs="Calibri" w:eastAsia="Calibri" w:hAnsi="Calibri"/>
                <w:sz w:val="18"/>
                <w:szCs w:val="18"/>
                <w:color w:val="auto"/>
              </w:rPr>
              <w:t>160,373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shd w:val="clear" w:color="auto" w:fill="CCEEFF"/>
          </w:tcPr>
          <w:p>
            <w:pPr>
              <w:jc w:val="right"/>
              <w:ind w:right="113"/>
              <w:spacing w:after="0" w:line="215" w:lineRule="exact"/>
              <w:rPr>
                <w:sz w:val="20"/>
                <w:szCs w:val="20"/>
                <w:color w:val="auto"/>
              </w:rPr>
            </w:pPr>
            <w:r>
              <w:rPr>
                <w:rFonts w:ascii="Calibri" w:cs="Calibri" w:eastAsia="Calibri" w:hAnsi="Calibri"/>
                <w:sz w:val="18"/>
                <w:szCs w:val="18"/>
                <w:color w:val="auto"/>
              </w:rPr>
              <w:t>49,756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222 %</w:t>
            </w:r>
          </w:p>
        </w:tc>
        <w:tc>
          <w:tcPr>
            <w:tcW w:w="0" w:type="dxa"/>
            <w:vAlign w:val="bottom"/>
          </w:tcPr>
          <w:p>
            <w:pPr>
              <w:spacing w:after="0"/>
              <w:rPr>
                <w:sz w:val="1"/>
                <w:szCs w:val="1"/>
                <w:color w:val="auto"/>
              </w:rPr>
            </w:pPr>
          </w:p>
        </w:tc>
      </w:tr>
      <w:tr>
        <w:trPr>
          <w:trHeight w:val="215"/>
        </w:trPr>
        <w:tc>
          <w:tcPr>
            <w:tcW w:w="6860" w:type="dxa"/>
            <w:vAlign w:val="bottom"/>
          </w:tcPr>
          <w:p>
            <w:pPr>
              <w:spacing w:after="0" w:line="215" w:lineRule="exact"/>
              <w:rPr>
                <w:sz w:val="20"/>
                <w:szCs w:val="20"/>
                <w:color w:val="auto"/>
              </w:rPr>
            </w:pPr>
            <w:r>
              <w:rPr>
                <w:rFonts w:ascii="Calibri" w:cs="Calibri" w:eastAsia="Calibri" w:hAnsi="Calibri"/>
                <w:sz w:val="18"/>
                <w:szCs w:val="18"/>
                <w:color w:val="auto"/>
              </w:rPr>
              <w:t>Efectve tax rate</w:t>
            </w:r>
          </w:p>
        </w:tc>
        <w:tc>
          <w:tcPr>
            <w:tcW w:w="36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23.5 %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19.3 %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The increase in provision for income taxes for the year ended December 31, 2024, as compared to 2023, was primarily due to an increase in pre-tax income. The efectve tax rate for the year ended December 31, 2024 difered from the U.S. federal statutory rate of 21% primarily due to state taxes, partally ofset by the generaton of federal tax credits. The efectve tax rate for the year ended December 31, 2023 difered from the U.S. federal statutory rate of 21% primarily due to the generaton of federal tax credits, partally ofset by non-deductble executve compensaton. We project that our efectve tax rate may be between 21% and 22% in fscal year 2025.</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63" w:lineRule="exact"/>
        <w:rPr>
          <w:sz w:val="20"/>
          <w:szCs w:val="20"/>
          <w:color w:val="auto"/>
        </w:rPr>
      </w:pPr>
    </w:p>
    <w:p>
      <w:pPr>
        <w:jc w:val="both"/>
        <w:ind w:right="280" w:firstLine="648"/>
        <w:spacing w:after="0" w:line="235" w:lineRule="auto"/>
        <w:rPr>
          <w:sz w:val="20"/>
          <w:szCs w:val="20"/>
          <w:color w:val="auto"/>
        </w:rPr>
      </w:pPr>
      <w:r>
        <w:rPr>
          <w:rFonts w:ascii="Calibri" w:cs="Calibri" w:eastAsia="Calibri" w:hAnsi="Calibri"/>
          <w:sz w:val="18"/>
          <w:szCs w:val="18"/>
          <w:color w:val="auto"/>
        </w:rPr>
        <w:t>As of December 31, 2024, we had $1.7 billion in cash, cash equivalents and marketable securites, as compared to $1.7 billion as of December 31, 2023. We antcipate that the aggregate of our current cash and cash equivalents, marketable securites available for operatons, net product revenues and collaboraton revenues will enable us to maintain our operatons for at least 12 months and thereafer for the foreseeable future.</w:t>
      </w:r>
    </w:p>
    <w:p>
      <w:pPr>
        <w:spacing w:after="0" w:line="165" w:lineRule="exact"/>
        <w:rPr>
          <w:sz w:val="20"/>
          <w:szCs w:val="20"/>
          <w:color w:val="auto"/>
        </w:rPr>
      </w:pPr>
    </w:p>
    <w:p>
      <w:pPr>
        <w:ind w:right="520" w:firstLine="648"/>
        <w:spacing w:after="0" w:line="235" w:lineRule="auto"/>
        <w:rPr>
          <w:sz w:val="20"/>
          <w:szCs w:val="20"/>
          <w:color w:val="auto"/>
        </w:rPr>
      </w:pPr>
      <w:r>
        <w:rPr>
          <w:rFonts w:ascii="Calibri" w:cs="Calibri" w:eastAsia="Calibri" w:hAnsi="Calibri"/>
          <w:sz w:val="18"/>
          <w:szCs w:val="18"/>
          <w:color w:val="auto"/>
        </w:rPr>
        <w:t>Our primary cash requirements for operatng actvites, which we project will increase in fscal 2025 as compared to fscal year 2024, are for: employee related expenditures; payments related to our collaboraton and development programs; income tax payments; royalty payments on our net product sales; cash payments for inventory; rent payments for our leased facilites and contract manufacturing payments.</w:t>
      </w:r>
    </w:p>
    <w:p>
      <w:pPr>
        <w:spacing w:after="0" w:line="165"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The Tax Cuts and Jobs Act, signed into law on December 22, 2017, modifed the tax treatment of research and development expenditures beginning in fscal year 2022. Research and development expenditures are no longer currently deductble but instead must be amortzed ratably over fve years for domestc expenditures or 15 years for foreign expenditures. As a result, we generated a higher federal income tax liability in fscal year 2024, which required higher estmated federal tax payments by the end of 2024. We will realize a reducton of our federal income tax liability in future years as the capitalized research and development expenditures are amortzed for tax purposes.</w:t>
      </w:r>
    </w:p>
    <w:p>
      <w:pPr>
        <w:spacing w:after="0" w:line="166"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Our primary sources of operatng cash are: cash collectons from customers related to net product revenues, which we project may increase for fscal year 2025, as compared to 2024; cash collectons related to milestones achieved and royaltes earned from our commercial collaboraton arrangements with Ipsen, Takeda and others; and cash collectons for cost reimbursements under certain of our development programs with Ipsen and Takeda which we project may decrease in 2025, as compared to 2024. The tming of cash generated from commercial collaboratons and cash payments required for in-licensing collaboratons relatve to upfront license fee payments, research funding commitments, cost reimbursements, exercise of opton payments and other contngent payments such as development milestone payments may vary from period to period.</w:t>
      </w:r>
    </w:p>
    <w:p>
      <w:pPr>
        <w:spacing w:after="0" w:line="167"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We project that we may contnue to spend signifcant amounts of cash to fund the development of product candidates in our pipeline, including zanzalintnib, XL309, XL495, XB010, and XB628, and the development and commercializaton of cabozantnib. In additon, we may contnue to expand our oncology product pipeline through additonal research collaboratons, in-licensing arrangements and other strategic transactons that align with our oncology drug development, regulatory and commercial expertse.</w:t>
      </w:r>
    </w:p>
    <w:p>
      <w:pPr>
        <w:spacing w:after="0" w:line="165" w:lineRule="exact"/>
        <w:rPr>
          <w:sz w:val="20"/>
          <w:szCs w:val="20"/>
          <w:color w:val="auto"/>
        </w:rPr>
      </w:pPr>
    </w:p>
    <w:p>
      <w:pPr>
        <w:ind w:firstLine="648"/>
        <w:spacing w:after="0" w:line="251" w:lineRule="auto"/>
        <w:rPr>
          <w:sz w:val="20"/>
          <w:szCs w:val="20"/>
          <w:color w:val="auto"/>
        </w:rPr>
      </w:pPr>
      <w:r>
        <w:rPr>
          <w:rFonts w:ascii="Calibri" w:cs="Calibri" w:eastAsia="Calibri" w:hAnsi="Calibri"/>
          <w:sz w:val="17"/>
          <w:szCs w:val="17"/>
          <w:color w:val="auto"/>
        </w:rPr>
        <w:t>In January 2024, our Board of Directors authorized the repurchase of up to $450.0 million of our common stock before the end of 2024. As of June 30, 2024, we completed the repurchase of 20.3 million shares of common stock for an aggregate purchase price of $450.0 million pursuant to our stock repurchase program. In August 2024, our Board of Directors authorized a stock repurchase program to acquire up to $500.0 million of our outstanding common stock before the end of 2025. Under this program, during the third and fourth quarter of 2024, we repurchased 6.1 million shares of common stock for an aggregate purchase price of $205.6 million. As of December 31, 2024, approximately $294.4 million remained available for future stock repurchases before the end of 2025. Stock repurchases under this program may be made from tme to tme through a variety of methods, which may include open market purchases, in block trades, Rule 10b5-1 trading plans, accelerated share repurchase transactons, exchange transactons, or any combinaton of such methods.</w:t>
      </w:r>
    </w:p>
    <w:p>
      <w:pPr>
        <w:spacing w:after="0" w:line="155" w:lineRule="exact"/>
        <w:rPr>
          <w:sz w:val="20"/>
          <w:szCs w:val="20"/>
          <w:color w:val="auto"/>
        </w:rPr>
      </w:pPr>
    </w:p>
    <w:p>
      <w:pPr>
        <w:jc w:val="both"/>
        <w:ind w:right="540" w:firstLine="648"/>
        <w:spacing w:after="0" w:line="235" w:lineRule="auto"/>
        <w:rPr>
          <w:sz w:val="20"/>
          <w:szCs w:val="20"/>
          <w:color w:val="auto"/>
        </w:rPr>
      </w:pPr>
      <w:r>
        <w:rPr>
          <w:rFonts w:ascii="Calibri" w:cs="Calibri" w:eastAsia="Calibri" w:hAnsi="Calibri"/>
          <w:sz w:val="18"/>
          <w:szCs w:val="18"/>
          <w:color w:val="auto"/>
        </w:rPr>
        <w:t>The tming and amount of any stock repurchases under the stock repurchase program will be based on a variety of factors, including ongoing assessments of the capital needs of the business, alternatve investment opportunites, the market price of Exelixis’ common stock and general market conditons.</w:t>
      </w:r>
    </w:p>
    <w:p>
      <w:pPr>
        <w:spacing w:after="0" w:line="165" w:lineRule="exact"/>
        <w:rPr>
          <w:sz w:val="20"/>
          <w:szCs w:val="20"/>
          <w:color w:val="auto"/>
        </w:rPr>
      </w:pPr>
    </w:p>
    <w:p>
      <w:pPr>
        <w:ind w:right="520" w:firstLine="648"/>
        <w:spacing w:after="0" w:line="235" w:lineRule="auto"/>
        <w:rPr>
          <w:sz w:val="20"/>
          <w:szCs w:val="20"/>
          <w:color w:val="auto"/>
        </w:rPr>
      </w:pPr>
      <w:r>
        <w:rPr>
          <w:rFonts w:ascii="Calibri" w:cs="Calibri" w:eastAsia="Calibri" w:hAnsi="Calibri"/>
          <w:sz w:val="18"/>
          <w:szCs w:val="18"/>
          <w:color w:val="auto"/>
        </w:rPr>
        <w:t>Financing these actvites could materially impact our liquidity and capital resources and may require us to incur debt or raise additonal funds through the issuance of equity. Furthermore, even though we believe we have sufcient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funds for our current and future operatng plans, we may choose to incur debt or raise additonal funds through the issuance of equity based on market conditons or strategic consideratons.</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 xml:space="preserve">Sources and Uses of Cash </w:t>
      </w:r>
      <w:r>
        <w:rPr>
          <w:rFonts w:ascii="Calibri" w:cs="Calibri" w:eastAsia="Calibri" w:hAnsi="Calibri"/>
          <w:sz w:val="18"/>
          <w:szCs w:val="18"/>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613"/>
              <w:spacing w:after="0"/>
              <w:rPr>
                <w:sz w:val="20"/>
                <w:szCs w:val="20"/>
                <w:color w:val="auto"/>
              </w:rPr>
            </w:pPr>
            <w:r>
              <w:rPr>
                <w:rFonts w:ascii="Calibri" w:cs="Calibri" w:eastAsia="Calibri" w:hAnsi="Calibri"/>
                <w:sz w:val="16"/>
                <w:szCs w:val="16"/>
                <w:b w:val="1"/>
                <w:bCs w:val="1"/>
                <w:color w:val="auto"/>
              </w:rPr>
              <w:t>Year Ended December 31,</w:t>
            </w:r>
          </w:p>
        </w:tc>
        <w:tc>
          <w:tcPr>
            <w:tcW w:w="80" w:type="dxa"/>
            <w:vAlign w:val="bottom"/>
          </w:tcPr>
          <w:p>
            <w:pPr>
              <w:spacing w:after="0"/>
              <w:rPr>
                <w:sz w:val="16"/>
                <w:szCs w:val="16"/>
                <w:color w:val="auto"/>
              </w:rPr>
            </w:pPr>
          </w:p>
        </w:tc>
        <w:tc>
          <w:tcPr>
            <w:tcW w:w="940" w:type="dxa"/>
            <w:vAlign w:val="bottom"/>
            <w:vMerge w:val="restart"/>
          </w:tcPr>
          <w:p>
            <w:pPr>
              <w:jc w:val="right"/>
              <w:ind w:right="116"/>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7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5"/>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8"/>
                <w:szCs w:val="18"/>
                <w:color w:val="auto"/>
              </w:rPr>
            </w:pPr>
          </w:p>
        </w:tc>
        <w:tc>
          <w:tcPr>
            <w:tcW w:w="940" w:type="dxa"/>
            <w:vAlign w:val="bottom"/>
          </w:tcPr>
          <w:p>
            <w:pPr>
              <w:jc w:val="right"/>
              <w:ind w:right="136"/>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Working capital</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1,063,810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923,681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15"/>
        </w:trPr>
        <w:tc>
          <w:tcPr>
            <w:tcW w:w="7100" w:type="dxa"/>
            <w:vAlign w:val="bottom"/>
          </w:tcPr>
          <w:p>
            <w:pPr>
              <w:ind w:left="20"/>
              <w:spacing w:after="0" w:line="215" w:lineRule="exact"/>
              <w:rPr>
                <w:sz w:val="20"/>
                <w:szCs w:val="20"/>
                <w:color w:val="auto"/>
              </w:rPr>
            </w:pPr>
            <w:r>
              <w:rPr>
                <w:rFonts w:ascii="Calibri" w:cs="Calibri" w:eastAsia="Calibri" w:hAnsi="Calibri"/>
                <w:sz w:val="18"/>
                <w:szCs w:val="18"/>
                <w:color w:val="auto"/>
              </w:rPr>
              <w:t>Cash, cash equivalents and marketable securites</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1,748,567</w:t>
            </w:r>
          </w:p>
        </w:tc>
        <w:tc>
          <w:tcPr>
            <w:tcW w:w="100" w:type="dxa"/>
            <w:vAlign w:val="bottom"/>
          </w:tcPr>
          <w:p>
            <w:pPr>
              <w:spacing w:after="0"/>
              <w:rPr>
                <w:sz w:val="18"/>
                <w:szCs w:val="18"/>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1,724,019</w:t>
            </w:r>
          </w:p>
        </w:tc>
        <w:tc>
          <w:tcPr>
            <w:tcW w:w="10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i w:val="1"/>
          <w:iCs w:val="1"/>
          <w:color w:val="auto"/>
        </w:rPr>
        <w:t>Working capital</w:t>
      </w:r>
      <w:r>
        <w:rPr>
          <w:rFonts w:ascii="Calibri" w:cs="Calibri" w:eastAsia="Calibri" w:hAnsi="Calibri"/>
          <w:sz w:val="18"/>
          <w:szCs w:val="18"/>
          <w:color w:val="auto"/>
        </w:rPr>
        <w:t>: The increase in working capital as of December 31, 2024, as compared to December 31, 2023, was primarily due to the favorable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impact to our net current assets resultng from our increase in net product revenues and collaboraton revenues, including a total of $164.7 million in milestone payments earned from Ipsen and reducton of the duraton of our investments, partally ofset by repurchases of our common stock. In the future, our working capital may be impacted by one of these factors or other factors, the amounts and tming of which are variable.</w:t>
      </w:r>
    </w:p>
    <w:p>
      <w:pPr>
        <w:spacing w:after="0" w:line="165"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i w:val="1"/>
          <w:iCs w:val="1"/>
          <w:color w:val="auto"/>
        </w:rPr>
        <w:t>Cash, cash equivalents and marketable securites</w:t>
      </w:r>
      <w:r>
        <w:rPr>
          <w:rFonts w:ascii="Calibri" w:cs="Calibri" w:eastAsia="Calibri" w:hAnsi="Calibri"/>
          <w:sz w:val="18"/>
          <w:szCs w:val="18"/>
          <w:color w:val="auto"/>
        </w:rPr>
        <w:t>: Cash and cash equivalents primarily consist of deposits at major banks, money market funds,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commercial paper and other securites with original maturites 90 days or less. Marketable securites primarily consist of debt securites available-for-sale and certfcates of deposit. For additonal informaton regarding our cash, cash equivalents and marketable securites, see “Note 5. Cash and Marketable Securites,” of the “Notes to Consolidated Financial Statements” in Part II, Item 8 of this Annual Report on Form 10-K. The increase in cash, cash equivalents and marketable securites at December 31, 2024, as compared to December 31, 2023, was primarily due to cash infows generated by our operatons from sales of our products and our commercial collaboraton arrangements, including $164.7 million in cash received from Ipsen for regulatory and commercial milestone payments earned, partally ofset by cash payments to repurchase our common stock, cash payments to support our development and discovery programs, including acquisiton of in-process research and development technology, tax payments and operatng cash payments for employee-related expenditures and restructuring.</w:t>
      </w:r>
    </w:p>
    <w:p>
      <w:pPr>
        <w:spacing w:after="0" w:line="165"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Cash fow actvites were as follows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612"/>
              <w:spacing w:after="0"/>
              <w:rPr>
                <w:sz w:val="20"/>
                <w:szCs w:val="20"/>
                <w:color w:val="auto"/>
              </w:rPr>
            </w:pPr>
            <w:r>
              <w:rPr>
                <w:rFonts w:ascii="Calibri" w:cs="Calibri" w:eastAsia="Calibri" w:hAnsi="Calibri"/>
                <w:sz w:val="16"/>
                <w:szCs w:val="16"/>
                <w:b w:val="1"/>
                <w:bCs w:val="1"/>
                <w:color w:val="auto"/>
              </w:rPr>
              <w:t>Year Ended December 31,</w:t>
            </w:r>
          </w:p>
        </w:tc>
        <w:tc>
          <w:tcPr>
            <w:tcW w:w="80" w:type="dxa"/>
            <w:vAlign w:val="bottom"/>
          </w:tcPr>
          <w:p>
            <w:pPr>
              <w:spacing w:after="0"/>
              <w:rPr>
                <w:sz w:val="16"/>
                <w:szCs w:val="16"/>
                <w:color w:val="auto"/>
              </w:rPr>
            </w:pPr>
          </w:p>
        </w:tc>
        <w:tc>
          <w:tcPr>
            <w:tcW w:w="940" w:type="dxa"/>
            <w:vAlign w:val="bottom"/>
            <w:vMerge w:val="restart"/>
          </w:tcPr>
          <w:p>
            <w:pPr>
              <w:jc w:val="right"/>
              <w:ind w:right="116"/>
              <w:spacing w:after="0"/>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41"/>
        </w:trPr>
        <w:tc>
          <w:tcPr>
            <w:tcW w:w="7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4"/>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8"/>
                <w:szCs w:val="18"/>
                <w:color w:val="auto"/>
              </w:rPr>
            </w:pPr>
          </w:p>
        </w:tc>
        <w:tc>
          <w:tcPr>
            <w:tcW w:w="940" w:type="dxa"/>
            <w:vAlign w:val="bottom"/>
          </w:tcPr>
          <w:p>
            <w:pPr>
              <w:jc w:val="right"/>
              <w:ind w:right="136"/>
              <w:spacing w:after="0"/>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8"/>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Net cash provided by operatng actvites</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center"/>
              <w:ind w:left="374"/>
              <w:spacing w:after="0" w:line="215" w:lineRule="exact"/>
              <w:rPr>
                <w:sz w:val="20"/>
                <w:szCs w:val="20"/>
                <w:color w:val="auto"/>
              </w:rPr>
            </w:pPr>
            <w:r>
              <w:rPr>
                <w:rFonts w:ascii="Calibri" w:cs="Calibri" w:eastAsia="Calibri" w:hAnsi="Calibri"/>
                <w:sz w:val="18"/>
                <w:szCs w:val="18"/>
                <w:color w:val="auto"/>
                <w:w w:val="97"/>
              </w:rPr>
              <w:t>699,971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333,324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110 %</w:t>
            </w:r>
          </w:p>
        </w:tc>
        <w:tc>
          <w:tcPr>
            <w:tcW w:w="0" w:type="dxa"/>
            <w:vAlign w:val="bottom"/>
          </w:tcPr>
          <w:p>
            <w:pPr>
              <w:spacing w:after="0"/>
              <w:rPr>
                <w:sz w:val="1"/>
                <w:szCs w:val="1"/>
                <w:color w:val="auto"/>
              </w:rPr>
            </w:pPr>
          </w:p>
        </w:tc>
      </w:tr>
      <w:tr>
        <w:trPr>
          <w:trHeight w:val="222"/>
        </w:trPr>
        <w:tc>
          <w:tcPr>
            <w:tcW w:w="710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center"/>
              <w:ind w:left="354"/>
              <w:spacing w:after="0" w:line="215" w:lineRule="exact"/>
              <w:rPr>
                <w:sz w:val="20"/>
                <w:szCs w:val="20"/>
                <w:color w:val="auto"/>
              </w:rPr>
            </w:pPr>
            <w:r>
              <w:rPr>
                <w:rFonts w:ascii="Calibri" w:cs="Calibri" w:eastAsia="Calibri" w:hAnsi="Calibri"/>
                <w:sz w:val="18"/>
                <w:szCs w:val="18"/>
                <w:color w:val="auto"/>
                <w:w w:val="96"/>
              </w:rPr>
              <w:t>(116,783)</w:t>
            </w:r>
          </w:p>
        </w:tc>
        <w:tc>
          <w:tcPr>
            <w:tcW w:w="100" w:type="dxa"/>
            <w:vAlign w:val="bottom"/>
          </w:tcPr>
          <w:p>
            <w:pPr>
              <w:spacing w:after="0"/>
              <w:rPr>
                <w:sz w:val="19"/>
                <w:szCs w:val="19"/>
                <w:color w:val="auto"/>
              </w:rPr>
            </w:pPr>
          </w:p>
        </w:tc>
        <w:tc>
          <w:tcPr>
            <w:tcW w:w="3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(26,955)</w:t>
            </w:r>
          </w:p>
        </w:tc>
        <w:tc>
          <w:tcPr>
            <w:tcW w:w="10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333 %</w:t>
            </w: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cash used in fnancing actvites</w:t>
            </w:r>
          </w:p>
        </w:tc>
        <w:tc>
          <w:tcPr>
            <w:tcW w:w="34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center"/>
              <w:ind w:left="354"/>
              <w:spacing w:after="0"/>
              <w:rPr>
                <w:sz w:val="20"/>
                <w:szCs w:val="20"/>
                <w:color w:val="auto"/>
              </w:rPr>
            </w:pPr>
            <w:r>
              <w:rPr>
                <w:rFonts w:ascii="Calibri" w:cs="Calibri" w:eastAsia="Calibri" w:hAnsi="Calibri"/>
                <w:sz w:val="18"/>
                <w:szCs w:val="18"/>
                <w:color w:val="auto"/>
                <w:w w:val="96"/>
              </w:rPr>
              <w:t>(628,808)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(546,052)</w:t>
            </w:r>
          </w:p>
        </w:tc>
        <w:tc>
          <w:tcPr>
            <w:tcW w:w="102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Operatng Actvites</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Cash provided by operatng actvites is derived by adjustng our net income for non-cash operatng items such as deferred taxes, stock-based compensaton, depreciaton and amortzaton, non-cash lease expense, impairment of long-lived assets, and changes in operatng assets and liabilites, which refect tming diferences between the receipt and payment of cash associated with transactons and when they are recognized in our Consolidated Statements of Income.</w:t>
      </w:r>
    </w:p>
    <w:p>
      <w:pPr>
        <w:spacing w:after="0" w:line="165"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Net cash provided by operatng actvites increased for the year ended December 31, 2024, as compared to 2023, primarily due to an increase in cash received on sales of our products, an increase in cash received upon achievement of milestones from Ipsen, and lower cash paid for operatng expenses, partally ofset by cash payments related to the 2024 Restructuring Plan.</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Investng Actvites</w:t>
      </w:r>
    </w:p>
    <w:p>
      <w:pPr>
        <w:spacing w:after="0" w:line="163" w:lineRule="exact"/>
        <w:rPr>
          <w:sz w:val="20"/>
          <w:szCs w:val="20"/>
          <w:color w:val="auto"/>
        </w:rPr>
      </w:pPr>
    </w:p>
    <w:p>
      <w:pPr>
        <w:jc w:val="both"/>
        <w:ind w:right="40" w:firstLine="648"/>
        <w:spacing w:after="0" w:line="235" w:lineRule="auto"/>
        <w:rPr>
          <w:sz w:val="20"/>
          <w:szCs w:val="20"/>
          <w:color w:val="auto"/>
        </w:rPr>
      </w:pPr>
      <w:r>
        <w:rPr>
          <w:rFonts w:ascii="Calibri" w:cs="Calibri" w:eastAsia="Calibri" w:hAnsi="Calibri"/>
          <w:sz w:val="18"/>
          <w:szCs w:val="18"/>
          <w:color w:val="auto"/>
        </w:rPr>
        <w:t>The changes in cash fows from investng actvites primarily relates to the tming of marketable securites actvity, acquisiton of in-process research and development technology and capital expenditures. Our capital expenditures primarily consist of investments to expand our operatons and acquire assets that further support our research and development actvites.</w:t>
      </w:r>
    </w:p>
    <w:p>
      <w:pPr>
        <w:spacing w:after="0" w:line="165" w:lineRule="exact"/>
        <w:rPr>
          <w:sz w:val="20"/>
          <w:szCs w:val="20"/>
          <w:color w:val="auto"/>
        </w:rPr>
      </w:pPr>
    </w:p>
    <w:p>
      <w:pPr>
        <w:ind w:right="240" w:firstLine="648"/>
        <w:spacing w:after="0" w:line="235" w:lineRule="auto"/>
        <w:rPr>
          <w:sz w:val="20"/>
          <w:szCs w:val="20"/>
          <w:color w:val="auto"/>
        </w:rPr>
      </w:pPr>
      <w:r>
        <w:rPr>
          <w:rFonts w:ascii="Calibri" w:cs="Calibri" w:eastAsia="Calibri" w:hAnsi="Calibri"/>
          <w:sz w:val="18"/>
          <w:szCs w:val="18"/>
          <w:color w:val="auto"/>
        </w:rPr>
        <w:t>Net cash used in investng actvites increased for the year ended December 31, 2024, as compared to 2023. The increase in cash used in investng actvites was primarily due to a decrease in cash proceeds from maturites and sales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900"/>
        <w:spacing w:after="0" w:line="258" w:lineRule="auto"/>
        <w:rPr>
          <w:sz w:val="20"/>
          <w:szCs w:val="20"/>
          <w:color w:val="auto"/>
        </w:rPr>
      </w:pPr>
      <w:r>
        <w:rPr>
          <w:rFonts w:ascii="Calibri" w:cs="Calibri" w:eastAsia="Calibri" w:hAnsi="Calibri"/>
          <w:sz w:val="17"/>
          <w:szCs w:val="17"/>
          <w:color w:val="auto"/>
        </w:rPr>
        <w:t>marketable securites and an increase in purchases of marketable securites, partally ofset by a decrease in purchases of in-process research and development technology related to certain in-licensing collaboraton arrangements and a decrease in purchases of property and equipment.</w:t>
      </w:r>
    </w:p>
    <w:p>
      <w:pPr>
        <w:spacing w:after="0" w:line="143"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Financing Actvites</w:t>
      </w:r>
    </w:p>
    <w:p>
      <w:pPr>
        <w:spacing w:after="0" w:line="163"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color w:val="auto"/>
        </w:rPr>
        <w:t>The changes in cash fows from fnancing actvites primarily relate to payments for repurchases of common stock, proceeds from employee stock programs and taxes paid related to net share setlement of equity awards.</w:t>
      </w:r>
    </w:p>
    <w:p>
      <w:pPr>
        <w:spacing w:after="0" w:line="164"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Net cash used in fnancing actvites increased for the year ended December 31, 2024, as compared to 2023. The increase in cash used in fnancing actvites was primarily due to an increase in payments for repurchases of common stock.</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Contractual Obligatons</w:t>
      </w:r>
    </w:p>
    <w:p>
      <w:pPr>
        <w:spacing w:after="0" w:line="163" w:lineRule="exact"/>
        <w:rPr>
          <w:sz w:val="20"/>
          <w:szCs w:val="20"/>
          <w:color w:val="auto"/>
        </w:rPr>
      </w:pPr>
    </w:p>
    <w:p>
      <w:pPr>
        <w:jc w:val="both"/>
        <w:ind w:right="60" w:firstLine="648"/>
        <w:spacing w:after="0" w:line="235" w:lineRule="auto"/>
        <w:rPr>
          <w:sz w:val="20"/>
          <w:szCs w:val="20"/>
          <w:color w:val="auto"/>
        </w:rPr>
      </w:pPr>
      <w:r>
        <w:rPr>
          <w:rFonts w:ascii="Calibri" w:cs="Calibri" w:eastAsia="Calibri" w:hAnsi="Calibri"/>
          <w:sz w:val="18"/>
          <w:szCs w:val="18"/>
          <w:color w:val="auto"/>
        </w:rPr>
        <w:t>As of December 31, 2024, we antcipate the aggregate of our cash, cash equivalents and marketable securites and cash generated from operatons to be sufcient to fund our contractual obligatons, as well as cash requirements to support our ongoing operatons and capital expenditures. Our contractual obligatons as of December 31, 2024 primarily consist of:</w:t>
      </w:r>
    </w:p>
    <w:p>
      <w:pPr>
        <w:spacing w:after="0" w:line="165" w:lineRule="exact"/>
        <w:rPr>
          <w:sz w:val="20"/>
          <w:szCs w:val="20"/>
          <w:color w:val="auto"/>
        </w:rPr>
      </w:pPr>
    </w:p>
    <w:p>
      <w:pPr>
        <w:jc w:val="both"/>
        <w:ind w:right="20" w:firstLine="648"/>
        <w:spacing w:after="0" w:line="235" w:lineRule="auto"/>
        <w:rPr>
          <w:sz w:val="20"/>
          <w:szCs w:val="20"/>
          <w:color w:val="auto"/>
        </w:rPr>
      </w:pPr>
      <w:r>
        <w:rPr>
          <w:rFonts w:ascii="Calibri" w:cs="Calibri" w:eastAsia="Calibri" w:hAnsi="Calibri"/>
          <w:sz w:val="18"/>
          <w:szCs w:val="18"/>
          <w:i w:val="1"/>
          <w:iCs w:val="1"/>
          <w:color w:val="auto"/>
        </w:rPr>
        <w:t xml:space="preserve">Operatng leases: </w:t>
      </w:r>
      <w:r>
        <w:rPr>
          <w:rFonts w:ascii="Calibri" w:cs="Calibri" w:eastAsia="Calibri" w:hAnsi="Calibri"/>
          <w:sz w:val="18"/>
          <w:szCs w:val="18"/>
          <w:color w:val="auto"/>
        </w:rPr>
        <w:t>We have certain lease agreements related to our corporate campus facilites and laboratory facilites located in Alameda, California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and Greater Philadelphia area, under which we are obligated to make lease payments. As of December 31, 2024, we had $26.5 million of lease payments due in one year and $259.2 million due over the remaining lease term.</w:t>
      </w:r>
    </w:p>
    <w:p>
      <w:pPr>
        <w:spacing w:after="0" w:line="165" w:lineRule="exact"/>
        <w:rPr>
          <w:sz w:val="20"/>
          <w:szCs w:val="20"/>
          <w:color w:val="auto"/>
        </w:rPr>
      </w:pPr>
    </w:p>
    <w:p>
      <w:pPr>
        <w:ind w:right="80" w:firstLine="648"/>
        <w:spacing w:after="0" w:line="258" w:lineRule="auto"/>
        <w:rPr>
          <w:sz w:val="20"/>
          <w:szCs w:val="20"/>
          <w:color w:val="auto"/>
        </w:rPr>
      </w:pPr>
      <w:r>
        <w:rPr>
          <w:rFonts w:ascii="Calibri" w:cs="Calibri" w:eastAsia="Calibri" w:hAnsi="Calibri"/>
          <w:sz w:val="17"/>
          <w:szCs w:val="17"/>
          <w:i w:val="1"/>
          <w:iCs w:val="1"/>
          <w:color w:val="auto"/>
        </w:rPr>
        <w:t xml:space="preserve">Purchase obligatons: </w:t>
      </w:r>
      <w:r>
        <w:rPr>
          <w:rFonts w:ascii="Calibri" w:cs="Calibri" w:eastAsia="Calibri" w:hAnsi="Calibri"/>
          <w:sz w:val="17"/>
          <w:szCs w:val="17"/>
          <w:color w:val="auto"/>
        </w:rPr>
        <w:t>Purchase obligatons include frm purchase commitments related to manufacturing of inventory, sofware services and other</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facilites and equipment. As of December 31, 2024, we had $63.4 million total purchase obligatons due within one year and $13.3 million due afer one year.</w:t>
      </w:r>
    </w:p>
    <w:p>
      <w:pPr>
        <w:spacing w:after="0" w:line="148"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 xml:space="preserve">Contngent payments: </w:t>
      </w:r>
      <w:r>
        <w:rPr>
          <w:rFonts w:ascii="Calibri" w:cs="Calibri" w:eastAsia="Calibri" w:hAnsi="Calibri"/>
          <w:sz w:val="18"/>
          <w:szCs w:val="18"/>
          <w:color w:val="auto"/>
        </w:rPr>
        <w:t>We have commited to make certain contngent payments for potental future milestones, research funding commitments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royaltes to certain collaboraton partners, including contngent exercise fee payments if we decide to exercise certain of our optons to in-license or acquire in-process research and development technology as part of our agreements with those partes. We do not expect these contngent payments to have a signifcant impact on our liquidity in the near term.</w:t>
      </w:r>
    </w:p>
    <w:p>
      <w:pPr>
        <w:spacing w:after="0" w:line="165"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See “Notes 4. Collaboraton Agreements and Business Development Actvites” and “Note 12. Commitments and Contngencies” of the “Notes to Consolidated Financial Statements” in Part II, Item 8 of this Annual Report on Form 10-K for additonal informaton regarding our contractual obligatons and contngencies.</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As of December 31, 2024, we did not have any material of-balance-sheet arrangements, as defned by applicable SEC regulatons.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 preparaton of our Consolidated Financial Statements conforms to accountng principles generally accepted in the U.S. which requires management to make judgments, estmates and assumptons that afect the reported amounts of assets, liabilites, equity, revenues and expenses, and related disclosures. An accountng policy is considered to be critcal if it requires an accountng estmate to be made based on assumptons about maters that are highly uncertain at the tme the estmate is made, and if diferent estmates that reasonably could have been used, or changes in the accountng estmates that are reasonably likely to occur periodically, could materially impact our Consolidated Financial Statements. On an ongoing basis, management evaluates its estmates including, but not limited to: those related to revenue recogniton, including determining the nature and tming of satsfacton of performance obligatons, and determining the standalone selling price of performance obligatons, and variable consideraton such as rebates, chargebacks, sales returns and sales allowances as well as milestones included in collaboraton arrangements; the accrual for certain liabilites including accrued clinical trial liabilites; and valuatons of equity awards used to determine stock-based compensaton, including certain awards with vestng subject to market or performance conditons; and the amounts of deferred tax assets and liabilites including the related valuaton allowance. We base our estmates on historical experience and on various other market-specifc and other relevant assumptons that we believe to be reasonable under the circumstances, the results of which form the basis for making judgments about the carrying values of assets and liabilites that are not readily apparent from other sources. Our senior management has discussed the development, selecton and disclosure of these estmates with the Audit Commitee of our Board of Directors. Actual results could difer materially from those estmates.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color w:val="auto"/>
        </w:rPr>
        <w:t>We believe our critcal accountng policies relatng to revenue recogniton, clinical trial and collaboraton accruals, stock-based compensaton and income taxes refect the more signifcant estmates and assumptons used in the preparaton of our Consolidated Financial Statements.</w:t>
      </w:r>
    </w:p>
    <w:p>
      <w:pPr>
        <w:spacing w:after="0" w:line="164"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For a complete descripton of our signifcant accountng policies, see “Note 1. Organizaton and Summary of Signifcant Accountng Policies” of the “Notes to Consolidated Financial Statements” in Part II, Item 8 of this Annual Report on Form 10-K.</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Net Product Revenues and Discounts and Allowances</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We recognize revenues when our customers obtain control of promised goods or services, in an amount that refects the consideraton to which we are enttled to in exchange for those goods or services. We calculate gross product revenues based on the price that we charge to the specialty pharmacies and distributors in the U.S. We estmate our domestc net product revenues by deductng from our gross product revenues: (a) trade allowances, such as discounts for prompt payment; (b) estmated government rebates and chargebacks; (c) certain other fees paid to specialty pharmacies, distributors and commercial payors; and (d) returns. We record estmates for these deductons at the tme we recognize the related gross product revenue. However, the actual rebate or chargeback on the sale of our product to a distributor is not invoiced to us untl a future period, generally within three months from the date of sale. Due to this tme lag, we must estmate the amount of rebates and chargebacks to accrue. We base our estmates for the expected utlizaton on customer and payer data received from the specialty pharmacies and distributors and historical utlizaton rates. We update our estmates every quarter to refect actual claims and other current informaton. Actual rebates and chargebacks claimed for prior periods have varied from our estmates by less than 1% of the amount deducted from gross product revenues for the years ended December 31, 2024 and 2023. Our current estmates may difer signifcantly from actual results.</w:t>
      </w:r>
    </w:p>
    <w:p>
      <w:pPr>
        <w:spacing w:after="0" w:line="167"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Collaboraton Revenues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enter into collaboraton arrangements with third partes, under which we license certain rights to our intellectual property, and account for the arrangements as either license revenue or collaboraton services revenue when the counterparty is a customer. The terms of these arrangements may include payments to us for one or more of the following: non-refundable, up-front license fees; development, regulatory and commercial milestone payments; product supply services; development cost reimbursements; proft sharing arrangements; and royaltes on net sales of licensed products.</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As part of the accountng for these arrangements, we must develop assumptons that require judgment to determine the standalone selling price for each performance obligaton identfed in the contract. We use key assumptons to determine the standalone selling price, which may include forecast revenues and costs, clinical development tmelines and costs, reimbursement rates for personnel costs, discount rates and probabilites of technical and regulatory success. At the incepton of each arrangement that includes development milestone payments, we evaluate whether the milestones are considered probable of being reached and estmate the amount to be included in the transacton price using the most likely amount method. At the end of each subsequent reportng period, we re-evaluate the probability of earning of such development milestones and any related constraint, and if necessary, adjust our estmate of the overall transacton price. For arrangements that may include sales-based royaltes, including milestone payments based on the level of sales, and the license is deemed to be the predominant item to which the royaltes relate, we recognize revenue at the later of (i) when the related sale occurs or (ii) when the performance obligaton to which some or all of the royalty has been allocated has been satsfed (or partally satsfed). Development milestone adjustments are recorded on a cumulatve catch-up basis, which would afect collaboraton services revenues in the period of adjustment. In additon, in recording revenues for our research and development services performance obligatons, we use projected development cost estmates to determine the amount of revenue to record as we satsfy this performance obligaton.</w:t>
      </w:r>
    </w:p>
    <w:p>
      <w:pPr>
        <w:spacing w:after="0" w:line="167"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Clinical Trial and Collaboraton Accruals</w:t>
      </w:r>
    </w:p>
    <w:p>
      <w:pPr>
        <w:spacing w:after="0" w:line="163"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We execute all of our clinical trials with support from contract research organizatons and other vendors and we accrue costs for clinical trial actvites performed by these third partes based upon the estmated amount of work completed on each trial. For clinical trial expenses, the signifcant factors used in estmatng accruals include the number of patents enrolled, the actvites performed for each patent, the number of actve clinical sites and the duraton for which the patents will be enrolled in the trial. Certain of our in-licensing collaboraton arrangements include contngent payments in the form of development, regulatory and commercial milestones. We recognize expense for contngent payments when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they are deemed probable of achievement which requires judgment as to the probability and tming of the achievement of the underlying milestones. To the extent actual results, or updated probability estmates, difer from current estmates, such amounts are recorded as an adjustment in the period estmates are revised. We monitor patent enrollment levels and assess the related research and development actvites progress, including the probability of achieving milestones payments associated to the respectve terms and conditons of our in-licensing and collaboraton arrangements to the extent possible through internal reviews and estmates of the operatonal progress of our discovery and early-stage clinical development programs, correspondence with contract research organizatons and review of contractual terms. We base our estmates on the best informaton available at the tme. However, additonal informaton may become available to us, which may allow us to make a more accurate estmate in future periods. If we do not identfy costs that we have begun to incur or if we underestmate or overestmate the level of services performed or the costs of these services, our actual expenses could difer from our estmates.</w:t>
      </w:r>
    </w:p>
    <w:p>
      <w:pPr>
        <w:spacing w:after="0" w:line="14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Stock-based compensaton expense requires us to estmate the fair value of performance-based restricted stock units (PSUs) and restricted stock units (RSUs) subject to market conditons, and estmate the number of shares subject to PSUs and RSUs with market conditons that will ultmately vest. To determine the fair value, we use models that require a number of complex and subjectve assumptons including our stock price volatlity, employee exercise paterns and risk-free interest rates. Monte Carlo simulaton models are used to determine grant date fair value of awards with market conditons. The assumptons used in calculatng the fair value of market conditons awards represent management’s best estmates, but these estmates involve inherent uncertaintes and the applicaton of management judgment. As a result, if factors change and we use diferent assumptons, our stock-based compensaton expense could be materially diferent in the future.</w:t>
      </w:r>
    </w:p>
    <w:p>
      <w:pPr>
        <w:spacing w:after="0" w:line="168"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We recognize stock-based compensaton for PSUs over the requisite service period only for awards which we estmate will ultmately vest, which requires judgment as to the probability and tming of the achievement of the underlying performance goals. Signifcant factors we consider in making those judgments include forecasts of our product revenues and those of our collaboraton partners, estmates regarding the operatonal progress of late-stage clinical development programs and discovery pipeline expansion performance targets. To the extent actual results, or updated estmates, difer from current estmates, such amounts are recorded as a cumulatve adjustment in the period estmates are revised and as such, can materially afect our stock-based compensaton expense in the current period and in the future. Compensaton expense related to RSUs with market vestng conditons is recognized regardless of the outcome of the market conditons.</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163"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We compute our income tax provision or beneft under the asset and liability method. Signifcant estmates are required in determining our income tax provision or beneft. We base some of these estmates on interpretatons of existng tax laws or regulatons. We recognize deferred tax assets and liabilites for the expected future tax consequences of events that have been included in the fnancial statements or tax returns. Under this method, deferred tax assets and liabilites are determined on the basis of the diference between the tax basis of assets and liabilites and their respectve fnancial reportng amounts (temporary diferences) at enacted tax rates in efect for the years in which the diferences are expected to reverse. A valuaton allowance is established for deferred tax assets for which it is more likely than not that some porton or all of the deferred tax assets, including net operatng losses and tax credits, will not be realized. We periodically re-assess the need for a valuaton allowance against our deferred tax assets based on various factors including our historical earnings experience by taxing jurisdicton, and forecasts of future operatng results and utlizaton of net operatng losses and tax credits prior to their expiraton. Signifcant judgment is required in making this assessment and, to the extent that we deem a reversal of any porton of our valuaton allowance against our deferred tax assets to be appropriate, we recognize a tax beneft against our income tax provision in the period of such reversal.</w:t>
      </w:r>
    </w:p>
    <w:p>
      <w:pPr>
        <w:spacing w:after="0" w:line="160"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recognize the tax beneft from an uncertain tax positon only if it is more likely than not that the tax positon will be sustained upon examinaton by tax authorites based on the technical merits of the positon. The tax beneft recognized in the Consolidated Financial Statements for a partcular tax positon is based on the largest beneft that is more likely than not to be realized. The amount of unrecognized tax benefts is adjusted as appropriate for changes in facts and circumstances, such as signifcant amendments to existng tax law, new regulatons or interpretatons by tax authorites, new informaton obtained during a tax examinaton or resoluton of an examinaton. We have elected to record interest and penaltes in the accompanying Consolidated Statements of Income as a component of income taxes.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63" w:lineRule="exact"/>
        <w:rPr>
          <w:sz w:val="20"/>
          <w:szCs w:val="20"/>
          <w:color w:val="auto"/>
        </w:rPr>
      </w:pPr>
    </w:p>
    <w:p>
      <w:pPr>
        <w:jc w:val="both"/>
        <w:ind w:right="160" w:firstLine="648"/>
        <w:spacing w:after="0" w:line="235" w:lineRule="auto"/>
        <w:rPr>
          <w:sz w:val="20"/>
          <w:szCs w:val="20"/>
          <w:color w:val="auto"/>
        </w:rPr>
      </w:pPr>
      <w:r>
        <w:rPr>
          <w:rFonts w:ascii="Calibri" w:cs="Calibri" w:eastAsia="Calibri" w:hAnsi="Calibri"/>
          <w:sz w:val="18"/>
          <w:szCs w:val="18"/>
          <w:color w:val="auto"/>
        </w:rPr>
        <w:t>For a descripton of the expected impact of recent accountng pronouncements, see “Note 1. Organizaton and Summary of Signifcant Accountng Policies” of the “Notes to Consolidated Financial Statements” in Part II, Item 8 of this Annual Report on Form 10-K.</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7A. Quanttatve and Qualitatve Disclosures About Market Risk.</w:t>
      </w:r>
    </w:p>
    <w:p>
      <w:pPr>
        <w:spacing w:after="0" w:line="163" w:lineRule="exact"/>
        <w:rPr>
          <w:sz w:val="20"/>
          <w:szCs w:val="20"/>
          <w:color w:val="auto"/>
        </w:rPr>
      </w:pPr>
    </w:p>
    <w:p>
      <w:pPr>
        <w:jc w:val="both"/>
        <w:ind w:right="160" w:firstLine="648"/>
        <w:spacing w:after="0" w:line="235" w:lineRule="auto"/>
        <w:rPr>
          <w:sz w:val="20"/>
          <w:szCs w:val="20"/>
          <w:color w:val="auto"/>
        </w:rPr>
      </w:pPr>
      <w:r>
        <w:rPr>
          <w:rFonts w:ascii="Calibri" w:cs="Calibri" w:eastAsia="Calibri" w:hAnsi="Calibri"/>
          <w:sz w:val="18"/>
          <w:szCs w:val="18"/>
          <w:color w:val="auto"/>
        </w:rPr>
        <w:t>We are exposed to cash fow and earnings fuctuatons as a result of certain market risks. These market risks primarily relate to changes in interest rates and foreign exchange rates. Our investment portolio is used to preserve our capital untl it is required to fund operatons, including our research and development actvites. None of these market risk-sensitve instruments are held for trading purposes.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Interest Rate Risk</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invest our cash in a variety of fnancial instruments, principally securites issued by the U.S. government and its agencies, investment-grade corporate bonds and commercial paper, and money market funds. These investments are denominated in U.S. Dollars. All of our interest-bearing securites are subject to interest rate risk and could decline in value if interest rates fuctuate. Substantally all of our investment portolio consists of marketable securites with actve secondary or resale markets to help ensure portolio liquidity, and we have implemented guidelines limitng the term-to-maturity of our investment instruments. Due to the conservatve and short-term nature of these instruments, we do not believe that we have a material exposure to interest rate risk. If market interest rates were to increase or decrease by one percentage point, the fair value of our investment portolio would increase or decrease by an immaterial amount.</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Foreign Exchange Rate Risk</w:t>
      </w:r>
    </w:p>
    <w:p>
      <w:pPr>
        <w:spacing w:after="0" w:line="163" w:lineRule="exact"/>
        <w:rPr>
          <w:sz w:val="20"/>
          <w:szCs w:val="20"/>
          <w:color w:val="auto"/>
        </w:rPr>
      </w:pPr>
    </w:p>
    <w:p>
      <w:pPr>
        <w:ind w:right="20" w:firstLine="648"/>
        <w:spacing w:after="0" w:line="250" w:lineRule="auto"/>
        <w:rPr>
          <w:sz w:val="20"/>
          <w:szCs w:val="20"/>
          <w:color w:val="auto"/>
        </w:rPr>
      </w:pPr>
      <w:r>
        <w:rPr>
          <w:rFonts w:ascii="Calibri" w:cs="Calibri" w:eastAsia="Calibri" w:hAnsi="Calibri"/>
          <w:sz w:val="17"/>
          <w:szCs w:val="17"/>
          <w:color w:val="auto"/>
        </w:rPr>
        <w:t>Fluctuatons in the exchange rates of the U.S. dollar and foreign currencies may have the efect of increasing or decreasing our revenues and expenses and related fnancial assets, liabilites and cash fows. Royalty revenues and sales-based milestones we receive from our collaboraton agreements with Ipsen, Takeda and Genentech are a percentage of the net sales made by those collaboraton partners from sales made in countries outside the U.S. and are denominated in currencies in which the product is sold, which is predominantly the Euro or Japanese Yen. Research and development expenses include clinical trial and other services performed by third-party contract research organizatons and other vendors located outside the U.S. that may bill us in currencies where their services are provided, which is predominantly the Euro. If the U.S. dollar strengthens against a foreign currency, then our royalty revenues will decrease for the same number of units sold in that foreign currency and the date we achieve certain sales-based milestones may also be delayed. Similarly, if the U.S. dollar weakens against a foreign currency, then our research and development expenses would increase. However, we believe that we are not subject to material risks arising from changes in foreign exchange rates and that a hypothetcal 10% increase or decrease in foreign exchange rates would not have a material adverse impact on our fnancial conditon, results of operatons or cash fows. From tme to tme we have entered into forward foreign currency exchange contracts, that are not designated as hedges for accountng purposes, to hedge certain operatonal exposures for the changes in foreign currency exchange rates associated with assets or liabilites denominated in foreign currencies, primarily the Euro. Our strategy is to enter into foreign currency forward contracts for currencies in which we have an asset or liability exposure so that increases or decreases in the foreign currency exposure are ofset by gains or losses on the foreign currency forward contracts, which mitgate the risks and volatlity associated with certain foreign currency transactons. See “Note 6. Fair Value Measurements — Forward Foreign Currency Contracts” of the “Notes to Consolidated Financial Statements” in Part II, Item 8 of this Annual Report on Form 10-K for additonal informaton about our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3" w:right="39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8. Financial Statements and Supplementary Data.</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EXELIXIS,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INDEX TO CONSOLIDATED FINANCIAL STATEMENTS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w w:val="99"/>
              </w:rPr>
              <w:t>Page</w:t>
            </w:r>
          </w:p>
        </w:tc>
        <w:tc>
          <w:tcPr>
            <w:tcW w:w="0" w:type="dxa"/>
            <w:vAlign w:val="bottom"/>
          </w:tcPr>
          <w:p>
            <w:pPr>
              <w:spacing w:after="0"/>
              <w:rPr>
                <w:sz w:val="1"/>
                <w:szCs w:val="1"/>
                <w:color w:val="auto"/>
              </w:rPr>
            </w:pPr>
          </w:p>
        </w:tc>
      </w:tr>
      <w:tr>
        <w:trPr>
          <w:trHeight w:val="47"/>
        </w:trPr>
        <w:tc>
          <w:tcPr>
            <w:tcW w:w="9660" w:type="dxa"/>
            <w:vAlign w:val="bottom"/>
            <w:gridSpan w:val="8"/>
            <w:vMerge w:val="restart"/>
          </w:tcPr>
          <w:p>
            <w:pPr>
              <w:spacing w:after="0" w:line="203" w:lineRule="exact"/>
              <w:rPr>
                <w:sz w:val="20"/>
                <w:szCs w:val="20"/>
                <w:color w:val="auto"/>
              </w:rPr>
            </w:pPr>
            <w:r>
              <w:rPr>
                <w:rFonts w:ascii="Calibri" w:cs="Calibri" w:eastAsia="Calibri" w:hAnsi="Calibri"/>
                <w:sz w:val="18"/>
                <w:szCs w:val="18"/>
                <w:color w:val="0000FF"/>
              </w:rPr>
              <w:t xml:space="preserve">Report of Independent Registered Public Accountng Firm (PCAOB ID: </w:t>
            </w:r>
            <w:r>
              <w:rPr>
                <w:rFonts w:ascii="Calibri" w:cs="Calibri" w:eastAsia="Calibri" w:hAnsi="Calibri"/>
                <w:sz w:val="18"/>
                <w:szCs w:val="18"/>
                <w:color w:val="000000"/>
              </w:rPr>
              <w:t>42)</w:t>
            </w: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9660" w:type="dxa"/>
            <w:vAlign w:val="bottom"/>
            <w:gridSpan w:val="8"/>
            <w:vMerge w:val="continue"/>
          </w:tcPr>
          <w:p>
            <w:pPr>
              <w:spacing w:after="0"/>
              <w:rPr>
                <w:sz w:val="13"/>
                <w:szCs w:val="13"/>
                <w:color w:val="auto"/>
              </w:rPr>
            </w:pPr>
          </w:p>
        </w:tc>
        <w:tc>
          <w:tcPr>
            <w:tcW w:w="1560" w:type="dxa"/>
            <w:vAlign w:val="bottom"/>
            <w:gridSpan w:val="3"/>
          </w:tcPr>
          <w:p>
            <w:pPr>
              <w:jc w:val="center"/>
              <w:spacing w:after="0" w:line="142" w:lineRule="exact"/>
              <w:rPr>
                <w:sz w:val="20"/>
                <w:szCs w:val="20"/>
                <w:color w:val="auto"/>
              </w:rPr>
            </w:pPr>
            <w:r>
              <w:rPr>
                <w:rFonts w:ascii="Calibri" w:cs="Calibri" w:eastAsia="Calibri" w:hAnsi="Calibri"/>
                <w:sz w:val="15"/>
                <w:szCs w:val="15"/>
                <w:color w:val="0000FF"/>
              </w:rPr>
              <w:t>79</w:t>
            </w:r>
          </w:p>
        </w:tc>
        <w:tc>
          <w:tcPr>
            <w:tcW w:w="0" w:type="dxa"/>
            <w:vAlign w:val="bottom"/>
          </w:tcPr>
          <w:p>
            <w:pPr>
              <w:spacing w:after="0"/>
              <w:rPr>
                <w:sz w:val="1"/>
                <w:szCs w:val="1"/>
                <w:color w:val="auto"/>
              </w:rPr>
            </w:pPr>
          </w:p>
        </w:tc>
      </w:tr>
      <w:tr>
        <w:trPr>
          <w:trHeight w:val="27"/>
        </w:trPr>
        <w:tc>
          <w:tcPr>
            <w:tcW w:w="20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960" w:type="dxa"/>
            <w:vAlign w:val="bottom"/>
            <w:gridSpan w:val="2"/>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60" w:type="dxa"/>
            <w:vAlign w:val="bottom"/>
            <w:gridSpan w:val="8"/>
          </w:tcPr>
          <w:p>
            <w:pPr>
              <w:spacing w:after="0" w:line="216" w:lineRule="exact"/>
              <w:rPr>
                <w:sz w:val="20"/>
                <w:szCs w:val="20"/>
                <w:color w:val="auto"/>
              </w:rPr>
            </w:pPr>
            <w:r>
              <w:rPr>
                <w:rFonts w:ascii="Calibri" w:cs="Calibri" w:eastAsia="Calibri" w:hAnsi="Calibri"/>
                <w:sz w:val="18"/>
                <w:szCs w:val="18"/>
                <w:color w:val="0000FF"/>
              </w:rPr>
              <w:t>Consolidated Balance Sheets</w:t>
            </w:r>
          </w:p>
        </w:tc>
        <w:tc>
          <w:tcPr>
            <w:tcW w:w="1560" w:type="dxa"/>
            <w:vAlign w:val="bottom"/>
            <w:gridSpan w:val="3"/>
          </w:tcPr>
          <w:p>
            <w:pPr>
              <w:jc w:val="center"/>
              <w:spacing w:after="0" w:line="216" w:lineRule="exact"/>
              <w:rPr>
                <w:sz w:val="20"/>
                <w:szCs w:val="20"/>
                <w:color w:val="auto"/>
              </w:rPr>
            </w:pPr>
            <w:r>
              <w:rPr>
                <w:rFonts w:ascii="Calibri" w:cs="Calibri" w:eastAsia="Calibri" w:hAnsi="Calibri"/>
                <w:sz w:val="18"/>
                <w:szCs w:val="18"/>
                <w:color w:val="0000FF"/>
                <w:w w:val="98"/>
              </w:rPr>
              <w:t>81</w:t>
            </w:r>
          </w:p>
        </w:tc>
        <w:tc>
          <w:tcPr>
            <w:tcW w:w="0" w:type="dxa"/>
            <w:vAlign w:val="bottom"/>
          </w:tcPr>
          <w:p>
            <w:pPr>
              <w:spacing w:after="0"/>
              <w:rPr>
                <w:sz w:val="1"/>
                <w:szCs w:val="1"/>
                <w:color w:val="auto"/>
              </w:rPr>
            </w:pPr>
          </w:p>
        </w:tc>
      </w:tr>
      <w:tr>
        <w:trPr>
          <w:trHeight w:val="20"/>
        </w:trPr>
        <w:tc>
          <w:tcPr>
            <w:tcW w:w="20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60" w:type="dxa"/>
            <w:vAlign w:val="bottom"/>
            <w:gridSpan w:val="8"/>
          </w:tcPr>
          <w:p>
            <w:pPr>
              <w:spacing w:after="0" w:line="209" w:lineRule="exact"/>
              <w:rPr>
                <w:sz w:val="20"/>
                <w:szCs w:val="20"/>
                <w:color w:val="auto"/>
              </w:rPr>
            </w:pPr>
            <w:r>
              <w:rPr>
                <w:rFonts w:ascii="Calibri" w:cs="Calibri" w:eastAsia="Calibri" w:hAnsi="Calibri"/>
                <w:sz w:val="18"/>
                <w:szCs w:val="18"/>
                <w:color w:val="0000FF"/>
              </w:rPr>
              <w:t>Consolidated Statements of Income</w:t>
            </w:r>
          </w:p>
        </w:tc>
        <w:tc>
          <w:tcPr>
            <w:tcW w:w="156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82</w:t>
            </w:r>
          </w:p>
        </w:tc>
        <w:tc>
          <w:tcPr>
            <w:tcW w:w="0" w:type="dxa"/>
            <w:vAlign w:val="bottom"/>
          </w:tcPr>
          <w:p>
            <w:pPr>
              <w:spacing w:after="0"/>
              <w:rPr>
                <w:sz w:val="1"/>
                <w:szCs w:val="1"/>
                <w:color w:val="auto"/>
              </w:rPr>
            </w:pPr>
          </w:p>
        </w:tc>
      </w:tr>
      <w:tr>
        <w:trPr>
          <w:trHeight w:val="20"/>
        </w:trPr>
        <w:tc>
          <w:tcPr>
            <w:tcW w:w="25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6"/>
          </w:tcPr>
          <w:p>
            <w:pPr>
              <w:spacing w:after="0" w:line="209" w:lineRule="exact"/>
              <w:rPr>
                <w:sz w:val="20"/>
                <w:szCs w:val="20"/>
                <w:color w:val="auto"/>
              </w:rPr>
            </w:pPr>
            <w:r>
              <w:rPr>
                <w:rFonts w:ascii="Calibri" w:cs="Calibri" w:eastAsia="Calibri" w:hAnsi="Calibri"/>
                <w:sz w:val="18"/>
                <w:szCs w:val="18"/>
                <w:color w:val="0000FF"/>
                <w:w w:val="96"/>
              </w:rPr>
              <w:t>Consolidated Statements of Comprehensive Income</w:t>
            </w:r>
          </w:p>
        </w:tc>
        <w:tc>
          <w:tcPr>
            <w:tcW w:w="5960" w:type="dxa"/>
            <w:vAlign w:val="bottom"/>
            <w:gridSpan w:val="2"/>
          </w:tcPr>
          <w:p>
            <w:pPr>
              <w:spacing w:after="0"/>
              <w:rPr>
                <w:sz w:val="18"/>
                <w:szCs w:val="18"/>
                <w:color w:val="auto"/>
              </w:rPr>
            </w:pPr>
          </w:p>
        </w:tc>
        <w:tc>
          <w:tcPr>
            <w:tcW w:w="156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82</w:t>
            </w:r>
          </w:p>
        </w:tc>
        <w:tc>
          <w:tcPr>
            <w:tcW w:w="0" w:type="dxa"/>
            <w:vAlign w:val="bottom"/>
          </w:tcPr>
          <w:p>
            <w:pPr>
              <w:spacing w:after="0"/>
              <w:rPr>
                <w:sz w:val="1"/>
                <w:szCs w:val="1"/>
                <w:color w:val="auto"/>
              </w:rPr>
            </w:pPr>
          </w:p>
        </w:tc>
      </w:tr>
      <w:tr>
        <w:trPr>
          <w:trHeight w:val="20"/>
        </w:trPr>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gridSpan w:val="5"/>
          </w:tcPr>
          <w:p>
            <w:pPr>
              <w:spacing w:after="0" w:line="209" w:lineRule="exact"/>
              <w:rPr>
                <w:sz w:val="20"/>
                <w:szCs w:val="20"/>
                <w:color w:val="auto"/>
              </w:rPr>
            </w:pPr>
            <w:r>
              <w:rPr>
                <w:rFonts w:ascii="Calibri" w:cs="Calibri" w:eastAsia="Calibri" w:hAnsi="Calibri"/>
                <w:sz w:val="18"/>
                <w:szCs w:val="18"/>
                <w:color w:val="0000FF"/>
                <w:w w:val="96"/>
              </w:rPr>
              <w:t>Consolidated Statements of Stockholders’ Equity</w:t>
            </w:r>
          </w:p>
        </w:tc>
        <w:tc>
          <w:tcPr>
            <w:tcW w:w="240" w:type="dxa"/>
            <w:vAlign w:val="bottom"/>
          </w:tcPr>
          <w:p>
            <w:pPr>
              <w:spacing w:after="0"/>
              <w:rPr>
                <w:sz w:val="18"/>
                <w:szCs w:val="18"/>
                <w:color w:val="auto"/>
              </w:rPr>
            </w:pPr>
          </w:p>
        </w:tc>
        <w:tc>
          <w:tcPr>
            <w:tcW w:w="5960" w:type="dxa"/>
            <w:vAlign w:val="bottom"/>
            <w:gridSpan w:val="2"/>
          </w:tcPr>
          <w:p>
            <w:pPr>
              <w:spacing w:after="0"/>
              <w:rPr>
                <w:sz w:val="18"/>
                <w:szCs w:val="18"/>
                <w:color w:val="auto"/>
              </w:rPr>
            </w:pPr>
          </w:p>
        </w:tc>
        <w:tc>
          <w:tcPr>
            <w:tcW w:w="156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83</w:t>
            </w:r>
          </w:p>
        </w:tc>
        <w:tc>
          <w:tcPr>
            <w:tcW w:w="0" w:type="dxa"/>
            <w:vAlign w:val="bottom"/>
          </w:tcPr>
          <w:p>
            <w:pPr>
              <w:spacing w:after="0"/>
              <w:rPr>
                <w:sz w:val="1"/>
                <w:szCs w:val="1"/>
                <w:color w:val="auto"/>
              </w:rPr>
            </w:pPr>
          </w:p>
        </w:tc>
      </w:tr>
      <w:tr>
        <w:trPr>
          <w:trHeight w:val="20"/>
        </w:trPr>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gridSpan w:val="3"/>
          </w:tcPr>
          <w:p>
            <w:pPr>
              <w:spacing w:after="0" w:line="209" w:lineRule="exact"/>
              <w:rPr>
                <w:sz w:val="20"/>
                <w:szCs w:val="20"/>
                <w:color w:val="auto"/>
              </w:rPr>
            </w:pPr>
            <w:r>
              <w:rPr>
                <w:rFonts w:ascii="Calibri" w:cs="Calibri" w:eastAsia="Calibri" w:hAnsi="Calibri"/>
                <w:sz w:val="18"/>
                <w:szCs w:val="18"/>
                <w:color w:val="0000FF"/>
                <w:w w:val="96"/>
              </w:rPr>
              <w:t>Consolidated Statements of Cash Flows</w:t>
            </w:r>
          </w:p>
        </w:tc>
        <w:tc>
          <w:tcPr>
            <w:tcW w:w="660" w:type="dxa"/>
            <w:vAlign w:val="bottom"/>
            <w:gridSpan w:val="2"/>
          </w:tcPr>
          <w:p>
            <w:pPr>
              <w:spacing w:after="0"/>
              <w:rPr>
                <w:sz w:val="18"/>
                <w:szCs w:val="18"/>
                <w:color w:val="auto"/>
              </w:rPr>
            </w:pPr>
          </w:p>
        </w:tc>
        <w:tc>
          <w:tcPr>
            <w:tcW w:w="6200" w:type="dxa"/>
            <w:vAlign w:val="bottom"/>
            <w:gridSpan w:val="3"/>
          </w:tcPr>
          <w:p>
            <w:pPr>
              <w:spacing w:after="0"/>
              <w:rPr>
                <w:sz w:val="18"/>
                <w:szCs w:val="18"/>
                <w:color w:val="auto"/>
              </w:rPr>
            </w:pPr>
          </w:p>
        </w:tc>
        <w:tc>
          <w:tcPr>
            <w:tcW w:w="156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84</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60" w:type="dxa"/>
            <w:vAlign w:val="bottom"/>
            <w:gridSpan w:val="8"/>
          </w:tcPr>
          <w:p>
            <w:pPr>
              <w:spacing w:after="0" w:line="209" w:lineRule="exact"/>
              <w:rPr>
                <w:sz w:val="20"/>
                <w:szCs w:val="20"/>
                <w:color w:val="auto"/>
              </w:rPr>
            </w:pPr>
            <w:r>
              <w:rPr>
                <w:rFonts w:ascii="Calibri" w:cs="Calibri" w:eastAsia="Calibri" w:hAnsi="Calibri"/>
                <w:sz w:val="18"/>
                <w:szCs w:val="18"/>
                <w:color w:val="0000FF"/>
              </w:rPr>
              <w:t>Notes to Consolidated Financial Statements</w:t>
            </w:r>
          </w:p>
        </w:tc>
        <w:tc>
          <w:tcPr>
            <w:tcW w:w="156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85</w:t>
            </w:r>
          </w:p>
        </w:tc>
        <w:tc>
          <w:tcPr>
            <w:tcW w:w="0" w:type="dxa"/>
            <w:vAlign w:val="bottom"/>
          </w:tcPr>
          <w:p>
            <w:pPr>
              <w:spacing w:after="0"/>
              <w:rPr>
                <w:sz w:val="1"/>
                <w:szCs w:val="1"/>
                <w:color w:val="auto"/>
              </w:rPr>
            </w:pPr>
          </w:p>
        </w:tc>
      </w:tr>
      <w:tr>
        <w:trPr>
          <w:trHeight w:val="20"/>
        </w:trPr>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Stockholders and the Board of Directors of Exelixis, Inc.</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163"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We have audited the accompanying consolidated balance sheets of Exelixis, Inc. (the Company) as of January 3, 2025 and December 29, 2023, the related consolidated statements of income, comprehensive income, stockholders’ equity and cash fows for each of the three years in the period ended January 3, 2025, and the related notes (collectvely referred to as the “consolidated fnancial statements“). In our opinion, the consolidated fnancial statements present fairly, in all material respects, the fnancial positon of the Company at January 3, 2025 and December 29, 2023, and the results of its operatons and its cash fows for each of the three years in the period ended January 3, 2025, in conformity with U.S. generally accepted accountng principles.</w:t>
      </w:r>
    </w:p>
    <w:p>
      <w:pPr>
        <w:spacing w:after="0" w:line="157" w:lineRule="exact"/>
        <w:rPr>
          <w:sz w:val="20"/>
          <w:szCs w:val="20"/>
          <w:color w:val="auto"/>
        </w:rPr>
      </w:pPr>
    </w:p>
    <w:p>
      <w:pPr>
        <w:ind w:right="100"/>
        <w:spacing w:after="0" w:line="254" w:lineRule="auto"/>
        <w:rPr>
          <w:sz w:val="20"/>
          <w:szCs w:val="20"/>
          <w:color w:val="auto"/>
        </w:rPr>
      </w:pPr>
      <w:r>
        <w:rPr>
          <w:rFonts w:ascii="Calibri" w:cs="Calibri" w:eastAsia="Calibri" w:hAnsi="Calibri"/>
          <w:sz w:val="17"/>
          <w:szCs w:val="17"/>
          <w:color w:val="auto"/>
        </w:rPr>
        <w:t>We also have audited, in accordance with the standards of the Public Company Accountng Oversight Board (United States) (PCAOB), the Company’s internal control over fnancial reportng as of January 3, 2025, based on criteria established in Internal Control-Integrated Framework issued by the Commitee of Sponsoring Organizatons of the Treadway Commission (2013 framework) and our report dated February 11, 2025 expressed an unqualifed opinion thereon.</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63" w:lineRule="exact"/>
        <w:rPr>
          <w:sz w:val="20"/>
          <w:szCs w:val="20"/>
          <w:color w:val="auto"/>
        </w:rPr>
      </w:pPr>
    </w:p>
    <w:p>
      <w:pPr>
        <w:ind w:right="40"/>
        <w:spacing w:after="0" w:line="254" w:lineRule="auto"/>
        <w:rPr>
          <w:sz w:val="20"/>
          <w:szCs w:val="20"/>
          <w:color w:val="auto"/>
        </w:rPr>
      </w:pPr>
      <w:r>
        <w:rPr>
          <w:rFonts w:ascii="Calibri" w:cs="Calibri" w:eastAsia="Calibri" w:hAnsi="Calibri"/>
          <w:sz w:val="17"/>
          <w:szCs w:val="17"/>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51"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Audit Mater</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215" w:lineRule="exact"/>
        <w:rPr>
          <w:sz w:val="20"/>
          <w:szCs w:val="20"/>
          <w:color w:val="auto"/>
        </w:rPr>
      </w:pPr>
    </w:p>
    <w:p>
      <w:pPr>
        <w:ind w:left="2340"/>
        <w:spacing w:after="0"/>
        <w:rPr>
          <w:sz w:val="20"/>
          <w:szCs w:val="20"/>
          <w:color w:val="auto"/>
        </w:rPr>
      </w:pPr>
      <w:r>
        <w:rPr>
          <w:rFonts w:ascii="Calibri" w:cs="Calibri" w:eastAsia="Calibri" w:hAnsi="Calibri"/>
          <w:sz w:val="18"/>
          <w:szCs w:val="18"/>
          <w:b w:val="1"/>
          <w:bCs w:val="1"/>
          <w:i w:val="1"/>
          <w:iCs w:val="1"/>
          <w:color w:val="auto"/>
        </w:rPr>
        <w:t>Net product revenue</w:t>
      </w:r>
    </w:p>
    <w:p>
      <w:pPr>
        <w:spacing w:after="0" w:line="42" w:lineRule="exact"/>
        <w:rPr>
          <w:sz w:val="20"/>
          <w:szCs w:val="20"/>
          <w:color w:val="auto"/>
        </w:rPr>
      </w:pPr>
    </w:p>
    <w:p>
      <w:pPr>
        <w:ind w:left="2340" w:right="200" w:hanging="2307"/>
        <w:spacing w:after="0" w:line="235" w:lineRule="auto"/>
        <w:tabs>
          <w:tab w:leader="none" w:pos="2320" w:val="left"/>
        </w:tabs>
        <w:rPr>
          <w:sz w:val="20"/>
          <w:szCs w:val="20"/>
          <w:color w:val="auto"/>
        </w:rPr>
      </w:pPr>
      <w:r>
        <w:rPr>
          <w:rFonts w:ascii="Calibri" w:cs="Calibri" w:eastAsia="Calibri" w:hAnsi="Calibri"/>
          <w:sz w:val="18"/>
          <w:szCs w:val="18"/>
          <w:i w:val="1"/>
          <w:iCs w:val="1"/>
          <w:color w:val="auto"/>
        </w:rPr>
        <w:t>Descripton of the Mater</w:t>
      </w:r>
      <w:r>
        <w:rPr>
          <w:sz w:val="20"/>
          <w:szCs w:val="20"/>
          <w:color w:val="auto"/>
        </w:rPr>
        <w:tab/>
      </w:r>
      <w:r>
        <w:rPr>
          <w:rFonts w:ascii="Calibri" w:cs="Calibri" w:eastAsia="Calibri" w:hAnsi="Calibri"/>
          <w:sz w:val="18"/>
          <w:szCs w:val="18"/>
          <w:color w:val="auto"/>
        </w:rPr>
        <w:t>For the year ended January 3, 2025, the Company recorded net product revenue of $1.8 billion. As discussed in Note 1 and Note 3 to the consolidated fnancial statements, the Company sells its products principally to specialty distributors and specialty pharmacy providers, or collectvely, Customers. These Customers subsequently resell the products to health care providers and patents. Revenues from product sales are recognized net of accruals for estmated rebates, wholesaler chargebacks, discounts and other deductons (collectvely discounts and allowances), which are estmated at the tme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line="227" w:lineRule="auto"/>
        <w:rPr>
          <w:sz w:val="20"/>
          <w:szCs w:val="20"/>
          <w:color w:val="auto"/>
        </w:rPr>
      </w:pPr>
      <w:r>
        <w:rPr>
          <w:rFonts w:ascii="Calibri" w:cs="Calibri" w:eastAsia="Calibri" w:hAnsi="Calibri"/>
          <w:sz w:val="18"/>
          <w:szCs w:val="18"/>
          <w:i w:val="1"/>
          <w:iCs w:val="1"/>
          <w:color w:val="24282D"/>
        </w:rPr>
        <w:t>How We Addressed the Mater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Auditng the Company’s net product revenue was complex and involved judgment given the volume of sales transactons and estmated rebates and chargebacks accruals related to U.S. product sales. Revenue from product sales is recognized upon transfer of control of a product to a customer, generally upon delivery, and is based on an amount that refects the consideraton to which the Company expects to be enttled, which represents an amount that is net of accruals for estmated discounts and allowances.</w:t>
      </w:r>
    </w:p>
    <w:p>
      <w:pPr>
        <w:spacing w:after="0" w:line="58" w:lineRule="exact"/>
        <w:rPr>
          <w:sz w:val="20"/>
          <w:szCs w:val="20"/>
          <w:color w:val="auto"/>
        </w:rPr>
      </w:pPr>
    </w:p>
    <w:p>
      <w:pPr>
        <w:jc w:val="both"/>
        <w:ind w:right="60"/>
        <w:spacing w:after="0" w:line="252" w:lineRule="auto"/>
        <w:rPr>
          <w:sz w:val="20"/>
          <w:szCs w:val="20"/>
          <w:color w:val="auto"/>
        </w:rPr>
      </w:pPr>
      <w:r>
        <w:rPr>
          <w:rFonts w:ascii="Calibri" w:cs="Calibri" w:eastAsia="Calibri" w:hAnsi="Calibri"/>
          <w:sz w:val="17"/>
          <w:szCs w:val="17"/>
          <w:color w:val="auto"/>
        </w:rPr>
        <w:t>We obtained an understanding, evaluated the design and tested the operatng efectveness of controls over the Company’s revenue recogniton process to determine the tming and measurement of product revenue and estmaton of discounts and allowances. This included testng controls over management’s review of key assumptons and inputs used in the estmaton of discounts and allowances, including but not limited to products delivered, contractual terms, and historical experience.</w:t>
      </w:r>
    </w:p>
    <w:p>
      <w:pPr>
        <w:spacing w:after="0" w:line="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212529"/>
        </w:rPr>
        <w:t>Our audit procedures over net product revenue included, among others, performing analytcal procedures over revenues recognized and cash collectons, testng appropriate cut-of of revenue recogniton at period-end, and confrming a sample of outstanding receivable balances with customers. We also evaluated the Company’s methodology used to estmate discounts and allowances, tested key assumptons, and assessed the historical accuracy of the Company’s estmates of discounts and allowances by comparing assumptons to historical trends and evaluatng the change from prior periods. We further tested the completeness and accuracy of the underlying data used in the Company’s calculatons through reconciliaton to third-party invoices, claims data and actual cash payments.</w:t>
      </w:r>
    </w:p>
    <w:p>
      <w:pPr>
        <w:spacing w:after="0" w:line="785" w:lineRule="exact"/>
        <w:rPr>
          <w:sz w:val="20"/>
          <w:szCs w:val="20"/>
          <w:color w:val="auto"/>
        </w:rPr>
      </w:pPr>
    </w:p>
    <w:p>
      <w:pPr>
        <w:sectPr>
          <w:pgSz w:w="11900" w:h="16838" w:orient="portrait"/>
          <w:cols w:equalWidth="0" w:num="2">
            <w:col w:w="1680" w:space="660"/>
            <w:col w:w="8880"/>
          </w:cols>
          <w:pgMar w:left="320" w:top="273" w:right="359" w:bottom="1440" w:gutter="0" w:footer="0" w:header="0"/>
        </w:sectPr>
      </w:pPr>
    </w:p>
    <w:p>
      <w:pPr>
        <w:spacing w:after="0" w:line="26"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2002.</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San Mateo, California</w:t>
      </w:r>
    </w:p>
    <w:p>
      <w:pPr>
        <w:spacing w:after="0" w:line="235" w:lineRule="auto"/>
        <w:rPr>
          <w:sz w:val="20"/>
          <w:szCs w:val="20"/>
          <w:color w:val="auto"/>
        </w:rPr>
      </w:pPr>
      <w:r>
        <w:rPr>
          <w:rFonts w:ascii="Calibri" w:cs="Calibri" w:eastAsia="Calibri" w:hAnsi="Calibri"/>
          <w:sz w:val="18"/>
          <w:szCs w:val="18"/>
          <w:color w:val="auto"/>
        </w:rPr>
        <w:t>February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EXELIXIS, INC.</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(in thousands, except per share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860" w:type="dxa"/>
            <w:vAlign w:val="bottom"/>
          </w:tcPr>
          <w:p>
            <w:pPr>
              <w:spacing w:after="0"/>
              <w:rPr>
                <w:sz w:val="16"/>
                <w:szCs w:val="16"/>
                <w:color w:val="auto"/>
              </w:rPr>
            </w:pPr>
          </w:p>
        </w:tc>
      </w:tr>
      <w:tr>
        <w:trPr>
          <w:trHeight w:val="41"/>
        </w:trPr>
        <w:tc>
          <w:tcPr>
            <w:tcW w:w="84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410"/>
              <w:spacing w:after="0"/>
              <w:rPr>
                <w:sz w:val="20"/>
                <w:szCs w:val="20"/>
                <w:color w:val="auto"/>
              </w:rPr>
            </w:pPr>
            <w:r>
              <w:rPr>
                <w:rFonts w:ascii="Calibri" w:cs="Calibri" w:eastAsia="Calibri" w:hAnsi="Calibri"/>
                <w:sz w:val="16"/>
                <w:szCs w:val="16"/>
                <w:b w:val="1"/>
                <w:bCs w:val="1"/>
                <w:color w:val="auto"/>
              </w:rPr>
              <w:t>2023</w:t>
            </w:r>
          </w:p>
        </w:tc>
      </w:tr>
      <w:tr>
        <w:trPr>
          <w:trHeight w:val="41"/>
        </w:trPr>
        <w:tc>
          <w:tcPr>
            <w:tcW w:w="8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9"/>
        </w:trPr>
        <w:tc>
          <w:tcPr>
            <w:tcW w:w="84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2"/>
        </w:trPr>
        <w:tc>
          <w:tcPr>
            <w:tcW w:w="844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217,374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262,994</w:t>
            </w:r>
          </w:p>
        </w:tc>
      </w:tr>
      <w:tr>
        <w:trPr>
          <w:trHeight w:val="222"/>
        </w:trPr>
        <w:tc>
          <w:tcPr>
            <w:tcW w:w="8440" w:type="dxa"/>
            <w:vAlign w:val="bottom"/>
          </w:tcPr>
          <w:p>
            <w:pPr>
              <w:ind w:left="220"/>
              <w:spacing w:after="0" w:line="215" w:lineRule="exact"/>
              <w:rPr>
                <w:sz w:val="20"/>
                <w:szCs w:val="20"/>
                <w:color w:val="auto"/>
              </w:rPr>
            </w:pPr>
            <w:r>
              <w:rPr>
                <w:rFonts w:ascii="Calibri" w:cs="Calibri" w:eastAsia="Calibri" w:hAnsi="Calibri"/>
                <w:sz w:val="18"/>
                <w:szCs w:val="18"/>
                <w:color w:val="auto"/>
              </w:rPr>
              <w:t>Marketable securites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893,902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732,308</w:t>
            </w: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Trade receivables, net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265,437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237,407</w:t>
            </w:r>
          </w:p>
        </w:tc>
      </w:tr>
      <w:tr>
        <w:trPr>
          <w:trHeight w:val="222"/>
        </w:trPr>
        <w:tc>
          <w:tcPr>
            <w:tcW w:w="8440" w:type="dxa"/>
            <w:vAlign w:val="bottom"/>
          </w:tcPr>
          <w:p>
            <w:pPr>
              <w:ind w:left="220"/>
              <w:spacing w:after="0" w:line="215" w:lineRule="exact"/>
              <w:rPr>
                <w:sz w:val="20"/>
                <w:szCs w:val="20"/>
                <w:color w:val="auto"/>
              </w:rPr>
            </w:pPr>
            <w:r>
              <w:rPr>
                <w:rFonts w:ascii="Calibri" w:cs="Calibri" w:eastAsia="Calibri" w:hAnsi="Calibri"/>
                <w:sz w:val="18"/>
                <w:szCs w:val="18"/>
                <w:color w:val="auto"/>
              </w:rPr>
              <w:t>Inventory</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22,388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17,323</w:t>
            </w: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68,478</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67,926</w:t>
            </w:r>
          </w:p>
        </w:tc>
      </w:tr>
      <w:tr>
        <w:trPr>
          <w:trHeight w:val="216"/>
        </w:trPr>
        <w:tc>
          <w:tcPr>
            <w:tcW w:w="8440" w:type="dxa"/>
            <w:vAlign w:val="bottom"/>
          </w:tcPr>
          <w:p>
            <w:pPr>
              <w:ind w:left="460"/>
              <w:spacing w:after="0" w:line="195" w:lineRule="exact"/>
              <w:rPr>
                <w:sz w:val="20"/>
                <w:szCs w:val="20"/>
                <w:color w:val="auto"/>
              </w:rPr>
            </w:pPr>
            <w:r>
              <w:rPr>
                <w:rFonts w:ascii="Calibri" w:cs="Calibri" w:eastAsia="Calibri" w:hAnsi="Calibri"/>
                <w:sz w:val="18"/>
                <w:szCs w:val="18"/>
                <w:color w:val="auto"/>
              </w:rPr>
              <w:t>Total current assets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1,467,579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1,317,958</w:t>
            </w:r>
          </w:p>
        </w:tc>
      </w:tr>
      <w:tr>
        <w:trPr>
          <w:trHeight w:val="237"/>
        </w:trPr>
        <w:tc>
          <w:tcPr>
            <w:tcW w:w="84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Non-current marketable securites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637,291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728,717</w:t>
            </w:r>
          </w:p>
        </w:tc>
      </w:tr>
      <w:tr>
        <w:trPr>
          <w:trHeight w:val="222"/>
        </w:trPr>
        <w:tc>
          <w:tcPr>
            <w:tcW w:w="8440" w:type="dxa"/>
            <w:vAlign w:val="bottom"/>
          </w:tcPr>
          <w:p>
            <w:pPr>
              <w:ind w:left="20"/>
              <w:spacing w:after="0" w:line="215" w:lineRule="exact"/>
              <w:rPr>
                <w:sz w:val="20"/>
                <w:szCs w:val="20"/>
                <w:color w:val="auto"/>
              </w:rPr>
            </w:pPr>
            <w:r>
              <w:rPr>
                <w:rFonts w:ascii="Calibri" w:cs="Calibri" w:eastAsia="Calibri" w:hAnsi="Calibri"/>
                <w:sz w:val="18"/>
                <w:szCs w:val="18"/>
                <w:color w:val="auto"/>
              </w:rPr>
              <w:t>Property and equipment, net</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119,391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128,731</w:t>
            </w:r>
          </w:p>
        </w:tc>
      </w:tr>
      <w:tr>
        <w:trPr>
          <w:trHeight w:val="237"/>
        </w:trPr>
        <w:tc>
          <w:tcPr>
            <w:tcW w:w="84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Deferred tax assets, net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420,027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361,145</w:t>
            </w:r>
          </w:p>
        </w:tc>
      </w:tr>
      <w:tr>
        <w:trPr>
          <w:trHeight w:val="222"/>
        </w:trPr>
        <w:tc>
          <w:tcPr>
            <w:tcW w:w="844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63,684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63,684</w:t>
            </w:r>
          </w:p>
        </w:tc>
      </w:tr>
      <w:tr>
        <w:trPr>
          <w:trHeight w:val="237"/>
        </w:trPr>
        <w:tc>
          <w:tcPr>
            <w:tcW w:w="84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Right-of-use assets and other non-current assets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239,718</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342,122</w:t>
            </w:r>
          </w:p>
        </w:tc>
      </w:tr>
      <w:tr>
        <w:trPr>
          <w:trHeight w:val="217"/>
        </w:trPr>
        <w:tc>
          <w:tcPr>
            <w:tcW w:w="8440" w:type="dxa"/>
            <w:vAlign w:val="bottom"/>
          </w:tcPr>
          <w:p>
            <w:pPr>
              <w:ind w:left="460"/>
              <w:spacing w:after="0" w:line="199" w:lineRule="exact"/>
              <w:rPr>
                <w:sz w:val="20"/>
                <w:szCs w:val="20"/>
                <w:color w:val="auto"/>
              </w:rPr>
            </w:pPr>
            <w:r>
              <w:rPr>
                <w:rFonts w:ascii="Calibri" w:cs="Calibri" w:eastAsia="Calibri" w:hAnsi="Calibri"/>
                <w:sz w:val="18"/>
                <w:szCs w:val="18"/>
                <w:color w:val="auto"/>
              </w:rPr>
              <w:t>Total assets</w:t>
            </w: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2,947,690</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2,942,357</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3"/>
        </w:trPr>
        <w:tc>
          <w:tcPr>
            <w:tcW w:w="84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2"/>
        </w:trPr>
        <w:tc>
          <w:tcPr>
            <w:tcW w:w="844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38,191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33,768</w:t>
            </w:r>
          </w:p>
        </w:tc>
      </w:tr>
      <w:tr>
        <w:trPr>
          <w:trHeight w:val="222"/>
        </w:trPr>
        <w:tc>
          <w:tcPr>
            <w:tcW w:w="8440" w:type="dxa"/>
            <w:vAlign w:val="bottom"/>
          </w:tcPr>
          <w:p>
            <w:pPr>
              <w:ind w:left="220"/>
              <w:spacing w:after="0" w:line="215" w:lineRule="exact"/>
              <w:rPr>
                <w:sz w:val="20"/>
                <w:szCs w:val="20"/>
                <w:color w:val="auto"/>
              </w:rPr>
            </w:pPr>
            <w:r>
              <w:rPr>
                <w:rFonts w:ascii="Calibri" w:cs="Calibri" w:eastAsia="Calibri" w:hAnsi="Calibri"/>
                <w:sz w:val="18"/>
                <w:szCs w:val="18"/>
                <w:color w:val="auto"/>
              </w:rPr>
              <w:t>Accrued compensaton and benefts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109,830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93,325</w:t>
            </w: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Accrued clinical trial liabilites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57,976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71,615</w:t>
            </w:r>
          </w:p>
        </w:tc>
      </w:tr>
      <w:tr>
        <w:trPr>
          <w:trHeight w:val="222"/>
        </w:trPr>
        <w:tc>
          <w:tcPr>
            <w:tcW w:w="8440" w:type="dxa"/>
            <w:vAlign w:val="bottom"/>
          </w:tcPr>
          <w:p>
            <w:pPr>
              <w:ind w:left="220"/>
              <w:spacing w:after="0" w:line="215" w:lineRule="exact"/>
              <w:rPr>
                <w:sz w:val="20"/>
                <w:szCs w:val="20"/>
                <w:color w:val="auto"/>
              </w:rPr>
            </w:pPr>
            <w:r>
              <w:rPr>
                <w:rFonts w:ascii="Calibri" w:cs="Calibri" w:eastAsia="Calibri" w:hAnsi="Calibri"/>
                <w:sz w:val="18"/>
                <w:szCs w:val="18"/>
                <w:color w:val="auto"/>
              </w:rPr>
              <w:t>Rebates and fees due to customers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62,376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59,619</w:t>
            </w: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Accrued collaboraton liabilites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40,384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27,533</w:t>
            </w:r>
          </w:p>
        </w:tc>
      </w:tr>
      <w:tr>
        <w:trPr>
          <w:trHeight w:val="223"/>
        </w:trPr>
        <w:tc>
          <w:tcPr>
            <w:tcW w:w="844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Other current liabilites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95,012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108,417</w:t>
            </w:r>
          </w:p>
        </w:tc>
      </w:tr>
      <w:tr>
        <w:trPr>
          <w:trHeight w:val="229"/>
        </w:trPr>
        <w:tc>
          <w:tcPr>
            <w:tcW w:w="8440" w:type="dxa"/>
            <w:vAlign w:val="bottom"/>
            <w:shd w:val="clear" w:color="auto" w:fill="CCEEFF"/>
          </w:tcPr>
          <w:p>
            <w:pPr>
              <w:ind w:left="460"/>
              <w:spacing w:after="0" w:line="202" w:lineRule="exact"/>
              <w:rPr>
                <w:sz w:val="20"/>
                <w:szCs w:val="20"/>
                <w:color w:val="auto"/>
              </w:rPr>
            </w:pPr>
            <w:r>
              <w:rPr>
                <w:rFonts w:ascii="Calibri" w:cs="Calibri" w:eastAsia="Calibri" w:hAnsi="Calibri"/>
                <w:sz w:val="18"/>
                <w:szCs w:val="18"/>
                <w:color w:val="auto"/>
              </w:rPr>
              <w:t>Total current liabilites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403,769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394,277</w:t>
            </w:r>
          </w:p>
        </w:tc>
      </w:tr>
      <w:tr>
        <w:trPr>
          <w:trHeight w:val="222"/>
        </w:trPr>
        <w:tc>
          <w:tcPr>
            <w:tcW w:w="8440" w:type="dxa"/>
            <w:vAlign w:val="bottom"/>
          </w:tcPr>
          <w:p>
            <w:pPr>
              <w:ind w:left="20"/>
              <w:spacing w:after="0" w:line="215" w:lineRule="exact"/>
              <w:rPr>
                <w:sz w:val="20"/>
                <w:szCs w:val="20"/>
                <w:color w:val="auto"/>
              </w:rPr>
            </w:pPr>
            <w:r>
              <w:rPr>
                <w:rFonts w:ascii="Calibri" w:cs="Calibri" w:eastAsia="Calibri" w:hAnsi="Calibri"/>
                <w:sz w:val="18"/>
                <w:szCs w:val="18"/>
                <w:color w:val="auto"/>
              </w:rPr>
              <w:t>Non-current operatng lease liabilites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190,823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189,944</w:t>
            </w:r>
          </w:p>
        </w:tc>
      </w:tr>
      <w:tr>
        <w:trPr>
          <w:trHeight w:val="237"/>
        </w:trPr>
        <w:tc>
          <w:tcPr>
            <w:tcW w:w="84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non-current liabilites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108,895</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94,224</w:t>
            </w:r>
          </w:p>
        </w:tc>
      </w:tr>
      <w:tr>
        <w:trPr>
          <w:trHeight w:val="216"/>
        </w:trPr>
        <w:tc>
          <w:tcPr>
            <w:tcW w:w="8440" w:type="dxa"/>
            <w:vAlign w:val="bottom"/>
            <w:tcBorders>
              <w:bottom w:val="single" w:sz="8" w:color="CCEEFF"/>
            </w:tcBorders>
          </w:tcPr>
          <w:p>
            <w:pPr>
              <w:ind w:left="460"/>
              <w:spacing w:after="0" w:line="195" w:lineRule="exact"/>
              <w:rPr>
                <w:sz w:val="20"/>
                <w:szCs w:val="20"/>
                <w:color w:val="auto"/>
              </w:rPr>
            </w:pPr>
            <w:r>
              <w:rPr>
                <w:rFonts w:ascii="Calibri" w:cs="Calibri" w:eastAsia="Calibri" w:hAnsi="Calibri"/>
                <w:sz w:val="18"/>
                <w:szCs w:val="18"/>
                <w:color w:val="auto"/>
              </w:rPr>
              <w:t>Total liabilites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703,487</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678,445</w:t>
            </w:r>
          </w:p>
        </w:tc>
      </w:tr>
      <w:tr>
        <w:trPr>
          <w:trHeight w:val="216"/>
        </w:trPr>
        <w:tc>
          <w:tcPr>
            <w:tcW w:w="844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Commitments and contngencies (Note 12)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2"/>
        </w:trPr>
        <w:tc>
          <w:tcPr>
            <w:tcW w:w="8440" w:type="dxa"/>
            <w:vAlign w:val="bottom"/>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Preferred stock, $0.001 par value, 10,000 shares authorized and no shares issued</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167"/>
        </w:trPr>
        <w:tc>
          <w:tcPr>
            <w:tcW w:w="8440" w:type="dxa"/>
            <w:vAlign w:val="bottom"/>
          </w:tcPr>
          <w:p>
            <w:pPr>
              <w:ind w:left="220"/>
              <w:spacing w:after="0" w:line="166" w:lineRule="exact"/>
              <w:rPr>
                <w:sz w:val="20"/>
                <w:szCs w:val="20"/>
                <w:color w:val="auto"/>
              </w:rPr>
            </w:pPr>
            <w:r>
              <w:rPr>
                <w:rFonts w:ascii="Calibri" w:cs="Calibri" w:eastAsia="Calibri" w:hAnsi="Calibri"/>
                <w:sz w:val="18"/>
                <w:szCs w:val="18"/>
                <w:color w:val="auto"/>
              </w:rPr>
              <w:t>Common stock, $0.001 par value; 400,000 shares authorized; issued and outstanding: 281,732 and 302,793 at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8"/>
        </w:trPr>
        <w:tc>
          <w:tcPr>
            <w:tcW w:w="8440" w:type="dxa"/>
            <w:vAlign w:val="bottom"/>
          </w:tcPr>
          <w:p>
            <w:pPr>
              <w:ind w:left="220"/>
              <w:spacing w:after="0" w:line="215" w:lineRule="exact"/>
              <w:rPr>
                <w:sz w:val="20"/>
                <w:szCs w:val="20"/>
                <w:color w:val="auto"/>
              </w:rPr>
            </w:pPr>
            <w:r>
              <w:rPr>
                <w:rFonts w:ascii="Calibri" w:cs="Calibri" w:eastAsia="Calibri" w:hAnsi="Calibri"/>
                <w:sz w:val="18"/>
                <w:szCs w:val="18"/>
                <w:color w:val="auto"/>
              </w:rPr>
              <w:t>December 31, 2024 and 2023, respectvely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282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303</w:t>
            </w:r>
          </w:p>
        </w:tc>
      </w:tr>
      <w:tr>
        <w:trPr>
          <w:trHeight w:val="2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8440" w:type="dxa"/>
            <w:vAlign w:val="bottom"/>
            <w:shd w:val="clear" w:color="auto" w:fill="CCEEFF"/>
          </w:tcPr>
          <w:p>
            <w:pPr>
              <w:ind w:left="220"/>
              <w:spacing w:after="0" w:line="215" w:lineRule="exact"/>
              <w:rPr>
                <w:sz w:val="20"/>
                <w:szCs w:val="20"/>
                <w:color w:val="auto"/>
              </w:rPr>
            </w:pPr>
            <w:r>
              <w:rPr>
                <w:rFonts w:ascii="Calibri" w:cs="Calibri" w:eastAsia="Calibri" w:hAnsi="Calibri"/>
                <w:sz w:val="18"/>
                <w:szCs w:val="18"/>
                <w:color w:val="auto"/>
              </w:rPr>
              <w:t>Additonal paid-in-capital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2,343,915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2,440,710</w:t>
            </w:r>
          </w:p>
        </w:tc>
      </w:tr>
      <w:tr>
        <w:trPr>
          <w:trHeight w:val="222"/>
        </w:trPr>
        <w:tc>
          <w:tcPr>
            <w:tcW w:w="8440" w:type="dxa"/>
            <w:vAlign w:val="bottom"/>
          </w:tcPr>
          <w:p>
            <w:pPr>
              <w:ind w:left="220"/>
              <w:spacing w:after="0" w:line="215" w:lineRule="exact"/>
              <w:rPr>
                <w:sz w:val="20"/>
                <w:szCs w:val="20"/>
                <w:color w:val="auto"/>
              </w:rPr>
            </w:pPr>
            <w:r>
              <w:rPr>
                <w:rFonts w:ascii="Calibri" w:cs="Calibri" w:eastAsia="Calibri" w:hAnsi="Calibri"/>
                <w:sz w:val="18"/>
                <w:szCs w:val="18"/>
                <w:color w:val="auto"/>
              </w:rPr>
              <w:t>Accumulated other comprehensive loss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(1,347)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(3,750)</w:t>
            </w: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Accumulated defcit</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(98,647)</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(173,351)</w:t>
            </w:r>
          </w:p>
        </w:tc>
      </w:tr>
      <w:tr>
        <w:trPr>
          <w:trHeight w:val="216"/>
        </w:trPr>
        <w:tc>
          <w:tcPr>
            <w:tcW w:w="8440" w:type="dxa"/>
            <w:vAlign w:val="bottom"/>
            <w:tcBorders>
              <w:bottom w:val="single" w:sz="8" w:color="CCEEFF"/>
            </w:tcBorders>
          </w:tcPr>
          <w:p>
            <w:pPr>
              <w:ind w:left="460"/>
              <w:spacing w:after="0" w:line="199" w:lineRule="exact"/>
              <w:rPr>
                <w:sz w:val="20"/>
                <w:szCs w:val="20"/>
                <w:color w:val="auto"/>
              </w:rPr>
            </w:pPr>
            <w:r>
              <w:rPr>
                <w:rFonts w:ascii="Calibri" w:cs="Calibri" w:eastAsia="Calibri" w:hAnsi="Calibri"/>
                <w:sz w:val="18"/>
                <w:szCs w:val="18"/>
                <w:color w:val="auto"/>
              </w:rPr>
              <w:t>Total stockholders’ equity</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2,244,203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2,263,912</w:t>
            </w:r>
          </w:p>
        </w:tc>
      </w:tr>
      <w:tr>
        <w:trPr>
          <w:trHeight w:val="255"/>
        </w:trPr>
        <w:tc>
          <w:tcPr>
            <w:tcW w:w="844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color w:val="auto"/>
              </w:rPr>
              <w:t>Total liabilites and stockholders’ equity</w:t>
            </w: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2,947,690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2,942,357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EXELIXIS, INC.</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CONSOLIDATED STATEMENTS OF INCOME</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(in thousands, except per share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1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69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6"/>
        </w:trPr>
        <w:tc>
          <w:tcPr>
            <w:tcW w:w="6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0"/>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0"/>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9"/>
        </w:trPr>
        <w:tc>
          <w:tcPr>
            <w:tcW w:w="69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2"/>
        </w:trPr>
        <w:tc>
          <w:tcPr>
            <w:tcW w:w="6940" w:type="dxa"/>
            <w:vAlign w:val="bottom"/>
          </w:tcPr>
          <w:p>
            <w:pPr>
              <w:ind w:left="220"/>
              <w:spacing w:after="0" w:line="215" w:lineRule="exact"/>
              <w:rPr>
                <w:sz w:val="20"/>
                <w:szCs w:val="20"/>
                <w:color w:val="auto"/>
              </w:rPr>
            </w:pPr>
            <w:r>
              <w:rPr>
                <w:rFonts w:ascii="Calibri" w:cs="Calibri" w:eastAsia="Calibri" w:hAnsi="Calibri"/>
                <w:sz w:val="18"/>
                <w:szCs w:val="18"/>
                <w:color w:val="auto"/>
              </w:rPr>
              <w:t>Net product revenues</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1,809,395</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1,628,879</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1,401,243</w:t>
            </w:r>
          </w:p>
        </w:tc>
      </w:tr>
      <w:tr>
        <w:trPr>
          <w:trHeight w:val="237"/>
        </w:trPr>
        <w:tc>
          <w:tcPr>
            <w:tcW w:w="69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License revenues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349,244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178,635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162,056</w:t>
            </w:r>
          </w:p>
        </w:tc>
      </w:tr>
      <w:tr>
        <w:trPr>
          <w:trHeight w:val="223"/>
        </w:trPr>
        <w:tc>
          <w:tcPr>
            <w:tcW w:w="694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Collaboraton services revenues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22,694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47,763</w:t>
            </w:r>
          </w:p>
        </w:tc>
      </w:tr>
      <w:tr>
        <w:trPr>
          <w:trHeight w:val="229"/>
        </w:trPr>
        <w:tc>
          <w:tcPr>
            <w:tcW w:w="6940" w:type="dxa"/>
            <w:vAlign w:val="bottom"/>
            <w:shd w:val="clear" w:color="auto" w:fill="CCEEFF"/>
          </w:tcPr>
          <w:p>
            <w:pPr>
              <w:ind w:left="460"/>
              <w:spacing w:after="0" w:line="202" w:lineRule="exact"/>
              <w:rPr>
                <w:sz w:val="20"/>
                <w:szCs w:val="20"/>
                <w:color w:val="auto"/>
              </w:rPr>
            </w:pPr>
            <w:r>
              <w:rPr>
                <w:rFonts w:ascii="Calibri" w:cs="Calibri" w:eastAsia="Calibri" w:hAnsi="Calibri"/>
                <w:sz w:val="18"/>
                <w:szCs w:val="18"/>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2,168,701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1,830,208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1,611,062</w:t>
            </w:r>
          </w:p>
        </w:tc>
      </w:tr>
      <w:tr>
        <w:trPr>
          <w:trHeight w:val="202"/>
        </w:trPr>
        <w:tc>
          <w:tcPr>
            <w:tcW w:w="6940" w:type="dxa"/>
            <w:vAlign w:val="bottom"/>
          </w:tcPr>
          <w:p>
            <w:pPr>
              <w:ind w:left="20"/>
              <w:spacing w:after="0" w:line="195" w:lineRule="exact"/>
              <w:rPr>
                <w:sz w:val="20"/>
                <w:szCs w:val="20"/>
                <w:color w:val="auto"/>
              </w:rPr>
            </w:pPr>
            <w:r>
              <w:rPr>
                <w:rFonts w:ascii="Calibri" w:cs="Calibri" w:eastAsia="Calibri" w:hAnsi="Calibri"/>
                <w:sz w:val="18"/>
                <w:szCs w:val="18"/>
                <w:color w:val="auto"/>
              </w:rPr>
              <w:t>Operatng 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7"/>
        </w:trPr>
        <w:tc>
          <w:tcPr>
            <w:tcW w:w="69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Cost of goods sold</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76,216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72,547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57,909</w:t>
            </w:r>
          </w:p>
        </w:tc>
      </w:tr>
      <w:tr>
        <w:trPr>
          <w:trHeight w:val="222"/>
        </w:trPr>
        <w:tc>
          <w:tcPr>
            <w:tcW w:w="6940" w:type="dxa"/>
            <w:vAlign w:val="bottom"/>
          </w:tcPr>
          <w:p>
            <w:pPr>
              <w:ind w:left="220"/>
              <w:spacing w:after="0" w:line="215" w:lineRule="exact"/>
              <w:rPr>
                <w:sz w:val="20"/>
                <w:szCs w:val="20"/>
                <w:color w:val="auto"/>
              </w:rPr>
            </w:pPr>
            <w:r>
              <w:rPr>
                <w:rFonts w:ascii="Calibri" w:cs="Calibri" w:eastAsia="Calibri" w:hAnsi="Calibri"/>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910,408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1,044,071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891,813</w:t>
            </w:r>
          </w:p>
        </w:tc>
      </w:tr>
      <w:tr>
        <w:trPr>
          <w:trHeight w:val="237"/>
        </w:trPr>
        <w:tc>
          <w:tcPr>
            <w:tcW w:w="69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Selling, general and administratve</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492,128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542,705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459,856</w:t>
            </w:r>
          </w:p>
        </w:tc>
      </w:tr>
      <w:tr>
        <w:trPr>
          <w:trHeight w:val="222"/>
        </w:trPr>
        <w:tc>
          <w:tcPr>
            <w:tcW w:w="6940" w:type="dxa"/>
            <w:vAlign w:val="bottom"/>
          </w:tcPr>
          <w:p>
            <w:pPr>
              <w:ind w:left="220"/>
              <w:spacing w:after="0" w:line="215" w:lineRule="exact"/>
              <w:rPr>
                <w:sz w:val="20"/>
                <w:szCs w:val="20"/>
                <w:color w:val="auto"/>
              </w:rPr>
            </w:pPr>
            <w:r>
              <w:rPr>
                <w:rFonts w:ascii="Calibri" w:cs="Calibri" w:eastAsia="Calibri" w:hAnsi="Calibri"/>
                <w:sz w:val="18"/>
                <w:szCs w:val="18"/>
                <w:color w:val="auto"/>
              </w:rPr>
              <w:t>Impairment of long-lived assets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51,672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69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Restructuring</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33,660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17"/>
        </w:trPr>
        <w:tc>
          <w:tcPr>
            <w:tcW w:w="6940" w:type="dxa"/>
            <w:vAlign w:val="bottom"/>
            <w:tcBorders>
              <w:bottom w:val="single" w:sz="8" w:color="CCEEFF"/>
            </w:tcBorders>
          </w:tcPr>
          <w:p>
            <w:pPr>
              <w:ind w:left="460"/>
              <w:spacing w:after="0" w:line="195" w:lineRule="exact"/>
              <w:rPr>
                <w:sz w:val="20"/>
                <w:szCs w:val="20"/>
                <w:color w:val="auto"/>
              </w:rPr>
            </w:pPr>
            <w:r>
              <w:rPr>
                <w:rFonts w:ascii="Calibri" w:cs="Calibri" w:eastAsia="Calibri" w:hAnsi="Calibri"/>
                <w:sz w:val="18"/>
                <w:szCs w:val="18"/>
                <w:color w:val="auto"/>
              </w:rPr>
              <w:t>Total operatng expenses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1,564,084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1,659,323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1,409,578</w:t>
            </w:r>
          </w:p>
        </w:tc>
      </w:tr>
      <w:tr>
        <w:trPr>
          <w:trHeight w:val="230"/>
        </w:trPr>
        <w:tc>
          <w:tcPr>
            <w:tcW w:w="694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Income from operatons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604,617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170,885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201,484</w:t>
            </w:r>
          </w:p>
        </w:tc>
      </w:tr>
      <w:tr>
        <w:trPr>
          <w:trHeight w:val="222"/>
        </w:trPr>
        <w:tc>
          <w:tcPr>
            <w:tcW w:w="6940" w:type="dxa"/>
            <w:vAlign w:val="bottom"/>
          </w:tcPr>
          <w:p>
            <w:pPr>
              <w:ind w:left="220"/>
              <w:spacing w:after="0" w:line="215" w:lineRule="exact"/>
              <w:rPr>
                <w:sz w:val="20"/>
                <w:szCs w:val="20"/>
                <w:color w:val="auto"/>
              </w:rPr>
            </w:pPr>
            <w:r>
              <w:rPr>
                <w:rFonts w:ascii="Calibri" w:cs="Calibri" w:eastAsia="Calibri" w:hAnsi="Calibri"/>
                <w:sz w:val="18"/>
                <w:szCs w:val="18"/>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77,156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86,543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33,065</w:t>
            </w:r>
          </w:p>
        </w:tc>
      </w:tr>
      <w:tr>
        <w:trPr>
          <w:trHeight w:val="237"/>
        </w:trPr>
        <w:tc>
          <w:tcPr>
            <w:tcW w:w="69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Other income (expense), net</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(197)</w:t>
            </w:r>
          </w:p>
        </w:tc>
      </w:tr>
      <w:tr>
        <w:trPr>
          <w:trHeight w:val="216"/>
        </w:trPr>
        <w:tc>
          <w:tcPr>
            <w:tcW w:w="694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681,640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257,521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234,352</w:t>
            </w:r>
          </w:p>
        </w:tc>
      </w:tr>
      <w:tr>
        <w:trPr>
          <w:trHeight w:val="237"/>
        </w:trPr>
        <w:tc>
          <w:tcPr>
            <w:tcW w:w="69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Provision for income taxes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160,373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49,756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52,070</w:t>
            </w:r>
          </w:p>
        </w:tc>
      </w:tr>
      <w:tr>
        <w:trPr>
          <w:trHeight w:val="217"/>
        </w:trPr>
        <w:tc>
          <w:tcPr>
            <w:tcW w:w="6940" w:type="dxa"/>
            <w:vAlign w:val="bottom"/>
          </w:tcPr>
          <w:p>
            <w:pPr>
              <w:ind w:left="20"/>
              <w:spacing w:after="0" w:line="199" w:lineRule="exact"/>
              <w:rPr>
                <w:sz w:val="20"/>
                <w:szCs w:val="20"/>
                <w:color w:val="auto"/>
              </w:rPr>
            </w:pPr>
            <w:r>
              <w:rPr>
                <w:rFonts w:ascii="Calibri" w:cs="Calibri" w:eastAsia="Calibri" w:hAnsi="Calibri"/>
                <w:sz w:val="18"/>
                <w:szCs w:val="18"/>
                <w:color w:val="auto"/>
              </w:rPr>
              <w:t>Net income</w:t>
            </w: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521,267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207,765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182,282</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69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Net income per share: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2"/>
        </w:trPr>
        <w:tc>
          <w:tcPr>
            <w:tcW w:w="6940" w:type="dxa"/>
            <w:vAlign w:val="bottom"/>
          </w:tcPr>
          <w:p>
            <w:pPr>
              <w:ind w:left="220"/>
              <w:spacing w:after="0" w:line="215" w:lineRule="exact"/>
              <w:rPr>
                <w:sz w:val="20"/>
                <w:szCs w:val="20"/>
                <w:color w:val="auto"/>
              </w:rPr>
            </w:pPr>
            <w:r>
              <w:rPr>
                <w:rFonts w:ascii="Calibri" w:cs="Calibri" w:eastAsia="Calibri" w:hAnsi="Calibri"/>
                <w:sz w:val="18"/>
                <w:szCs w:val="18"/>
                <w:color w:val="auto"/>
              </w:rPr>
              <w:t>Basic</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1.80</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0.65</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0.57</w:t>
            </w:r>
          </w:p>
        </w:tc>
      </w:tr>
      <w:tr>
        <w:trPr>
          <w:trHeight w:val="237"/>
        </w:trPr>
        <w:tc>
          <w:tcPr>
            <w:tcW w:w="69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0.56</w:t>
            </w:r>
          </w:p>
        </w:tc>
      </w:tr>
      <w:tr>
        <w:trPr>
          <w:trHeight w:val="222"/>
        </w:trPr>
        <w:tc>
          <w:tcPr>
            <w:tcW w:w="694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Weighted-average common shares outstanding:</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69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Basic</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290,030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318,151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321,526</w:t>
            </w:r>
          </w:p>
        </w:tc>
      </w:tr>
      <w:tr>
        <w:trPr>
          <w:trHeight w:val="215"/>
        </w:trPr>
        <w:tc>
          <w:tcPr>
            <w:tcW w:w="6940" w:type="dxa"/>
            <w:vAlign w:val="bottom"/>
          </w:tcPr>
          <w:p>
            <w:pPr>
              <w:ind w:left="220"/>
              <w:spacing w:after="0" w:line="215" w:lineRule="exact"/>
              <w:rPr>
                <w:sz w:val="20"/>
                <w:szCs w:val="20"/>
                <w:color w:val="auto"/>
              </w:rPr>
            </w:pPr>
            <w:r>
              <w:rPr>
                <w:rFonts w:ascii="Calibri" w:cs="Calibri" w:eastAsia="Calibri" w:hAnsi="Calibri"/>
                <w:sz w:val="18"/>
                <w:szCs w:val="18"/>
                <w:color w:val="auto"/>
              </w:rPr>
              <w:t>Diluted</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296,132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321,464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324,556</w:t>
            </w:r>
          </w:p>
        </w:tc>
      </w:tr>
    </w:tbl>
    <w:p>
      <w:pPr>
        <w:spacing w:after="0" w:line="2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EXELIXIS, INC.</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CONSOLIDATED STATEMENTS OF COMPREHENSIVE INCOME</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1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6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6"/>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69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521,267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182,282</w:t>
            </w:r>
          </w:p>
        </w:tc>
      </w:tr>
      <w:tr>
        <w:trPr>
          <w:trHeight w:val="222"/>
        </w:trPr>
        <w:tc>
          <w:tcPr>
            <w:tcW w:w="698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74"/>
        </w:trPr>
        <w:tc>
          <w:tcPr>
            <w:tcW w:w="6980" w:type="dxa"/>
            <w:vAlign w:val="bottom"/>
            <w:shd w:val="clear" w:color="auto" w:fill="CCEEFF"/>
          </w:tcPr>
          <w:p>
            <w:pPr>
              <w:ind w:left="220"/>
              <w:spacing w:after="0" w:line="174" w:lineRule="exact"/>
              <w:rPr>
                <w:sz w:val="20"/>
                <w:szCs w:val="20"/>
                <w:color w:val="auto"/>
              </w:rPr>
            </w:pPr>
            <w:r>
              <w:rPr>
                <w:rFonts w:ascii="Calibri" w:cs="Calibri" w:eastAsia="Calibri" w:hAnsi="Calibri"/>
                <w:sz w:val="18"/>
                <w:szCs w:val="18"/>
                <w:color w:val="auto"/>
                <w:w w:val="99"/>
              </w:rPr>
              <w:t>Net unrealized gains (losses) on available-for-sale debt securites, net of tax impact of $(706),</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52"/>
        </w:trPr>
        <w:tc>
          <w:tcPr>
            <w:tcW w:w="6980" w:type="dxa"/>
            <w:vAlign w:val="bottom"/>
            <w:tcBorders>
              <w:bottom w:val="single" w:sz="8" w:color="CCEEFF"/>
            </w:tcBorders>
            <w:shd w:val="clear" w:color="auto" w:fill="CCEEFF"/>
          </w:tcPr>
          <w:p>
            <w:pPr>
              <w:ind w:left="220"/>
              <w:spacing w:after="0" w:line="215" w:lineRule="exact"/>
              <w:rPr>
                <w:sz w:val="20"/>
                <w:szCs w:val="20"/>
                <w:color w:val="auto"/>
              </w:rPr>
            </w:pPr>
            <w:r>
              <w:rPr>
                <w:rFonts w:ascii="Calibri" w:cs="Calibri" w:eastAsia="Calibri" w:hAnsi="Calibri"/>
                <w:sz w:val="18"/>
                <w:szCs w:val="18"/>
                <w:color w:val="auto"/>
              </w:rPr>
              <w:t>$(3,174) and $3,886, respectvely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2,403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10,771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(13,763)</w:t>
            </w:r>
          </w:p>
        </w:tc>
      </w:tr>
      <w:tr>
        <w:trPr>
          <w:trHeight w:val="217"/>
        </w:trPr>
        <w:tc>
          <w:tcPr>
            <w:tcW w:w="6980" w:type="dxa"/>
            <w:vAlign w:val="bottom"/>
          </w:tcPr>
          <w:p>
            <w:pPr>
              <w:ind w:left="20"/>
              <w:spacing w:after="0" w:line="195" w:lineRule="exact"/>
              <w:rPr>
                <w:sz w:val="20"/>
                <w:szCs w:val="20"/>
                <w:color w:val="auto"/>
              </w:rPr>
            </w:pPr>
            <w:r>
              <w:rPr>
                <w:rFonts w:ascii="Calibri" w:cs="Calibri" w:eastAsia="Calibri" w:hAnsi="Calibri"/>
                <w:sz w:val="18"/>
                <w:szCs w:val="18"/>
                <w:color w:val="auto"/>
              </w:rPr>
              <w:t>Comprehensive income</w:t>
            </w:r>
          </w:p>
        </w:tc>
        <w:tc>
          <w:tcPr>
            <w:tcW w:w="300" w:type="dxa"/>
            <w:vAlign w:val="bottom"/>
            <w:tcBorders>
              <w:top w:val="single" w:sz="8" w:color="auto"/>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523,670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218,536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168,519</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EXELIXIS, INC.</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CONSOLIDATED STATEMENTS OF STOCKHOLDERS’ EQUITY</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Calibri" w:cs="Calibri" w:eastAsia="Calibri" w:hAnsi="Calibri"/>
                <w:sz w:val="16"/>
                <w:szCs w:val="16"/>
                <w:b w:val="1"/>
                <w:bCs w:val="1"/>
                <w:color w:val="auto"/>
              </w:rPr>
              <w:t>Accumulated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2120" w:type="dxa"/>
            <w:vAlign w:val="bottom"/>
            <w:gridSpan w:val="5"/>
          </w:tcPr>
          <w:p>
            <w:pPr>
              <w:ind w:left="500"/>
              <w:spacing w:after="0"/>
              <w:rPr>
                <w:sz w:val="20"/>
                <w:szCs w:val="20"/>
                <w:color w:val="auto"/>
              </w:rPr>
            </w:pPr>
            <w:r>
              <w:rPr>
                <w:rFonts w:ascii="Calibri" w:cs="Calibri" w:eastAsia="Calibri" w:hAnsi="Calibri"/>
                <w:sz w:val="16"/>
                <w:szCs w:val="16"/>
                <w:b w:val="1"/>
                <w:bCs w:val="1"/>
                <w:color w:val="auto"/>
              </w:rPr>
              <w:t>Common Stock</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Calibri" w:cs="Calibri" w:eastAsia="Calibri" w:hAnsi="Calibri"/>
                <w:sz w:val="16"/>
                <w:szCs w:val="16"/>
                <w:b w:val="1"/>
                <w:bCs w:val="1"/>
                <w:color w:val="auto"/>
              </w:rPr>
              <w:t>Additonal</w:t>
            </w:r>
          </w:p>
        </w:tc>
        <w:tc>
          <w:tcPr>
            <w:tcW w:w="220" w:type="dxa"/>
            <w:vAlign w:val="bottom"/>
          </w:tcPr>
          <w:p>
            <w:pPr>
              <w:spacing w:after="0"/>
              <w:rPr>
                <w:sz w:val="17"/>
                <w:szCs w:val="17"/>
                <w:color w:val="auto"/>
              </w:rPr>
            </w:pPr>
          </w:p>
        </w:tc>
        <w:tc>
          <w:tcPr>
            <w:tcW w:w="960" w:type="dxa"/>
            <w:vAlign w:val="bottom"/>
            <w:gridSpan w:val="2"/>
          </w:tcPr>
          <w:p>
            <w:pPr>
              <w:jc w:val="center"/>
              <w:ind w:right="300"/>
              <w:spacing w:after="0" w:line="193" w:lineRule="exact"/>
              <w:rPr>
                <w:sz w:val="20"/>
                <w:szCs w:val="20"/>
                <w:color w:val="auto"/>
              </w:rPr>
            </w:pPr>
            <w:r>
              <w:rPr>
                <w:rFonts w:ascii="Calibri" w:cs="Calibri" w:eastAsia="Calibri" w:hAnsi="Calibri"/>
                <w:sz w:val="16"/>
                <w:szCs w:val="16"/>
                <w:b w:val="1"/>
                <w:bCs w:val="1"/>
                <w:color w:val="auto"/>
                <w:w w:val="98"/>
              </w:rPr>
              <w:t>Other</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51"/>
              <w:spacing w:after="0"/>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73"/>
        </w:trPr>
        <w:tc>
          <w:tcPr>
            <w:tcW w:w="476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jc w:val="center"/>
              <w:ind w:right="200"/>
              <w:spacing w:after="0" w:line="189" w:lineRule="exact"/>
              <w:rPr>
                <w:sz w:val="20"/>
                <w:szCs w:val="20"/>
                <w:color w:val="auto"/>
              </w:rPr>
            </w:pPr>
            <w:r>
              <w:rPr>
                <w:rFonts w:ascii="Calibri" w:cs="Calibri" w:eastAsia="Calibri" w:hAnsi="Calibri"/>
                <w:sz w:val="16"/>
                <w:szCs w:val="16"/>
                <w:b w:val="1"/>
                <w:bCs w:val="1"/>
                <w:color w:val="auto"/>
                <w:w w:val="99"/>
              </w:rPr>
              <w:t>Paid-in</w:t>
            </w:r>
          </w:p>
        </w:tc>
        <w:tc>
          <w:tcPr>
            <w:tcW w:w="1180" w:type="dxa"/>
            <w:vAlign w:val="bottom"/>
            <w:gridSpan w:val="3"/>
            <w:vMerge w:val="restart"/>
          </w:tcPr>
          <w:p>
            <w:pPr>
              <w:jc w:val="center"/>
              <w:ind w:right="100"/>
              <w:spacing w:after="0" w:line="189" w:lineRule="exact"/>
              <w:rPr>
                <w:sz w:val="20"/>
                <w:szCs w:val="20"/>
                <w:color w:val="auto"/>
              </w:rPr>
            </w:pPr>
            <w:r>
              <w:rPr>
                <w:rFonts w:ascii="Calibri" w:cs="Calibri" w:eastAsia="Calibri" w:hAnsi="Calibri"/>
                <w:sz w:val="16"/>
                <w:szCs w:val="16"/>
                <w:b w:val="1"/>
                <w:bCs w:val="1"/>
                <w:color w:val="auto"/>
              </w:rPr>
              <w:t>Comprehensive</w:t>
            </w:r>
          </w:p>
        </w:tc>
        <w:tc>
          <w:tcPr>
            <w:tcW w:w="1060" w:type="dxa"/>
            <w:vAlign w:val="bottom"/>
            <w:gridSpan w:val="3"/>
            <w:vMerge w:val="restart"/>
          </w:tcPr>
          <w:p>
            <w:pPr>
              <w:jc w:val="center"/>
              <w:ind w:right="100"/>
              <w:spacing w:after="0" w:line="189" w:lineRule="exact"/>
              <w:rPr>
                <w:sz w:val="20"/>
                <w:szCs w:val="20"/>
                <w:color w:val="auto"/>
              </w:rPr>
            </w:pPr>
            <w:r>
              <w:rPr>
                <w:rFonts w:ascii="Calibri" w:cs="Calibri" w:eastAsia="Calibri" w:hAnsi="Calibri"/>
                <w:sz w:val="16"/>
                <w:szCs w:val="16"/>
                <w:b w:val="1"/>
                <w:bCs w:val="1"/>
                <w:color w:val="auto"/>
              </w:rPr>
              <w:t>Accumulated</w:t>
            </w:r>
          </w:p>
        </w:tc>
        <w:tc>
          <w:tcPr>
            <w:tcW w:w="1000" w:type="dxa"/>
            <w:vAlign w:val="bottom"/>
            <w:gridSpan w:val="2"/>
            <w:vMerge w:val="restart"/>
          </w:tcPr>
          <w:p>
            <w:pPr>
              <w:ind w:left="40"/>
              <w:spacing w:after="0" w:line="189" w:lineRule="exact"/>
              <w:rPr>
                <w:sz w:val="20"/>
                <w:szCs w:val="20"/>
                <w:color w:val="auto"/>
              </w:rPr>
            </w:pPr>
            <w:r>
              <w:rPr>
                <w:rFonts w:ascii="Calibri" w:cs="Calibri" w:eastAsia="Calibri" w:hAnsi="Calibri"/>
                <w:sz w:val="16"/>
                <w:szCs w:val="16"/>
                <w:b w:val="1"/>
                <w:bCs w:val="1"/>
                <w:color w:val="auto"/>
              </w:rPr>
              <w:t>Stockholders’</w:t>
            </w:r>
          </w:p>
        </w:tc>
        <w:tc>
          <w:tcPr>
            <w:tcW w:w="0" w:type="dxa"/>
            <w:vAlign w:val="bottom"/>
          </w:tcPr>
          <w:p>
            <w:pPr>
              <w:spacing w:after="0"/>
              <w:rPr>
                <w:sz w:val="1"/>
                <w:szCs w:val="1"/>
                <w:color w:val="auto"/>
              </w:rPr>
            </w:pPr>
          </w:p>
        </w:tc>
      </w:tr>
      <w:tr>
        <w:trPr>
          <w:trHeight w:val="97"/>
        </w:trPr>
        <w:tc>
          <w:tcPr>
            <w:tcW w:w="4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476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Calibri" w:cs="Calibri" w:eastAsia="Calibri" w:hAnsi="Calibri"/>
                <w:sz w:val="16"/>
                <w:szCs w:val="16"/>
                <w:b w:val="1"/>
                <w:bCs w:val="1"/>
                <w:color w:val="auto"/>
              </w:rPr>
              <w:t>Shares</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Amount</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Calibri" w:cs="Calibri" w:eastAsia="Calibri" w:hAnsi="Calibri"/>
                <w:sz w:val="16"/>
                <w:szCs w:val="16"/>
                <w:b w:val="1"/>
                <w:bCs w:val="1"/>
                <w:color w:val="auto"/>
                <w:w w:val="99"/>
              </w:rPr>
              <w:t>Capital</w:t>
            </w:r>
          </w:p>
        </w:tc>
        <w:tc>
          <w:tcPr>
            <w:tcW w:w="220" w:type="dxa"/>
            <w:vAlign w:val="bottom"/>
          </w:tcPr>
          <w:p>
            <w:pPr>
              <w:spacing w:after="0"/>
              <w:rPr>
                <w:sz w:val="18"/>
                <w:szCs w:val="18"/>
                <w:color w:val="auto"/>
              </w:rPr>
            </w:pPr>
          </w:p>
        </w:tc>
        <w:tc>
          <w:tcPr>
            <w:tcW w:w="960" w:type="dxa"/>
            <w:vAlign w:val="bottom"/>
            <w:gridSpan w:val="2"/>
          </w:tcPr>
          <w:p>
            <w:pPr>
              <w:jc w:val="center"/>
              <w:ind w:right="320"/>
              <w:spacing w:after="0" w:line="193" w:lineRule="exact"/>
              <w:rPr>
                <w:sz w:val="20"/>
                <w:szCs w:val="20"/>
                <w:color w:val="auto"/>
              </w:rPr>
            </w:pPr>
            <w:r>
              <w:rPr>
                <w:rFonts w:ascii="Calibri" w:cs="Calibri" w:eastAsia="Calibri" w:hAnsi="Calibri"/>
                <w:sz w:val="16"/>
                <w:szCs w:val="16"/>
                <w:b w:val="1"/>
                <w:bCs w:val="1"/>
                <w:color w:val="auto"/>
                <w:w w:val="99"/>
              </w:rPr>
              <w:t>Loss</w:t>
            </w:r>
          </w:p>
        </w:tc>
        <w:tc>
          <w:tcPr>
            <w:tcW w:w="180" w:type="dxa"/>
            <w:vAlign w:val="bottom"/>
          </w:tcPr>
          <w:p>
            <w:pPr>
              <w:spacing w:after="0"/>
              <w:rPr>
                <w:sz w:val="18"/>
                <w:szCs w:val="18"/>
                <w:color w:val="auto"/>
              </w:rPr>
            </w:pPr>
          </w:p>
        </w:tc>
        <w:tc>
          <w:tcPr>
            <w:tcW w:w="88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rPr>
              <w:t>Defcit</w:t>
            </w:r>
          </w:p>
        </w:tc>
        <w:tc>
          <w:tcPr>
            <w:tcW w:w="160" w:type="dxa"/>
            <w:vAlign w:val="bottom"/>
          </w:tcPr>
          <w:p>
            <w:pPr>
              <w:spacing w:after="0"/>
              <w:rPr>
                <w:sz w:val="18"/>
                <w:szCs w:val="18"/>
                <w:color w:val="auto"/>
              </w:rPr>
            </w:pPr>
          </w:p>
        </w:tc>
        <w:tc>
          <w:tcPr>
            <w:tcW w:w="840" w:type="dxa"/>
            <w:vAlign w:val="bottom"/>
          </w:tcPr>
          <w:p>
            <w:pPr>
              <w:jc w:val="right"/>
              <w:ind w:right="211"/>
              <w:spacing w:after="0"/>
              <w:rPr>
                <w:sz w:val="20"/>
                <w:szCs w:val="20"/>
                <w:color w:val="auto"/>
              </w:rPr>
            </w:pPr>
            <w:r>
              <w:rPr>
                <w:rFonts w:ascii="Calibri" w:cs="Calibri" w:eastAsia="Calibri" w:hAnsi="Calibri"/>
                <w:sz w:val="16"/>
                <w:szCs w:val="16"/>
                <w:b w:val="1"/>
                <w:bCs w:val="1"/>
                <w:color w:val="auto"/>
              </w:rPr>
              <w:t>Equity</w:t>
            </w:r>
          </w:p>
        </w:tc>
        <w:tc>
          <w:tcPr>
            <w:tcW w:w="0" w:type="dxa"/>
            <w:vAlign w:val="bottom"/>
          </w:tcPr>
          <w:p>
            <w:pPr>
              <w:spacing w:after="0"/>
              <w:rPr>
                <w:sz w:val="1"/>
                <w:szCs w:val="1"/>
                <w:color w:val="auto"/>
              </w:rPr>
            </w:pPr>
          </w:p>
        </w:tc>
      </w:tr>
      <w:tr>
        <w:trPr>
          <w:trHeight w:val="41"/>
        </w:trPr>
        <w:tc>
          <w:tcPr>
            <w:tcW w:w="47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Balance at December 31, 2021</w:t>
            </w: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318,842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2,427,561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(216,507)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2,210,615</w:t>
            </w: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10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182,282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182,282</w:t>
            </w: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(13,763)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(13,763)</w:t>
            </w:r>
          </w:p>
        </w:tc>
        <w:tc>
          <w:tcPr>
            <w:tcW w:w="0" w:type="dxa"/>
            <w:vAlign w:val="bottom"/>
          </w:tcPr>
          <w:p>
            <w:pPr>
              <w:spacing w:after="0"/>
              <w:rPr>
                <w:sz w:val="1"/>
                <w:szCs w:val="1"/>
                <w:color w:val="auto"/>
              </w:rPr>
            </w:pPr>
          </w:p>
        </w:tc>
      </w:tr>
      <w:tr>
        <w:trPr>
          <w:trHeight w:val="167"/>
        </w:trPr>
        <w:tc>
          <w:tcPr>
            <w:tcW w:w="4760" w:type="dxa"/>
            <w:vAlign w:val="bottom"/>
          </w:tcPr>
          <w:p>
            <w:pPr>
              <w:ind w:left="20"/>
              <w:spacing w:after="0" w:line="166" w:lineRule="exact"/>
              <w:rPr>
                <w:sz w:val="20"/>
                <w:szCs w:val="20"/>
                <w:color w:val="auto"/>
              </w:rPr>
            </w:pPr>
            <w:r>
              <w:rPr>
                <w:rFonts w:ascii="Calibri" w:cs="Calibri" w:eastAsia="Calibri" w:hAnsi="Calibri"/>
                <w:sz w:val="18"/>
                <w:szCs w:val="18"/>
                <w:color w:val="auto"/>
              </w:rPr>
              <w:t>Issuance of common stock under the equity incentve plan and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line="215" w:lineRule="exact"/>
              <w:rPr>
                <w:sz w:val="20"/>
                <w:szCs w:val="20"/>
                <w:color w:val="auto"/>
              </w:rPr>
            </w:pPr>
            <w:r>
              <w:rPr>
                <w:rFonts w:ascii="Calibri" w:cs="Calibri" w:eastAsia="Calibri" w:hAnsi="Calibri"/>
                <w:sz w:val="18"/>
                <w:szCs w:val="18"/>
                <w:color w:val="auto"/>
              </w:rPr>
              <w:t>stock purchase plan</w:t>
            </w:r>
          </w:p>
        </w:tc>
        <w:tc>
          <w:tcPr>
            <w:tcW w:w="980" w:type="dxa"/>
            <w:vAlign w:val="bottom"/>
          </w:tcPr>
          <w:p>
            <w:pPr>
              <w:jc w:val="right"/>
              <w:spacing w:after="0"/>
              <w:rPr>
                <w:sz w:val="20"/>
                <w:szCs w:val="20"/>
                <w:color w:val="auto"/>
              </w:rPr>
            </w:pPr>
            <w:r>
              <w:rPr>
                <w:rFonts w:ascii="Calibri" w:cs="Calibri" w:eastAsia="Calibri" w:hAnsi="Calibri"/>
                <w:sz w:val="18"/>
                <w:szCs w:val="18"/>
                <w:color w:val="auto"/>
              </w:rPr>
              <w:t>5,109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23,976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23,981</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760" w:type="dxa"/>
            <w:vAlign w:val="bottom"/>
            <w:shd w:val="clear" w:color="auto" w:fill="CCEEFF"/>
          </w:tcPr>
          <w:p>
            <w:pPr>
              <w:ind w:left="20"/>
              <w:spacing w:after="0" w:line="166" w:lineRule="exact"/>
              <w:rPr>
                <w:sz w:val="20"/>
                <w:szCs w:val="20"/>
                <w:color w:val="auto"/>
              </w:rPr>
            </w:pPr>
            <w:r>
              <w:rPr>
                <w:rFonts w:ascii="Calibri" w:cs="Calibri" w:eastAsia="Calibri" w:hAnsi="Calibri"/>
                <w:sz w:val="18"/>
                <w:szCs w:val="18"/>
                <w:color w:val="auto"/>
              </w:rPr>
              <w:t>Stock transactons associated with taxes withheld on equity</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76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awards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(23,344)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(23,344)</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line="215" w:lineRule="exact"/>
              <w:rPr>
                <w:sz w:val="20"/>
                <w:szCs w:val="20"/>
                <w:color w:val="auto"/>
              </w:rPr>
            </w:pPr>
            <w:r>
              <w:rPr>
                <w:rFonts w:ascii="Calibri" w:cs="Calibri" w:eastAsia="Calibri" w:hAnsi="Calibri"/>
                <w:sz w:val="18"/>
                <w:szCs w:val="18"/>
                <w:color w:val="auto"/>
              </w:rPr>
              <w:t>Stock-based compensaton</w:t>
            </w:r>
          </w:p>
        </w:tc>
        <w:tc>
          <w:tcPr>
            <w:tcW w:w="10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108,656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108,656</w:t>
            </w:r>
          </w:p>
        </w:tc>
        <w:tc>
          <w:tcPr>
            <w:tcW w:w="0" w:type="dxa"/>
            <w:vAlign w:val="bottom"/>
          </w:tcPr>
          <w:p>
            <w:pPr>
              <w:spacing w:after="0"/>
              <w:rPr>
                <w:sz w:val="1"/>
                <w:szCs w:val="1"/>
                <w:color w:val="auto"/>
              </w:rPr>
            </w:pPr>
          </w:p>
        </w:tc>
      </w:tr>
      <w:tr>
        <w:trPr>
          <w:trHeight w:val="230"/>
        </w:trPr>
        <w:tc>
          <w:tcPr>
            <w:tcW w:w="4760" w:type="dxa"/>
            <w:vAlign w:val="bottom"/>
            <w:tcBorders>
              <w:top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Balance at December 31, 2022</w:t>
            </w:r>
          </w:p>
        </w:tc>
        <w:tc>
          <w:tcPr>
            <w:tcW w:w="9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323,951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2,536,849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(14,521)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(34,225)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2,488,427</w:t>
            </w: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10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207,765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207,765</w:t>
            </w: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comprehensive income</w:t>
            </w:r>
          </w:p>
        </w:tc>
        <w:tc>
          <w:tcPr>
            <w:tcW w:w="10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10,771</w:t>
            </w:r>
          </w:p>
        </w:tc>
        <w:tc>
          <w:tcPr>
            <w:tcW w:w="0" w:type="dxa"/>
            <w:vAlign w:val="bottom"/>
          </w:tcPr>
          <w:p>
            <w:pPr>
              <w:spacing w:after="0"/>
              <w:rPr>
                <w:sz w:val="1"/>
                <w:szCs w:val="1"/>
                <w:color w:val="auto"/>
              </w:rPr>
            </w:pPr>
          </w:p>
        </w:tc>
      </w:tr>
      <w:tr>
        <w:trPr>
          <w:trHeight w:val="167"/>
        </w:trPr>
        <w:tc>
          <w:tcPr>
            <w:tcW w:w="4760" w:type="dxa"/>
            <w:vAlign w:val="bottom"/>
          </w:tcPr>
          <w:p>
            <w:pPr>
              <w:ind w:left="20"/>
              <w:spacing w:after="0" w:line="166" w:lineRule="exact"/>
              <w:rPr>
                <w:sz w:val="20"/>
                <w:szCs w:val="20"/>
                <w:color w:val="auto"/>
              </w:rPr>
            </w:pPr>
            <w:r>
              <w:rPr>
                <w:rFonts w:ascii="Calibri" w:cs="Calibri" w:eastAsia="Calibri" w:hAnsi="Calibri"/>
                <w:sz w:val="18"/>
                <w:szCs w:val="18"/>
                <w:color w:val="auto"/>
              </w:rPr>
              <w:t>Issuance of common stock under the equity incentve plan and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line="215" w:lineRule="exact"/>
              <w:rPr>
                <w:sz w:val="20"/>
                <w:szCs w:val="20"/>
                <w:color w:val="auto"/>
              </w:rPr>
            </w:pPr>
            <w:r>
              <w:rPr>
                <w:rFonts w:ascii="Calibri" w:cs="Calibri" w:eastAsia="Calibri" w:hAnsi="Calibri"/>
                <w:sz w:val="18"/>
                <w:szCs w:val="18"/>
                <w:color w:val="auto"/>
              </w:rPr>
              <w:t>stock purchase plan</w:t>
            </w:r>
          </w:p>
        </w:tc>
        <w:tc>
          <w:tcPr>
            <w:tcW w:w="980" w:type="dxa"/>
            <w:vAlign w:val="bottom"/>
          </w:tcPr>
          <w:p>
            <w:pPr>
              <w:jc w:val="right"/>
              <w:spacing w:after="0"/>
              <w:rPr>
                <w:sz w:val="20"/>
                <w:szCs w:val="20"/>
                <w:color w:val="auto"/>
              </w:rPr>
            </w:pPr>
            <w:r>
              <w:rPr>
                <w:rFonts w:ascii="Calibri" w:cs="Calibri" w:eastAsia="Calibri" w:hAnsi="Calibri"/>
                <w:sz w:val="18"/>
                <w:szCs w:val="18"/>
                <w:color w:val="auto"/>
              </w:rPr>
              <w:t>5,072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33,489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33,494</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760" w:type="dxa"/>
            <w:vAlign w:val="bottom"/>
            <w:shd w:val="clear" w:color="auto" w:fill="CCEEFF"/>
          </w:tcPr>
          <w:p>
            <w:pPr>
              <w:ind w:left="20"/>
              <w:spacing w:after="0" w:line="166" w:lineRule="exact"/>
              <w:rPr>
                <w:sz w:val="20"/>
                <w:szCs w:val="20"/>
                <w:color w:val="auto"/>
              </w:rPr>
            </w:pPr>
            <w:r>
              <w:rPr>
                <w:rFonts w:ascii="Calibri" w:cs="Calibri" w:eastAsia="Calibri" w:hAnsi="Calibri"/>
                <w:sz w:val="18"/>
                <w:szCs w:val="18"/>
                <w:color w:val="auto"/>
              </w:rPr>
              <w:t>Stock transactons associated with taxes withheld on equity</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76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awards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(29,083)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(29,083)</w:t>
            </w: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line="215" w:lineRule="exact"/>
              <w:rPr>
                <w:sz w:val="20"/>
                <w:szCs w:val="20"/>
                <w:color w:val="auto"/>
              </w:rPr>
            </w:pPr>
            <w:r>
              <w:rPr>
                <w:rFonts w:ascii="Calibri" w:cs="Calibri" w:eastAsia="Calibri" w:hAnsi="Calibri"/>
                <w:sz w:val="18"/>
                <w:szCs w:val="18"/>
                <w:color w:val="auto"/>
              </w:rPr>
              <w:t>Repurchase of common stock</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(26,230)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(207,953)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(346,891)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(554,870)</w:t>
            </w: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Stock-based compensaton</w:t>
            </w:r>
          </w:p>
        </w:tc>
        <w:tc>
          <w:tcPr>
            <w:tcW w:w="10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107,408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107,408</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line="199" w:lineRule="exact"/>
              <w:rPr>
                <w:sz w:val="20"/>
                <w:szCs w:val="20"/>
                <w:color w:val="auto"/>
              </w:rPr>
            </w:pPr>
            <w:r>
              <w:rPr>
                <w:rFonts w:ascii="Calibri" w:cs="Calibri" w:eastAsia="Calibri" w:hAnsi="Calibri"/>
                <w:sz w:val="18"/>
                <w:szCs w:val="18"/>
                <w:color w:val="auto"/>
              </w:rPr>
              <w:t>Balance at December 31, 2023</w:t>
            </w:r>
          </w:p>
        </w:tc>
        <w:tc>
          <w:tcPr>
            <w:tcW w:w="9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302,793</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303</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2,440,710</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(3,750)</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(173,351)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2,263,912</w:t>
            </w: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521,267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521,267</w:t>
            </w: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w:t>
            </w:r>
          </w:p>
        </w:tc>
        <w:tc>
          <w:tcPr>
            <w:tcW w:w="10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2,403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2,403</w:t>
            </w:r>
          </w:p>
        </w:tc>
        <w:tc>
          <w:tcPr>
            <w:tcW w:w="0" w:type="dxa"/>
            <w:vAlign w:val="bottom"/>
          </w:tcPr>
          <w:p>
            <w:pPr>
              <w:spacing w:after="0"/>
              <w:rPr>
                <w:sz w:val="1"/>
                <w:szCs w:val="1"/>
                <w:color w:val="auto"/>
              </w:rPr>
            </w:pPr>
          </w:p>
        </w:tc>
      </w:tr>
      <w:tr>
        <w:trPr>
          <w:trHeight w:val="174"/>
        </w:trPr>
        <w:tc>
          <w:tcPr>
            <w:tcW w:w="4760" w:type="dxa"/>
            <w:vAlign w:val="bottom"/>
            <w:shd w:val="clear" w:color="auto" w:fill="CCEEFF"/>
          </w:tcPr>
          <w:p>
            <w:pPr>
              <w:ind w:left="20"/>
              <w:spacing w:after="0" w:line="174" w:lineRule="exact"/>
              <w:rPr>
                <w:sz w:val="20"/>
                <w:szCs w:val="20"/>
                <w:color w:val="auto"/>
              </w:rPr>
            </w:pPr>
            <w:r>
              <w:rPr>
                <w:rFonts w:ascii="Calibri" w:cs="Calibri" w:eastAsia="Calibri" w:hAnsi="Calibri"/>
                <w:sz w:val="18"/>
                <w:szCs w:val="18"/>
                <w:color w:val="auto"/>
              </w:rPr>
              <w:t>Issuance of common stock under the equity incentve plan and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6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stock purchase plan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5,356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61,775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61,780</w:t>
            </w:r>
          </w:p>
        </w:tc>
        <w:tc>
          <w:tcPr>
            <w:tcW w:w="0" w:type="dxa"/>
            <w:vAlign w:val="bottom"/>
          </w:tcPr>
          <w:p>
            <w:pPr>
              <w:spacing w:after="0"/>
              <w:rPr>
                <w:sz w:val="1"/>
                <w:szCs w:val="1"/>
                <w:color w:val="auto"/>
              </w:rPr>
            </w:pPr>
          </w:p>
        </w:tc>
      </w:tr>
      <w:tr>
        <w:trPr>
          <w:trHeight w:val="167"/>
        </w:trPr>
        <w:tc>
          <w:tcPr>
            <w:tcW w:w="4760" w:type="dxa"/>
            <w:vAlign w:val="bottom"/>
          </w:tcPr>
          <w:p>
            <w:pPr>
              <w:ind w:left="20"/>
              <w:spacing w:after="0" w:line="166" w:lineRule="exact"/>
              <w:rPr>
                <w:sz w:val="20"/>
                <w:szCs w:val="20"/>
                <w:color w:val="auto"/>
              </w:rPr>
            </w:pPr>
            <w:r>
              <w:rPr>
                <w:rFonts w:ascii="Calibri" w:cs="Calibri" w:eastAsia="Calibri" w:hAnsi="Calibri"/>
                <w:sz w:val="18"/>
                <w:szCs w:val="18"/>
                <w:color w:val="auto"/>
              </w:rPr>
              <w:t>Stock transactons associated with taxes withheld on equity</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line="215" w:lineRule="exact"/>
              <w:rPr>
                <w:sz w:val="20"/>
                <w:szCs w:val="20"/>
                <w:color w:val="auto"/>
              </w:rPr>
            </w:pPr>
            <w:r>
              <w:rPr>
                <w:rFonts w:ascii="Calibri" w:cs="Calibri" w:eastAsia="Calibri" w:hAnsi="Calibri"/>
                <w:sz w:val="18"/>
                <w:szCs w:val="18"/>
                <w:color w:val="auto"/>
              </w:rPr>
              <w:t>awards</w:t>
            </w:r>
          </w:p>
        </w:tc>
        <w:tc>
          <w:tcPr>
            <w:tcW w:w="10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(38,632)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(38,632)</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Repurchases of common stock</w:t>
            </w: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(26,417)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(214,640)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(446,563)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(661,229)</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line="215" w:lineRule="exact"/>
              <w:rPr>
                <w:sz w:val="20"/>
                <w:szCs w:val="20"/>
                <w:color w:val="auto"/>
              </w:rPr>
            </w:pPr>
            <w:r>
              <w:rPr>
                <w:rFonts w:ascii="Calibri" w:cs="Calibri" w:eastAsia="Calibri" w:hAnsi="Calibri"/>
                <w:sz w:val="18"/>
                <w:szCs w:val="18"/>
                <w:color w:val="auto"/>
              </w:rPr>
              <w:t>Stock-based compensaton</w:t>
            </w:r>
          </w:p>
        </w:tc>
        <w:tc>
          <w:tcPr>
            <w:tcW w:w="10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94,702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94,702</w:t>
            </w:r>
          </w:p>
        </w:tc>
        <w:tc>
          <w:tcPr>
            <w:tcW w:w="0" w:type="dxa"/>
            <w:vAlign w:val="bottom"/>
          </w:tcPr>
          <w:p>
            <w:pPr>
              <w:spacing w:after="0"/>
              <w:rPr>
                <w:sz w:val="1"/>
                <w:szCs w:val="1"/>
                <w:color w:val="auto"/>
              </w:rPr>
            </w:pPr>
          </w:p>
        </w:tc>
      </w:tr>
      <w:tr>
        <w:trPr>
          <w:trHeight w:val="25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Balance at December 31, 2024</w:t>
            </w:r>
          </w:p>
        </w:tc>
        <w:tc>
          <w:tcPr>
            <w:tcW w:w="9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281,732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2,343,915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(98,647)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2,244,203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EXELIXIS, INC.</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CONSOLIDATED STATEMENTS OF CASH FLOWS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3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6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6"/>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0"/>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0"/>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69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Net income</w:t>
            </w: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521,267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182,282</w:t>
            </w:r>
          </w:p>
        </w:tc>
      </w:tr>
      <w:tr>
        <w:trPr>
          <w:trHeight w:val="222"/>
        </w:trPr>
        <w:tc>
          <w:tcPr>
            <w:tcW w:w="6980" w:type="dxa"/>
            <w:vAlign w:val="bottom"/>
          </w:tcPr>
          <w:p>
            <w:pPr>
              <w:ind w:left="220"/>
              <w:spacing w:after="0" w:line="215" w:lineRule="exact"/>
              <w:rPr>
                <w:sz w:val="20"/>
                <w:szCs w:val="20"/>
                <w:color w:val="auto"/>
              </w:rPr>
            </w:pPr>
            <w:r>
              <w:rPr>
                <w:rFonts w:ascii="Calibri" w:cs="Calibri" w:eastAsia="Calibri" w:hAnsi="Calibri"/>
                <w:sz w:val="18"/>
                <w:szCs w:val="18"/>
                <w:color w:val="auto"/>
              </w:rPr>
              <w:t>Adjustments to reconcile net income to net cash provided by operatng actvites: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698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Depreciaton and amortzaton</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28,803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25,717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20,875</w:t>
            </w:r>
          </w:p>
        </w:tc>
      </w:tr>
      <w:tr>
        <w:trPr>
          <w:trHeight w:val="222"/>
        </w:trPr>
        <w:tc>
          <w:tcPr>
            <w:tcW w:w="6980" w:type="dxa"/>
            <w:vAlign w:val="bottom"/>
          </w:tcPr>
          <w:p>
            <w:pPr>
              <w:ind w:left="460"/>
              <w:spacing w:after="0" w:line="215" w:lineRule="exact"/>
              <w:rPr>
                <w:sz w:val="20"/>
                <w:szCs w:val="20"/>
                <w:color w:val="auto"/>
              </w:rPr>
            </w:pPr>
            <w:r>
              <w:rPr>
                <w:rFonts w:ascii="Calibri" w:cs="Calibri" w:eastAsia="Calibri" w:hAnsi="Calibri"/>
                <w:sz w:val="18"/>
                <w:szCs w:val="18"/>
                <w:color w:val="auto"/>
              </w:rPr>
              <w:t>Impairment of long-lived assets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64,391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698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Stock-based compensaton</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93,836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106,345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107,574</w:t>
            </w:r>
          </w:p>
        </w:tc>
      </w:tr>
      <w:tr>
        <w:trPr>
          <w:trHeight w:val="222"/>
        </w:trPr>
        <w:tc>
          <w:tcPr>
            <w:tcW w:w="6980" w:type="dxa"/>
            <w:vAlign w:val="bottom"/>
          </w:tcPr>
          <w:p>
            <w:pPr>
              <w:ind w:left="460"/>
              <w:spacing w:after="0" w:line="215" w:lineRule="exact"/>
              <w:rPr>
                <w:sz w:val="20"/>
                <w:szCs w:val="20"/>
                <w:color w:val="auto"/>
              </w:rPr>
            </w:pPr>
            <w:r>
              <w:rPr>
                <w:rFonts w:ascii="Calibri" w:cs="Calibri" w:eastAsia="Calibri" w:hAnsi="Calibri"/>
                <w:sz w:val="18"/>
                <w:szCs w:val="18"/>
                <w:color w:val="auto"/>
              </w:rPr>
              <w:t>Non-cash lease expense</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27,461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28,976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18,315</w:t>
            </w:r>
          </w:p>
        </w:tc>
      </w:tr>
      <w:tr>
        <w:trPr>
          <w:trHeight w:val="237"/>
        </w:trPr>
        <w:tc>
          <w:tcPr>
            <w:tcW w:w="698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Deferred taxes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(59,458)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(133,209)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(60,358)</w:t>
            </w:r>
          </w:p>
        </w:tc>
      </w:tr>
      <w:tr>
        <w:trPr>
          <w:trHeight w:val="222"/>
        </w:trPr>
        <w:tc>
          <w:tcPr>
            <w:tcW w:w="6980" w:type="dxa"/>
            <w:vAlign w:val="bottom"/>
          </w:tcPr>
          <w:p>
            <w:pPr>
              <w:ind w:left="460"/>
              <w:spacing w:after="0" w:line="215" w:lineRule="exact"/>
              <w:rPr>
                <w:sz w:val="20"/>
                <w:szCs w:val="20"/>
                <w:color w:val="auto"/>
              </w:rPr>
            </w:pPr>
            <w:r>
              <w:rPr>
                <w:rFonts w:ascii="Calibri" w:cs="Calibri" w:eastAsia="Calibri" w:hAnsi="Calibri"/>
                <w:sz w:val="18"/>
                <w:szCs w:val="18"/>
                <w:color w:val="auto"/>
              </w:rPr>
              <w:t>Acquired in-process research and development technology</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50,750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128,500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107,250</w:t>
            </w:r>
          </w:p>
        </w:tc>
      </w:tr>
      <w:tr>
        <w:trPr>
          <w:trHeight w:val="237"/>
        </w:trPr>
        <w:tc>
          <w:tcPr>
            <w:tcW w:w="698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Other, net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(13,626)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(16,797)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(525)</w:t>
            </w:r>
          </w:p>
        </w:tc>
      </w:tr>
      <w:tr>
        <w:trPr>
          <w:trHeight w:val="222"/>
        </w:trPr>
        <w:tc>
          <w:tcPr>
            <w:tcW w:w="6980" w:type="dxa"/>
            <w:vAlign w:val="bottom"/>
          </w:tcPr>
          <w:p>
            <w:pPr>
              <w:ind w:left="220"/>
              <w:spacing w:after="0" w:line="215" w:lineRule="exact"/>
              <w:rPr>
                <w:sz w:val="20"/>
                <w:szCs w:val="20"/>
                <w:color w:val="auto"/>
              </w:rPr>
            </w:pPr>
            <w:r>
              <w:rPr>
                <w:rFonts w:ascii="Calibri" w:cs="Calibri" w:eastAsia="Calibri" w:hAnsi="Calibri"/>
                <w:sz w:val="18"/>
                <w:szCs w:val="18"/>
                <w:color w:val="auto"/>
              </w:rPr>
              <w:t>Changes in operatng assets and liabilites: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698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Trade receivable, net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(27,950)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(22,623)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66,849</w:t>
            </w:r>
          </w:p>
        </w:tc>
      </w:tr>
      <w:tr>
        <w:trPr>
          <w:trHeight w:val="222"/>
        </w:trPr>
        <w:tc>
          <w:tcPr>
            <w:tcW w:w="6980" w:type="dxa"/>
            <w:vAlign w:val="bottom"/>
          </w:tcPr>
          <w:p>
            <w:pPr>
              <w:ind w:left="460"/>
              <w:spacing w:after="0" w:line="215" w:lineRule="exact"/>
              <w:rPr>
                <w:sz w:val="20"/>
                <w:szCs w:val="20"/>
                <w:color w:val="auto"/>
              </w:rPr>
            </w:pPr>
            <w:r>
              <w:rPr>
                <w:rFonts w:ascii="Calibri" w:cs="Calibri" w:eastAsia="Calibri" w:hAnsi="Calibri"/>
                <w:sz w:val="18"/>
                <w:szCs w:val="18"/>
                <w:color w:val="auto"/>
              </w:rPr>
              <w:t>Inventory</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5,453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(12,977)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(11,683)</w:t>
            </w:r>
          </w:p>
        </w:tc>
      </w:tr>
      <w:tr>
        <w:trPr>
          <w:trHeight w:val="237"/>
        </w:trPr>
        <w:tc>
          <w:tcPr>
            <w:tcW w:w="698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Prepaid expenses and other assets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31,079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(29,824)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(28,259)</w:t>
            </w:r>
          </w:p>
        </w:tc>
      </w:tr>
      <w:tr>
        <w:trPr>
          <w:trHeight w:val="222"/>
        </w:trPr>
        <w:tc>
          <w:tcPr>
            <w:tcW w:w="6980" w:type="dxa"/>
            <w:vAlign w:val="bottom"/>
          </w:tcPr>
          <w:p>
            <w:pPr>
              <w:ind w:left="460"/>
              <w:spacing w:after="0" w:line="215" w:lineRule="exact"/>
              <w:rPr>
                <w:sz w:val="20"/>
                <w:szCs w:val="20"/>
                <w:color w:val="auto"/>
              </w:rPr>
            </w:pPr>
            <w:r>
              <w:rPr>
                <w:rFonts w:ascii="Calibri" w:cs="Calibri" w:eastAsia="Calibri" w:hAnsi="Calibri"/>
                <w:sz w:val="18"/>
                <w:szCs w:val="18"/>
                <w:color w:val="auto"/>
              </w:rPr>
              <w:t>Accrued collaboraton liabilites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(63,065)</w:t>
            </w:r>
          </w:p>
        </w:tc>
      </w:tr>
      <w:tr>
        <w:trPr>
          <w:trHeight w:val="237"/>
        </w:trPr>
        <w:tc>
          <w:tcPr>
            <w:tcW w:w="698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Accounts payable and other liabilites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(21,886)</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50,106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23,359</w:t>
            </w:r>
          </w:p>
        </w:tc>
      </w:tr>
      <w:tr>
        <w:trPr>
          <w:trHeight w:val="217"/>
        </w:trPr>
        <w:tc>
          <w:tcPr>
            <w:tcW w:w="6980" w:type="dxa"/>
            <w:vAlign w:val="bottom"/>
            <w:tcBorders>
              <w:bottom w:val="single" w:sz="8" w:color="CCEEFF"/>
            </w:tcBorders>
          </w:tcPr>
          <w:p>
            <w:pPr>
              <w:ind w:left="660"/>
              <w:spacing w:after="0" w:line="199" w:lineRule="exact"/>
              <w:rPr>
                <w:sz w:val="20"/>
                <w:szCs w:val="20"/>
                <w:color w:val="auto"/>
              </w:rPr>
            </w:pPr>
            <w:r>
              <w:rPr>
                <w:rFonts w:ascii="Calibri" w:cs="Calibri" w:eastAsia="Calibri" w:hAnsi="Calibri"/>
                <w:sz w:val="18"/>
                <w:szCs w:val="18"/>
                <w:color w:val="auto"/>
              </w:rPr>
              <w:t>Net cash provided by operatng actvites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699,971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333,324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362,614</w:t>
            </w:r>
          </w:p>
        </w:tc>
      </w:tr>
      <w:tr>
        <w:trPr>
          <w:trHeight w:val="216"/>
        </w:trPr>
        <w:tc>
          <w:tcPr>
            <w:tcW w:w="69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Cash fows from investng actvites: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2"/>
        </w:trPr>
        <w:tc>
          <w:tcPr>
            <w:tcW w:w="6980" w:type="dxa"/>
            <w:vAlign w:val="bottom"/>
          </w:tcPr>
          <w:p>
            <w:pPr>
              <w:ind w:left="220"/>
              <w:spacing w:after="0" w:line="215" w:lineRule="exact"/>
              <w:rPr>
                <w:sz w:val="20"/>
                <w:szCs w:val="20"/>
                <w:color w:val="auto"/>
              </w:rPr>
            </w:pPr>
            <w:r>
              <w:rPr>
                <w:rFonts w:ascii="Calibri" w:cs="Calibri" w:eastAsia="Calibri" w:hAnsi="Calibri"/>
                <w:sz w:val="18"/>
                <w:szCs w:val="18"/>
                <w:color w:val="auto"/>
              </w:rPr>
              <w:t>Purchases of marketable securites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(927,905)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(902,468)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(1,450,716)</w:t>
            </w:r>
          </w:p>
        </w:tc>
      </w:tr>
      <w:tr>
        <w:trPr>
          <w:trHeight w:val="237"/>
        </w:trPr>
        <w:tc>
          <w:tcPr>
            <w:tcW w:w="698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Proceeds from maturites and sales of marketable securites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877,307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1,038,482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1,064,758</w:t>
            </w:r>
          </w:p>
        </w:tc>
      </w:tr>
      <w:tr>
        <w:trPr>
          <w:trHeight w:val="222"/>
        </w:trPr>
        <w:tc>
          <w:tcPr>
            <w:tcW w:w="6980" w:type="dxa"/>
            <w:vAlign w:val="bottom"/>
          </w:tcPr>
          <w:p>
            <w:pPr>
              <w:ind w:left="220"/>
              <w:spacing w:after="0" w:line="215" w:lineRule="exact"/>
              <w:rPr>
                <w:sz w:val="20"/>
                <w:szCs w:val="20"/>
                <w:color w:val="auto"/>
              </w:rPr>
            </w:pPr>
            <w:r>
              <w:rPr>
                <w:rFonts w:ascii="Calibri" w:cs="Calibri" w:eastAsia="Calibri" w:hAnsi="Calibri"/>
                <w:sz w:val="18"/>
                <w:szCs w:val="18"/>
                <w:color w:val="auto"/>
              </w:rPr>
              <w:t>Purchases of property, equipment and other, net</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(28,435)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(40,469)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(27,706)</w:t>
            </w:r>
          </w:p>
        </w:tc>
      </w:tr>
      <w:tr>
        <w:trPr>
          <w:trHeight w:val="237"/>
        </w:trPr>
        <w:tc>
          <w:tcPr>
            <w:tcW w:w="698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Acquired in-process research and development technology</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(37,750)</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(122,500)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(110,750)</w:t>
            </w:r>
          </w:p>
        </w:tc>
      </w:tr>
      <w:tr>
        <w:trPr>
          <w:trHeight w:val="216"/>
        </w:trPr>
        <w:tc>
          <w:tcPr>
            <w:tcW w:w="6980" w:type="dxa"/>
            <w:vAlign w:val="bottom"/>
            <w:tcBorders>
              <w:bottom w:val="single" w:sz="8" w:color="CCEEFF"/>
            </w:tcBorders>
          </w:tcPr>
          <w:p>
            <w:pPr>
              <w:ind w:left="660"/>
              <w:spacing w:after="0" w:line="199" w:lineRule="exact"/>
              <w:rPr>
                <w:sz w:val="20"/>
                <w:szCs w:val="20"/>
                <w:color w:val="auto"/>
              </w:rPr>
            </w:pPr>
            <w:r>
              <w:rPr>
                <w:rFonts w:ascii="Calibri" w:cs="Calibri" w:eastAsia="Calibri" w:hAnsi="Calibri"/>
                <w:sz w:val="18"/>
                <w:szCs w:val="18"/>
                <w:color w:val="auto"/>
              </w:rPr>
              <w:t>Net cash used in investng actvites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(116,783)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(26,955)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(524,414)</w:t>
            </w:r>
          </w:p>
        </w:tc>
      </w:tr>
      <w:tr>
        <w:trPr>
          <w:trHeight w:val="216"/>
        </w:trPr>
        <w:tc>
          <w:tcPr>
            <w:tcW w:w="69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Cash fows from fnancing actvites: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2"/>
        </w:trPr>
        <w:tc>
          <w:tcPr>
            <w:tcW w:w="6980" w:type="dxa"/>
            <w:vAlign w:val="bottom"/>
          </w:tcPr>
          <w:p>
            <w:pPr>
              <w:ind w:left="220"/>
              <w:spacing w:after="0" w:line="215" w:lineRule="exact"/>
              <w:rPr>
                <w:sz w:val="20"/>
                <w:szCs w:val="20"/>
                <w:color w:val="auto"/>
              </w:rPr>
            </w:pPr>
            <w:r>
              <w:rPr>
                <w:rFonts w:ascii="Calibri" w:cs="Calibri" w:eastAsia="Calibri" w:hAnsi="Calibri"/>
                <w:sz w:val="18"/>
                <w:szCs w:val="18"/>
                <w:color w:val="auto"/>
              </w:rPr>
              <w:t>Payments for repurchases of common stock</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(652,033)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(550,378)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174"/>
        </w:trPr>
        <w:tc>
          <w:tcPr>
            <w:tcW w:w="6980" w:type="dxa"/>
            <w:vAlign w:val="bottom"/>
            <w:shd w:val="clear" w:color="auto" w:fill="CCEEFF"/>
          </w:tcPr>
          <w:p>
            <w:pPr>
              <w:ind w:left="220"/>
              <w:spacing w:after="0" w:line="174" w:lineRule="exact"/>
              <w:rPr>
                <w:sz w:val="20"/>
                <w:szCs w:val="20"/>
                <w:color w:val="auto"/>
              </w:rPr>
            </w:pPr>
            <w:r>
              <w:rPr>
                <w:rFonts w:ascii="Calibri" w:cs="Calibri" w:eastAsia="Calibri" w:hAnsi="Calibri"/>
                <w:sz w:val="18"/>
                <w:szCs w:val="18"/>
                <w:color w:val="auto"/>
                <w:w w:val="99"/>
              </w:rPr>
              <w:t>Proceeds from issuance of common stock under the equity incentve plan and stock purchase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2"/>
        </w:trPr>
        <w:tc>
          <w:tcPr>
            <w:tcW w:w="6980" w:type="dxa"/>
            <w:vAlign w:val="bottom"/>
            <w:tcBorders>
              <w:bottom w:val="single" w:sz="8" w:color="CCEEFF"/>
            </w:tcBorders>
            <w:shd w:val="clear" w:color="auto" w:fill="CCEEFF"/>
          </w:tcPr>
          <w:p>
            <w:pPr>
              <w:ind w:left="220"/>
              <w:spacing w:after="0" w:line="215" w:lineRule="exact"/>
              <w:rPr>
                <w:sz w:val="20"/>
                <w:szCs w:val="20"/>
                <w:color w:val="auto"/>
              </w:rPr>
            </w:pPr>
            <w:r>
              <w:rPr>
                <w:rFonts w:ascii="Calibri" w:cs="Calibri" w:eastAsia="Calibri" w:hAnsi="Calibri"/>
                <w:sz w:val="18"/>
                <w:szCs w:val="18"/>
                <w:color w:val="auto"/>
              </w:rPr>
              <w:t>plan</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61,850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33,448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23,886</w:t>
            </w:r>
          </w:p>
        </w:tc>
      </w:tr>
      <w:tr>
        <w:trPr>
          <w:trHeight w:val="223"/>
        </w:trPr>
        <w:tc>
          <w:tcPr>
            <w:tcW w:w="698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Taxes paid related to net share setlement of equity awards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(38,625)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(29,122)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(23,300)</w:t>
            </w:r>
          </w:p>
        </w:tc>
      </w:tr>
      <w:tr>
        <w:trPr>
          <w:trHeight w:val="230"/>
        </w:trPr>
        <w:tc>
          <w:tcPr>
            <w:tcW w:w="6980" w:type="dxa"/>
            <w:vAlign w:val="bottom"/>
            <w:shd w:val="clear" w:color="auto" w:fill="CCEEFF"/>
          </w:tcPr>
          <w:p>
            <w:pPr>
              <w:ind w:left="660"/>
              <w:spacing w:after="0" w:line="206" w:lineRule="exact"/>
              <w:rPr>
                <w:sz w:val="20"/>
                <w:szCs w:val="20"/>
                <w:color w:val="auto"/>
              </w:rPr>
            </w:pPr>
            <w:r>
              <w:rPr>
                <w:rFonts w:ascii="Calibri" w:cs="Calibri" w:eastAsia="Calibri" w:hAnsi="Calibri"/>
                <w:sz w:val="18"/>
                <w:szCs w:val="18"/>
                <w:color w:val="auto"/>
              </w:rPr>
              <w:t>Net cash provided by (used in) fnancing actvites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(628,808)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(546,052)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586</w:t>
            </w:r>
          </w:p>
        </w:tc>
      </w:tr>
      <w:tr>
        <w:trPr>
          <w:trHeight w:val="216"/>
        </w:trPr>
        <w:tc>
          <w:tcPr>
            <w:tcW w:w="6980" w:type="dxa"/>
            <w:vAlign w:val="bottom"/>
          </w:tcPr>
          <w:p>
            <w:pPr>
              <w:ind w:left="20"/>
              <w:spacing w:after="0" w:line="199" w:lineRule="exact"/>
              <w:rPr>
                <w:sz w:val="20"/>
                <w:szCs w:val="20"/>
                <w:color w:val="auto"/>
              </w:rPr>
            </w:pPr>
            <w:r>
              <w:rPr>
                <w:rFonts w:ascii="Calibri" w:cs="Calibri" w:eastAsia="Calibri" w:hAnsi="Calibri"/>
                <w:sz w:val="18"/>
                <w:szCs w:val="18"/>
                <w:color w:val="auto"/>
              </w:rPr>
              <w:t>Net decrease in cash and cash equivalents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(45,620)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(239,683)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(161,214)</w:t>
            </w:r>
          </w:p>
        </w:tc>
      </w:tr>
      <w:tr>
        <w:trPr>
          <w:trHeight w:val="230"/>
        </w:trPr>
        <w:tc>
          <w:tcPr>
            <w:tcW w:w="69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262,994</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502,677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663,891</w:t>
            </w:r>
          </w:p>
        </w:tc>
      </w:tr>
      <w:tr>
        <w:trPr>
          <w:trHeight w:val="230"/>
        </w:trPr>
        <w:tc>
          <w:tcPr>
            <w:tcW w:w="6980" w:type="dxa"/>
            <w:vAlign w:val="bottom"/>
          </w:tcPr>
          <w:p>
            <w:pPr>
              <w:ind w:left="20"/>
              <w:spacing w:after="0"/>
              <w:rPr>
                <w:sz w:val="20"/>
                <w:szCs w:val="20"/>
                <w:color w:val="auto"/>
              </w:rPr>
            </w:pPr>
            <w:r>
              <w:rPr>
                <w:rFonts w:ascii="Calibri" w:cs="Calibri" w:eastAsia="Calibri" w:hAnsi="Calibri"/>
                <w:sz w:val="18"/>
                <w:szCs w:val="18"/>
                <w:color w:val="auto"/>
              </w:rPr>
              <w:t>Cash and cash equivalents at end of period</w:t>
            </w: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217,374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262,994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502,677</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69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Supplemental cash fow disclosures: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2"/>
        </w:trPr>
        <w:tc>
          <w:tcPr>
            <w:tcW w:w="6980" w:type="dxa"/>
            <w:vAlign w:val="bottom"/>
          </w:tcPr>
          <w:p>
            <w:pPr>
              <w:ind w:left="220"/>
              <w:spacing w:after="0" w:line="215" w:lineRule="exact"/>
              <w:rPr>
                <w:sz w:val="20"/>
                <w:szCs w:val="20"/>
                <w:color w:val="auto"/>
              </w:rPr>
            </w:pPr>
            <w:r>
              <w:rPr>
                <w:rFonts w:ascii="Calibri" w:cs="Calibri" w:eastAsia="Calibri" w:hAnsi="Calibri"/>
                <w:sz w:val="18"/>
                <w:szCs w:val="18"/>
                <w:color w:val="auto"/>
              </w:rPr>
              <w:t>Cash paid for taxes</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170,482</w:t>
            </w:r>
          </w:p>
        </w:tc>
        <w:tc>
          <w:tcPr>
            <w:tcW w:w="8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185,658</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127,870</w:t>
            </w:r>
          </w:p>
        </w:tc>
      </w:tr>
      <w:tr>
        <w:trPr>
          <w:trHeight w:val="237"/>
        </w:trPr>
        <w:tc>
          <w:tcPr>
            <w:tcW w:w="698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Non-cash operatng actvites: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2"/>
        </w:trPr>
        <w:tc>
          <w:tcPr>
            <w:tcW w:w="6980" w:type="dxa"/>
            <w:vAlign w:val="bottom"/>
          </w:tcPr>
          <w:p>
            <w:pPr>
              <w:ind w:left="500"/>
              <w:spacing w:after="0" w:line="215" w:lineRule="exact"/>
              <w:rPr>
                <w:sz w:val="20"/>
                <w:szCs w:val="20"/>
                <w:color w:val="auto"/>
              </w:rPr>
            </w:pPr>
            <w:r>
              <w:rPr>
                <w:rFonts w:ascii="Calibri" w:cs="Calibri" w:eastAsia="Calibri" w:hAnsi="Calibri"/>
                <w:sz w:val="18"/>
                <w:szCs w:val="18"/>
                <w:color w:val="auto"/>
              </w:rPr>
              <w:t>Right-of-use assets obtained in exchange for lease obligatons</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15,313</w:t>
            </w:r>
          </w:p>
        </w:tc>
        <w:tc>
          <w:tcPr>
            <w:tcW w:w="8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16,623</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155,935</w:t>
            </w:r>
          </w:p>
        </w:tc>
      </w:tr>
      <w:tr>
        <w:trPr>
          <w:trHeight w:val="237"/>
        </w:trPr>
        <w:tc>
          <w:tcPr>
            <w:tcW w:w="6980" w:type="dxa"/>
            <w:vAlign w:val="bottom"/>
            <w:shd w:val="clear" w:color="auto" w:fill="CCEEFF"/>
          </w:tcPr>
          <w:p>
            <w:pPr>
              <w:ind w:left="500"/>
              <w:spacing w:after="0"/>
              <w:rPr>
                <w:sz w:val="20"/>
                <w:szCs w:val="20"/>
                <w:color w:val="auto"/>
              </w:rPr>
            </w:pPr>
            <w:r>
              <w:rPr>
                <w:rFonts w:ascii="Calibri" w:cs="Calibri" w:eastAsia="Calibri" w:hAnsi="Calibri"/>
                <w:sz w:val="18"/>
                <w:szCs w:val="18"/>
                <w:color w:val="auto"/>
              </w:rPr>
              <w:t>Impairment of right-of-use assets</w:t>
            </w: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59,735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14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6980" w:type="dxa"/>
            <w:vAlign w:val="bottom"/>
          </w:tcPr>
          <w:p>
            <w:pPr>
              <w:ind w:left="20"/>
              <w:spacing w:after="0" w:line="215" w:lineRule="exact"/>
              <w:rPr>
                <w:sz w:val="20"/>
                <w:szCs w:val="20"/>
                <w:color w:val="auto"/>
              </w:rPr>
            </w:pPr>
            <w:r>
              <w:rPr>
                <w:rFonts w:ascii="Calibri" w:cs="Calibri" w:eastAsia="Calibri" w:hAnsi="Calibri"/>
                <w:sz w:val="18"/>
                <w:szCs w:val="18"/>
                <w:color w:val="auto"/>
              </w:rPr>
              <w:t>Non-cash investng actvity:</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74"/>
        </w:trPr>
        <w:tc>
          <w:tcPr>
            <w:tcW w:w="6980" w:type="dxa"/>
            <w:vAlign w:val="bottom"/>
            <w:shd w:val="clear" w:color="auto" w:fill="CCEEFF"/>
          </w:tcPr>
          <w:p>
            <w:pPr>
              <w:ind w:left="500"/>
              <w:spacing w:after="0" w:line="174" w:lineRule="exact"/>
              <w:rPr>
                <w:sz w:val="20"/>
                <w:szCs w:val="20"/>
                <w:color w:val="auto"/>
              </w:rPr>
            </w:pPr>
            <w:r>
              <w:rPr>
                <w:rFonts w:ascii="Calibri" w:cs="Calibri" w:eastAsia="Calibri" w:hAnsi="Calibri"/>
                <w:sz w:val="18"/>
                <w:szCs w:val="18"/>
                <w:color w:val="auto"/>
              </w:rPr>
              <w:t>Unpaid liabilites incurred for purchases of in-process research and development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28"/>
        </w:trPr>
        <w:tc>
          <w:tcPr>
            <w:tcW w:w="6980" w:type="dxa"/>
            <w:vAlign w:val="bottom"/>
            <w:shd w:val="clear" w:color="auto" w:fill="CCEEFF"/>
          </w:tcPr>
          <w:p>
            <w:pPr>
              <w:ind w:left="500"/>
              <w:spacing w:after="0" w:line="215" w:lineRule="exact"/>
              <w:rPr>
                <w:sz w:val="20"/>
                <w:szCs w:val="20"/>
                <w:color w:val="auto"/>
              </w:rPr>
            </w:pPr>
            <w:r>
              <w:rPr>
                <w:rFonts w:ascii="Calibri" w:cs="Calibri" w:eastAsia="Calibri" w:hAnsi="Calibri"/>
                <w:sz w:val="18"/>
                <w:szCs w:val="18"/>
                <w:color w:val="auto"/>
              </w:rPr>
              <w:t>technology</w:t>
            </w: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19,500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500</w:t>
            </w:r>
          </w:p>
        </w:tc>
      </w:tr>
      <w:tr>
        <w:trPr>
          <w:trHeight w:val="23"/>
        </w:trPr>
        <w:tc>
          <w:tcPr>
            <w:tcW w:w="6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EXELIXIS, INC.</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ORGANIZATION AND SUMMARY OF SIGNIFICANT ACCOUNTING POLICIES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Organizaton</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Exelixis, Inc. (Exelixis, we, our or us) is an oncology company innovatng next-generaton medicines and combinaton regimens at the forefront of cancer care. We have produced four marketed pharmaceutcal products, two of which are formulatons of our fagship molecule, cabozantnib, and we are steadily advancing and evolving our product pipeline portolio, including our lead asset zanzalintnib, currently the focus of an extensive phase 3 clinical development program. With a ratonal and disciplined approach to investment, we are leveraging our internal experience and expertse, and the strength of strategic partnerships, to identfy and pursue opportunites across the landscape of scientfc modalites, including small molecules, biotherapeutcs and antbody-drug conjugates (ADCs).</w:t>
      </w:r>
    </w:p>
    <w:p>
      <w:pPr>
        <w:spacing w:after="0" w:line="167"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Sales related to cabozantnib account for the majority of our revenues. Cabozantnib is an inhibitor of multple tyrosine kinases, including MET, AXL, VEGF receptors and RET and has been approved by the U.S. Food and Drug Administraton (FDA) and in other countries: as CABOMETYX® (cabozantnib) tablets for advanced renal cell carcinoma (RCC) (both alone and in combinaton with Bristol-Myers Squibb Company’s (BMS) nivolumab), for previously treated hepatocellular carcinoma (HCC) and for previously treated, radioactve iodine (RAI)-refractory diferentated thyroid cancer (DTC); and as COMETRIQ® (cabozantnib) capsules for progressive, metastatc medullary thyroid cancer. For physicians treatng these types of cancer, cabozantnib has become or is becoming an important medicine in their selecton of efectve therapies.</w:t>
      </w:r>
    </w:p>
    <w:p>
      <w:pPr>
        <w:spacing w:after="0" w:line="167"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The other two products resultng from our discovery eforts are: COTELLIC® (cobimetnib), an inhibitor of MEK approved as part of multple combinaton regimens to treat specifc forms of advanced melanoma and marketed under a collaboraton with Genentech, Inc. (a member of the Roche Group) (Genentech); and MINNEBRO® (esaxerenone), an oral, non-steroidal, selectve blocker of the mineralocortcoid receptor, approved for the treatment of hypertension in Japan and licensed to Daiichi Sankyo Company, Limited (Daiichi Sankyo).</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of Presentaton</w:t>
      </w:r>
    </w:p>
    <w:p>
      <w:pPr>
        <w:spacing w:after="0" w:line="163" w:lineRule="exact"/>
        <w:rPr>
          <w:sz w:val="20"/>
          <w:szCs w:val="20"/>
          <w:color w:val="auto"/>
        </w:rPr>
      </w:pPr>
    </w:p>
    <w:p>
      <w:pPr>
        <w:ind w:right="240" w:firstLine="648"/>
        <w:spacing w:after="0" w:line="235" w:lineRule="auto"/>
        <w:rPr>
          <w:sz w:val="20"/>
          <w:szCs w:val="20"/>
          <w:color w:val="auto"/>
        </w:rPr>
      </w:pPr>
      <w:r>
        <w:rPr>
          <w:rFonts w:ascii="Calibri" w:cs="Calibri" w:eastAsia="Calibri" w:hAnsi="Calibri"/>
          <w:sz w:val="18"/>
          <w:szCs w:val="18"/>
          <w:color w:val="auto"/>
        </w:rPr>
        <w:t>The accompanying Consolidated Financial Statements include the accounts of Exelixis and those of our wholly-owned subsidiaries. These enttes’ functonal currency is the U.S. dollar. All intercompany balances and transactons have been eliminated.</w:t>
      </w:r>
    </w:p>
    <w:p>
      <w:pPr>
        <w:spacing w:after="0" w:line="164" w:lineRule="exact"/>
        <w:rPr>
          <w:sz w:val="20"/>
          <w:szCs w:val="20"/>
          <w:color w:val="auto"/>
        </w:rPr>
      </w:pPr>
    </w:p>
    <w:p>
      <w:pPr>
        <w:ind w:right="20" w:firstLine="648"/>
        <w:spacing w:after="0" w:line="248" w:lineRule="auto"/>
        <w:rPr>
          <w:sz w:val="20"/>
          <w:szCs w:val="20"/>
          <w:color w:val="auto"/>
        </w:rPr>
      </w:pPr>
      <w:r>
        <w:rPr>
          <w:rFonts w:ascii="Calibri" w:cs="Calibri" w:eastAsia="Calibri" w:hAnsi="Calibri"/>
          <w:sz w:val="18"/>
          <w:szCs w:val="18"/>
          <w:color w:val="auto"/>
        </w:rPr>
        <w:t>We have adopted a 52- or 53-week fscal year policy that generally ends on the Friday closest to December 31st. Fiscal year 2024, which was a 53-week fscal year, ended on January 3, 2025; fscal year 2023, which was a 52-week fscal year, ended on December 29, 2023; and fscal year 2022, which was a 52-week fscal year, ended on December 30, 2022. For convenience, references in this report as of and for the fscal years ended January 3, 2025, December 29, 2023 and December 30, 2022, are indicated as being as of and for the years ended December 31, 2024, 2023 and 2022, respectvely.</w:t>
      </w:r>
    </w:p>
    <w:p>
      <w:pPr>
        <w:spacing w:after="0" w:line="158"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have made reclassifcatons to our prior years’ Consolidated Financial Statements to conform to the current year’s presentaton. These reclassifcatons did not impact previously reported total revenues, income from operatons, net income, total assets, total liabilites, total operatng, investng or fnancing cash fows or total stockholders’ equity.</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Estmates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 preparaton of the accompanying Consolidated Financial Statements conforms to accountng principles generally accepted in the U.S., which requires management to make judgments, estmates and assumptons that afect the reported amounts of assets, liabilites, equity, revenues and expenses and related disclosures. On an ongoing basis, we evaluate our signifcant estmates. We base our estmates on historical experience and on various other market-specifc and other relevant assumptons that we believe to be reasonable under the circumstances, the results of which form the basis for making judgments about the carrying values of assets and liabilites that are not readily apparent from other sources. Actual results could difer materially from those estmates.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Adopted Accountng Pronouncements</w:t>
      </w:r>
    </w:p>
    <w:p>
      <w:pPr>
        <w:spacing w:after="0" w:line="163"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 xml:space="preserve">In November 2023, the Financial Accountng Standards Board (FASB) issued Accountng Standards Update (ASU) 2023-07, </w:t>
      </w:r>
      <w:r>
        <w:rPr>
          <w:rFonts w:ascii="Calibri" w:cs="Calibri" w:eastAsia="Calibri" w:hAnsi="Calibri"/>
          <w:sz w:val="18"/>
          <w:szCs w:val="18"/>
          <w:i w:val="1"/>
          <w:iCs w:val="1"/>
          <w:color w:val="auto"/>
        </w:rPr>
        <w:t>Segment Reportng (Topic</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280): Improvements to Reportable Segment Disclosures</w:t>
      </w:r>
      <w:r>
        <w:rPr>
          <w:rFonts w:ascii="Calibri" w:cs="Calibri" w:eastAsia="Calibri" w:hAnsi="Calibri"/>
          <w:sz w:val="18"/>
          <w:szCs w:val="18"/>
          <w:color w:val="auto"/>
        </w:rPr>
        <w:t>, which enhances the disclosures required for operatng segments in our annual and interim</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consolidated fnancial statements. We adopted the new standard efectve beginning fscal year 2024. We have presented the efects of the adopton of ASU 2023-07 in “Note 2. Segment Reportng.”</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Cash Equivalents and Marketable Securites</w:t>
      </w:r>
    </w:p>
    <w:p>
      <w:pPr>
        <w:spacing w:after="0" w:line="163" w:lineRule="exact"/>
        <w:rPr>
          <w:sz w:val="20"/>
          <w:szCs w:val="20"/>
          <w:color w:val="auto"/>
        </w:rPr>
      </w:pPr>
    </w:p>
    <w:p>
      <w:pPr>
        <w:jc w:val="both"/>
        <w:ind w:right="480" w:firstLine="648"/>
        <w:spacing w:after="0" w:line="258" w:lineRule="auto"/>
        <w:rPr>
          <w:sz w:val="20"/>
          <w:szCs w:val="20"/>
          <w:color w:val="auto"/>
        </w:rPr>
      </w:pPr>
      <w:r>
        <w:rPr>
          <w:rFonts w:ascii="Calibri" w:cs="Calibri" w:eastAsia="Calibri" w:hAnsi="Calibri"/>
          <w:sz w:val="17"/>
          <w:szCs w:val="17"/>
          <w:color w:val="auto"/>
        </w:rPr>
        <w:t>We consider all highly liquid investments purchased with an original maturity of three months or less to be cash equivalents. Cash equivalents include high-grade, short-term investments in money market funds and marketable debt securites which are subject to minimal credit and market risk.</w:t>
      </w:r>
    </w:p>
    <w:p>
      <w:pPr>
        <w:spacing w:after="0" w:line="148"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designate all investments in marketable debt securites and certfcates of deposit as available-for-sale and therefore, report such investments at fair value, with unrealized gains and losses recorded in accumulated other comprehensive income. For securites sold prior to maturity, the cost of securites sold is based on the specifc identfcaton method. We include realized gains and losses on the sale of marketable securites in other income (expense), net in the accompanying Consolidated Statements of Income.</w:t>
      </w:r>
    </w:p>
    <w:p>
      <w:pPr>
        <w:spacing w:after="0" w:line="165"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We classify those marketable securites that we do not require for use in current operatons and that mature in more than 12 months as non-current marketable securites in the accompanying Consolidated Balance Sheets.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Investment Impairment</w:t>
      </w:r>
    </w:p>
    <w:p>
      <w:pPr>
        <w:spacing w:after="0" w:line="163" w:lineRule="exact"/>
        <w:rPr>
          <w:sz w:val="20"/>
          <w:szCs w:val="20"/>
          <w:color w:val="auto"/>
        </w:rPr>
      </w:pPr>
    </w:p>
    <w:p>
      <w:pPr>
        <w:ind w:right="140" w:firstLine="648"/>
        <w:spacing w:after="0" w:line="251" w:lineRule="auto"/>
        <w:rPr>
          <w:sz w:val="20"/>
          <w:szCs w:val="20"/>
          <w:color w:val="auto"/>
        </w:rPr>
      </w:pPr>
      <w:r>
        <w:rPr>
          <w:rFonts w:ascii="Calibri" w:cs="Calibri" w:eastAsia="Calibri" w:hAnsi="Calibri"/>
          <w:sz w:val="17"/>
          <w:szCs w:val="17"/>
          <w:color w:val="auto"/>
        </w:rPr>
        <w:t>Quarterly, we assess each of our investments in available-for-sale debt securites whose fair value is below its cost basis to determine if the investment’s impairment is due to credit-related factors or noncredit-related factors. Factors considered in determining whether an impairment is credit-related include the extent to which the investment’s fair value is less than its cost basis, declines in published credit ratngs, issuer default on interest or principal payments, and declines in the fnancial conditon and near-term prospects of the issuer. If we determine a credit-related impairment exists, we will measure the credit loss based on a discounted cash fow model. Credit-related impairments on available-for-sale debt securites are recognized as an allowance for credit losses with a corresponding adjustment to other income (expense), net in the accompanying Consolidated Statements of Income. The porton of the impairment that is not credit-related is recorded as a reducton of other comprehensive income (loss), net of applicable taxes.</w:t>
      </w:r>
    </w:p>
    <w:p>
      <w:pPr>
        <w:spacing w:after="0" w:line="155" w:lineRule="exact"/>
        <w:rPr>
          <w:sz w:val="20"/>
          <w:szCs w:val="20"/>
          <w:color w:val="auto"/>
        </w:rPr>
      </w:pPr>
    </w:p>
    <w:p>
      <w:pPr>
        <w:ind w:right="300" w:firstLine="648"/>
        <w:spacing w:after="0" w:line="235" w:lineRule="auto"/>
        <w:rPr>
          <w:sz w:val="20"/>
          <w:szCs w:val="20"/>
          <w:color w:val="auto"/>
        </w:rPr>
      </w:pPr>
      <w:r>
        <w:rPr>
          <w:rFonts w:ascii="Calibri" w:cs="Calibri" w:eastAsia="Calibri" w:hAnsi="Calibri"/>
          <w:sz w:val="18"/>
          <w:szCs w:val="18"/>
          <w:color w:val="auto"/>
        </w:rPr>
        <w:t>We have elected to exclude accrued interest from both the fair value and the amortzed cost basis of the available-for-sale debt securites for the purposes of identfying and measuring an impairment. We write-of accrued interest as a reducton of interest income when an issuer has defaulted on interest payments due on a security.</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Fair Value Measurements</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Fair value is defned as the amount that would be received upon sale of an asset or paid to transfer a liability in an orderly transacton between market partcipants at the measurement date (exit price). When determining the fair value measurements for assets and liabilites which are required to be recorded at fair value, we consider the principal or most advantageous market in which we would transact and the market-based risk measurements or assumptons that market partcipants would use in pricing the asset or liability, such as risks inherent in valuaton techniques, transfer restrictons and credit risks.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Foreign Currency Remeasurement</w:t>
      </w:r>
    </w:p>
    <w:p>
      <w:pPr>
        <w:spacing w:after="0" w:line="163"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Monetary assets and liabilites denominated in currencies other than the functonal currency are remeasured using exchange rates in efect at the end of the period and related gains or losses are recorded in other income (expense), net in the accompanying Consolidated Statements of Income. Net foreign currency gains or losses were immaterial for the years ended December 31, 2024, 2023 and 2022, respectvely.</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Accounts Receivable</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Trade receivables, net, contain amounts billed to our customers for product sales, and amounts billed to our collaboraton partners for development, regulatory and sales-based milestone payments, royaltes on the sale of licensed products, proft-sharing arrangements, development cost reimbursements, and payments for product supply services. Our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customers are primarily pharmaceutcal and biotechnology companies that are located in the U.S., and collaboraton partners that are located in Europe and Japan. We record trade receivables net of allowances for credit losses and chargebacks, and cash discounts for prompt payment. We apply an aging method to estmate credit losses and consider our historical loss informaton, adjusted to account for current economic conditons, and reasonable and supportable forecasts of future economic conditons afectng our customers. We write of trade receivables and related allowances for credit losses when it becomes probable we will not collect the amount receivable. The allowances for credit losses and write-ofs for the years ended December 31, 2024 and December 31, 2023 were immaterial.</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Inventory</w:t>
      </w:r>
    </w:p>
    <w:p>
      <w:pPr>
        <w:spacing w:after="0" w:line="163" w:lineRule="exact"/>
        <w:rPr>
          <w:sz w:val="20"/>
          <w:szCs w:val="20"/>
          <w:color w:val="auto"/>
        </w:rPr>
      </w:pPr>
    </w:p>
    <w:p>
      <w:pPr>
        <w:ind w:firstLine="648"/>
        <w:spacing w:after="0" w:line="251" w:lineRule="auto"/>
        <w:rPr>
          <w:sz w:val="20"/>
          <w:szCs w:val="20"/>
          <w:color w:val="auto"/>
        </w:rPr>
      </w:pPr>
      <w:r>
        <w:rPr>
          <w:rFonts w:ascii="Calibri" w:cs="Calibri" w:eastAsia="Calibri" w:hAnsi="Calibri"/>
          <w:sz w:val="17"/>
          <w:szCs w:val="17"/>
          <w:color w:val="auto"/>
        </w:rPr>
        <w:t>We value inventory at the lower of cost or net realizable value. We determine the cost of inventory using the standard-cost method, which approximates actual cost based on a frst-in, frst-out method. We analyze our inventory levels quarterly and write down inventory subject to expiry in excess of expected requirements, or that has a cost basis in excess of its expected net realizable value. These write downs are charged to either cost of goods sold or the cost of supplied product included in collaboraton services revenues in the accompanying Consolidated Statements of Income. On a quarterly basis, we analyze our estmated producton levels for the following twelve-month period, which is our normal operatng cycle, and reclassify inventory we expect to use or sell in periods beyond the next twelve months into other long-term assets in the accompanying Consolidated Balance Sheets.</w:t>
      </w:r>
    </w:p>
    <w:p>
      <w:pPr>
        <w:spacing w:after="0" w:line="1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Property and Equipment</w:t>
      </w:r>
    </w:p>
    <w:p>
      <w:pPr>
        <w:spacing w:after="0" w:line="163" w:lineRule="exact"/>
        <w:rPr>
          <w:sz w:val="20"/>
          <w:szCs w:val="20"/>
          <w:color w:val="auto"/>
        </w:rPr>
      </w:pPr>
    </w:p>
    <w:p>
      <w:pPr>
        <w:jc w:val="both"/>
        <w:ind w:right="20" w:firstLine="648"/>
        <w:spacing w:after="0" w:line="235" w:lineRule="auto"/>
        <w:rPr>
          <w:sz w:val="20"/>
          <w:szCs w:val="20"/>
          <w:color w:val="auto"/>
        </w:rPr>
      </w:pPr>
      <w:r>
        <w:rPr>
          <w:rFonts w:ascii="Calibri" w:cs="Calibri" w:eastAsia="Calibri" w:hAnsi="Calibri"/>
          <w:sz w:val="18"/>
          <w:szCs w:val="18"/>
          <w:color w:val="auto"/>
        </w:rPr>
        <w:t>We record property and equipment at cost, net of depreciaton. We compute depreciaton using the straight-line method based on estmated useful lives of the assets and amortze leasehold improvements over the lesser of their estmated useful lives or the remainder of the lease term. We charge repairs and maintenance costs to expense as incurred. We periodically review property and equipment for impairment whenever events or changes in circumstances indicate that the carrying amount of an asset may not be recoverable.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Long-Lived Assets Impairment</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 xml:space="preserve">The carrying value of our long-lived assets, which includes property and equipment, right-of-use assets and leasehold improvements, is reviewed for impairment whenever events or changes in circumstances indicate that the carrying value of the asset may not be recoverable. Should there be an indicaton of impairment, we test for recoverability by comparing the estmated undiscounted future cash fows expected to result from the use of the asset to the carrying amount of the asset or asset group. If the asset or asset group is determined to be impaired, any excess of the carrying value of the asset or asset group over its estmated fair value is recognized as an impairment loss. The fair value is determined using an income approach where certain Level 3 inputs are used, including estmates and assumptons on the tming and amount of discounted cash fows. During the year ended December 31, 2024, we recognized $64.4 million in impairment charges primarily comprised of right-of use assets, leasehold improvements, and property and equipment. We did not recognize any material impairment charges during the years ended December 31, 2023 and 2022. See “Note 12. Commitments and Contngencies </w:t>
      </w:r>
      <w:r>
        <w:rPr>
          <w:rFonts w:ascii="Calibri" w:cs="Calibri" w:eastAsia="Calibri" w:hAnsi="Calibri"/>
          <w:sz w:val="18"/>
          <w:szCs w:val="18"/>
          <w:i w:val="1"/>
          <w:iCs w:val="1"/>
          <w:color w:val="auto"/>
        </w:rPr>
        <w:t>– Impairment of long-lived assets</w:t>
      </w:r>
      <w:r>
        <w:rPr>
          <w:rFonts w:ascii="Calibri" w:cs="Calibri" w:eastAsia="Calibri" w:hAnsi="Calibri"/>
          <w:sz w:val="18"/>
          <w:szCs w:val="18"/>
          <w:color w:val="auto"/>
        </w:rPr>
        <w:t>” and “Note 13. Restructuring” for further details.</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Leases</w:t>
      </w:r>
    </w:p>
    <w:p>
      <w:pPr>
        <w:spacing w:after="0" w:line="163" w:lineRule="exact"/>
        <w:rPr>
          <w:sz w:val="20"/>
          <w:szCs w:val="20"/>
          <w:color w:val="auto"/>
        </w:rPr>
      </w:pPr>
    </w:p>
    <w:p>
      <w:pPr>
        <w:ind w:firstLine="648"/>
        <w:spacing w:after="0" w:line="239" w:lineRule="auto"/>
        <w:rPr>
          <w:sz w:val="20"/>
          <w:szCs w:val="20"/>
          <w:color w:val="auto"/>
        </w:rPr>
      </w:pPr>
      <w:r>
        <w:rPr>
          <w:rFonts w:ascii="Calibri" w:cs="Calibri" w:eastAsia="Calibri" w:hAnsi="Calibri"/>
          <w:sz w:val="18"/>
          <w:szCs w:val="18"/>
          <w:color w:val="auto"/>
        </w:rPr>
        <w:t xml:space="preserve">We determine if an arrangement includes a lease at the incepton of the agreement. For each of our lease arrangements, we record a right-of-use asset representng our right to use an underlying asset for the lease term and a lease liability representng our obligaton to make lease payments. Operatng lease right-of-use assets and liabilites are recognized at the lease commencement date based on the net present value of lease payments over the lease term. In determining the discount rate used to calculate the net present value of lease payments, we use our incremental borrowing rate based on the informaton available at the lease commencement date. Our leases may include optons to extend or terminate the lease which are included in the lease term when it is reasonably certain that we will exercise any such optons. The Company elected to account for lease and non-lease components as a single lease component. Lease expense for our operatng leases is recognized on a straight-line basis over the lease term. Impairments of right-of-use assets are recognized as a reducton in their respectve carrying values. Post-impairment, the lease expense for our operatng leases is comprised of the straight-line amortzaton of the remaining right-of-use assets over the lease term and the accreton of lease liability. We have elected not to apply the recogniton requirements of Topic 842, </w:t>
      </w:r>
      <w:r>
        <w:rPr>
          <w:rFonts w:ascii="Calibri" w:cs="Calibri" w:eastAsia="Calibri" w:hAnsi="Calibri"/>
          <w:sz w:val="18"/>
          <w:szCs w:val="18"/>
          <w:i w:val="1"/>
          <w:iCs w:val="1"/>
          <w:color w:val="auto"/>
        </w:rPr>
        <w:t>Leases,</w:t>
      </w:r>
      <w:r>
        <w:rPr>
          <w:rFonts w:ascii="Calibri" w:cs="Calibri" w:eastAsia="Calibri" w:hAnsi="Calibri"/>
          <w:sz w:val="18"/>
          <w:szCs w:val="18"/>
          <w:color w:val="auto"/>
        </w:rPr>
        <w:t xml:space="preserve"> for short-term leases that do not include an opton to purchase the underlying asset for which the Company is reasonably certain to exercise. For short-term leases, lease payments are recognized as incurred in operatng expenses over the lease term.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Goodwill</w:t>
      </w:r>
    </w:p>
    <w:p>
      <w:pPr>
        <w:spacing w:after="0" w:line="163" w:lineRule="exact"/>
        <w:rPr>
          <w:sz w:val="20"/>
          <w:szCs w:val="20"/>
          <w:color w:val="auto"/>
        </w:rPr>
      </w:pPr>
    </w:p>
    <w:p>
      <w:pPr>
        <w:ind w:firstLine="648"/>
        <w:spacing w:after="0" w:line="250" w:lineRule="auto"/>
        <w:rPr>
          <w:sz w:val="20"/>
          <w:szCs w:val="20"/>
          <w:color w:val="auto"/>
        </w:rPr>
      </w:pPr>
      <w:r>
        <w:rPr>
          <w:rFonts w:ascii="Calibri" w:cs="Calibri" w:eastAsia="Calibri" w:hAnsi="Calibri"/>
          <w:sz w:val="17"/>
          <w:szCs w:val="17"/>
          <w:color w:val="auto"/>
        </w:rPr>
        <w:t>We record goodwill amounts as the excess of purchase price over identfable net assets acquired based on their estmated fair value. We review the carrying amount of goodwill for impairment annually and whenever events or changes in circumstance indicate that the carrying value may not be recoverable. We perform our annual assessment of the recoverability of our goodwill as of the frst day of our fourth quarter. The assessment of recoverability may frst consider qualitatve factors to determine whether the existence of events or circumstances leads to a determinaton that it is more-likely-than-not that the fair value of a reportng unit is less than its carrying amount. We perform a quanttatve assessment if the qualitatve assessment results in a more-likely-than-not determinaton or if a qualitatve assessment is not performed. The quanttatve assessment considers whether the carrying amount of a reportng unit exceeds its fair value, in which case an impairment charge is recorded for the amount by which the carrying amount of a reportng unit exceeds its fair value, limited to the goodwill balance. We operate in one business segment, which is also considered to be our sole reportng unit and therefore, goodwill is tested for impairment at the enterprise level. We did not recognize any goodwill impairment charges in any of the periods presented.</w:t>
      </w:r>
    </w:p>
    <w:p>
      <w:pPr>
        <w:spacing w:after="0" w:line="1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current liabilites</w:t>
      </w:r>
    </w:p>
    <w:p>
      <w:pPr>
        <w:spacing w:after="0" w:line="163" w:lineRule="exact"/>
        <w:rPr>
          <w:sz w:val="20"/>
          <w:szCs w:val="20"/>
          <w:color w:val="auto"/>
        </w:rPr>
      </w:pPr>
    </w:p>
    <w:p>
      <w:pPr>
        <w:jc w:val="both"/>
        <w:ind w:right="280" w:firstLine="648"/>
        <w:spacing w:after="0" w:line="235" w:lineRule="auto"/>
        <w:rPr>
          <w:sz w:val="20"/>
          <w:szCs w:val="20"/>
          <w:color w:val="auto"/>
        </w:rPr>
      </w:pPr>
      <w:r>
        <w:rPr>
          <w:rFonts w:ascii="Calibri" w:cs="Calibri" w:eastAsia="Calibri" w:hAnsi="Calibri"/>
          <w:sz w:val="18"/>
          <w:szCs w:val="18"/>
          <w:color w:val="auto"/>
        </w:rPr>
        <w:t>As of December 31, 2024 and 2023, other current liabilites includes the current porton of the Branded Prescripton Drug Fee due to the Internal Revenue Service in the amount of $26.2 million and $26.3 million, respectvely, and the current porton of our lease liability in the amount of $25.0 million and $25.7 million, respectvely.</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w:t>
      </w:r>
    </w:p>
    <w:p>
      <w:pPr>
        <w:spacing w:after="0" w:line="163" w:lineRule="exact"/>
        <w:rPr>
          <w:sz w:val="20"/>
          <w:szCs w:val="20"/>
          <w:color w:val="auto"/>
        </w:rPr>
      </w:pPr>
    </w:p>
    <w:p>
      <w:pPr>
        <w:ind w:right="240" w:firstLine="648"/>
        <w:spacing w:after="0" w:line="235" w:lineRule="auto"/>
        <w:rPr>
          <w:sz w:val="20"/>
          <w:szCs w:val="20"/>
          <w:color w:val="auto"/>
        </w:rPr>
      </w:pPr>
      <w:r>
        <w:rPr>
          <w:rFonts w:ascii="Calibri" w:cs="Calibri" w:eastAsia="Calibri" w:hAnsi="Calibri"/>
          <w:sz w:val="18"/>
          <w:szCs w:val="18"/>
          <w:color w:val="auto"/>
        </w:rPr>
        <w:t xml:space="preserve">We account for revenues under the guidance of Topic 606, </w:t>
      </w:r>
      <w:r>
        <w:rPr>
          <w:rFonts w:ascii="Calibri" w:cs="Calibri" w:eastAsia="Calibri" w:hAnsi="Calibri"/>
          <w:sz w:val="18"/>
          <w:szCs w:val="18"/>
          <w:i w:val="1"/>
          <w:iCs w:val="1"/>
          <w:color w:val="auto"/>
        </w:rPr>
        <w:t>Revenues from Contracts with Customers</w:t>
      </w:r>
      <w:r>
        <w:rPr>
          <w:rFonts w:ascii="Calibri" w:cs="Calibri" w:eastAsia="Calibri" w:hAnsi="Calibri"/>
          <w:sz w:val="18"/>
          <w:szCs w:val="18"/>
          <w:color w:val="auto"/>
        </w:rPr>
        <w:t xml:space="preserve"> (Topic 606). Under Topic 606, an entty recognizes revenue when its customer obtains control of promised goods or services, in an amount that refects the consideraton to which the entty is enttled to in exchange for those goods or services. To determine revenue recogniton for arrangements that are within the scope of Topic 606, we perform the following fve steps: (1) identfy the contract(s) with a customer; (2) identfy the performance obligatons in the contract; (3) determine the transacton price; (4) allocate the transacton price to the performance obligatons in the contract; and (5) recognize revenue when (or as) we satsfy a performance obligaton. We only apply the fve-step model to contracts when it is probable that we will collect the consideraton we are enttled to in exchange for the goods or services we transfer to the customer.</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Net Product Revenues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sell our products principally to specialty distributors and specialty pharmacy providers, or collectvely, our Customers. These Customers subsequently resell our products to health care providers and patents. In additon to distributon agreements with Customers, we enter into arrangements with health care providers and payors that provide for government-mandated and/or privately-negotated rebates, chargebacks and discounts with respect to the purchase of our products. Revenues from product sales are recognized when the Customer obtains control of our product, which occurs at a point in tme, typically upon delivery to the Customer.</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Product Sales Discounts and Allowances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record revenues from product sales at the net sales price (transacton price), which includes estmates of variable consideraton for which reserves are established primarily from chargebacks, discounts for prompt payment, rebates, co-pay assistance and other customer credits that are ofered within contracts between us and our Customers, health care providers, payors and other indirect customers relatng to the sales of our products. These reserves are based on the amounts earned or to be claimed on the related sales and are classifed as reductons of accounts receivable (if the amount is payable to the Customer) or a current liability (if the amount is payable to a party other than a Customer). Where appropriate, these estmates take into consideraton a range of possible outcomes for relevant factors such as our historical experience, current contractual and statutory requirements, specifc known market events and trends, industry data and forecasted Customer buying and payment paterns. Overall, these reserves refect our best estmates of the amount of consideraton to which we are enttled based on the terms of our contracts. The amount of variable consideraton that is included in the transacton price may be constrained, and is included in the net sales price only to the extent that it is probable that a signifcant reversal in the amount of the cumulatve revenue recognized will not occur in a future period. Actual amounts of consideraton ultmately received may difer from our estmates. If actual results in the future vary from our estmates, we will adjust these estmates, which would afect net product revenues and earnings in the period such variances become known.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 xml:space="preserve">Chargebacks: </w:t>
      </w:r>
      <w:r>
        <w:rPr>
          <w:rFonts w:ascii="Calibri" w:cs="Calibri" w:eastAsia="Calibri" w:hAnsi="Calibri"/>
          <w:sz w:val="18"/>
          <w:szCs w:val="18"/>
          <w:color w:val="auto"/>
        </w:rPr>
        <w:t>Chargebacks are discounts that occur when contracted Customers purchase directly from a specialty distributor. Contracted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Customers, which currently consist primarily of Public Health Service insttutons, Federal government enttes purchasing via the Federal Supply Schedule, Group Purchasing Organizatons, and health maintenance organizatons, generally purchase the product at a discounted price. The specialty distributor, in turn, charges back to us the diference between the price initally paid by the specialty distributor and the discounted price paid to the specialty distributor by the Customer. The allowance for chargebacks is based on actual chargebacks received and an estmate of sales to contracted Customers.</w:t>
      </w:r>
    </w:p>
    <w:p>
      <w:pPr>
        <w:spacing w:after="0" w:line="166" w:lineRule="exact"/>
        <w:rPr>
          <w:sz w:val="20"/>
          <w:szCs w:val="20"/>
          <w:color w:val="auto"/>
        </w:rPr>
      </w:pPr>
    </w:p>
    <w:p>
      <w:pPr>
        <w:ind w:right="80" w:firstLine="648"/>
        <w:spacing w:after="0" w:line="258" w:lineRule="auto"/>
        <w:rPr>
          <w:sz w:val="20"/>
          <w:szCs w:val="20"/>
          <w:color w:val="auto"/>
        </w:rPr>
      </w:pPr>
      <w:r>
        <w:rPr>
          <w:rFonts w:ascii="Calibri" w:cs="Calibri" w:eastAsia="Calibri" w:hAnsi="Calibri"/>
          <w:sz w:val="17"/>
          <w:szCs w:val="17"/>
          <w:i w:val="1"/>
          <w:iCs w:val="1"/>
          <w:color w:val="auto"/>
        </w:rPr>
        <w:t xml:space="preserve">Discounts for Prompt Payment: </w:t>
      </w:r>
      <w:r>
        <w:rPr>
          <w:rFonts w:ascii="Calibri" w:cs="Calibri" w:eastAsia="Calibri" w:hAnsi="Calibri"/>
          <w:sz w:val="17"/>
          <w:szCs w:val="17"/>
          <w:color w:val="auto"/>
        </w:rPr>
        <w:t>Our Customers in the U.S. receive a discount of 2% for prompt payment. We expect our Customers will earn 100% of</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their prompt payment discounts and, therefore, we deduct the full amount of these discounts from total product sales when revenues are recognized.</w:t>
      </w:r>
    </w:p>
    <w:p>
      <w:pPr>
        <w:spacing w:after="0" w:line="148"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 xml:space="preserve">Rebates: </w:t>
      </w:r>
      <w:r>
        <w:rPr>
          <w:rFonts w:ascii="Calibri" w:cs="Calibri" w:eastAsia="Calibri" w:hAnsi="Calibri"/>
          <w:sz w:val="18"/>
          <w:szCs w:val="18"/>
          <w:color w:val="auto"/>
        </w:rPr>
        <w:t>Allowances for rebates consist primarily of mandated discounts under the Medicaid Drug Rebate Program, other government programs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commercial contracts. Rebate amounts owed afer the fnal dispensing of the product to a beneft plan partcipant are based upon contractual agreements or legal requirements with public sector beneft providers, such as Medicaid. The allowance for rebates is based on statutory or contractual discount rates and expected utlizaton. Our estmates for the expected utlizaton of rebates are based on Customer and payer data received from the specialty pharmacies and distributors and historical utlizaton rates. Rebates are generally invoiced by the payer and paid in arrears, such that the accrual balance consists of an estmate of the amount expected to be incurred for the current quarter’s shipments to our Customers, plus an accrual balance for known prior quarters’ unpaid rebates. If actual future rebates vary from estmates, we may need to adjust our accruals, which would afect net product revenues in the period of adjustment.</w:t>
      </w:r>
    </w:p>
    <w:p>
      <w:pPr>
        <w:spacing w:after="0" w:line="169"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Allowances for rebates also include amounts related to the Medicare Part D Coverage Gap Discount and Manufacturer Discount programs. Our estmates for expected Medicare Part D coverage gap amounts are based on Customer and payer data received from specialty pharmacies and distributors and historical utlizaton rates. The coverage gap is invoiced and paid in arrears so that the accrual balance consists of an estmate of the amount expected to be incurred for the current quarter’s shipments to Customers, plus an accrual balance for prior quarters’ unpaid claims. If invoiced amounts vary from estmates, we may need to adjust our accruals, which would afect net product revenues in the period of adjustment.</w:t>
      </w:r>
    </w:p>
    <w:p>
      <w:pPr>
        <w:spacing w:after="0" w:line="166"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i w:val="1"/>
          <w:iCs w:val="1"/>
          <w:color w:val="auto"/>
        </w:rPr>
        <w:t xml:space="preserve">Co-payment Assistance: </w:t>
      </w:r>
      <w:r>
        <w:rPr>
          <w:rFonts w:ascii="Calibri" w:cs="Calibri" w:eastAsia="Calibri" w:hAnsi="Calibri"/>
          <w:sz w:val="18"/>
          <w:szCs w:val="18"/>
          <w:color w:val="auto"/>
        </w:rPr>
        <w:t>Patents who have commercial insurance and meet certain eligibility requirements may receive co-payment assistance. We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accrue a liability for co-payment assistance based on actual program partcipaton and estmates of program redempton using Customer data provided by the specialty distributor that administers the copay program.</w:t>
      </w:r>
    </w:p>
    <w:p>
      <w:pPr>
        <w:spacing w:after="0" w:line="165" w:lineRule="exact"/>
        <w:rPr>
          <w:sz w:val="20"/>
          <w:szCs w:val="20"/>
          <w:color w:val="auto"/>
        </w:rPr>
      </w:pPr>
    </w:p>
    <w:p>
      <w:pPr>
        <w:jc w:val="both"/>
        <w:ind w:right="60" w:firstLine="648"/>
        <w:spacing w:after="0" w:line="235" w:lineRule="auto"/>
        <w:rPr>
          <w:sz w:val="20"/>
          <w:szCs w:val="20"/>
          <w:color w:val="auto"/>
        </w:rPr>
      </w:pPr>
      <w:r>
        <w:rPr>
          <w:rFonts w:ascii="Calibri" w:cs="Calibri" w:eastAsia="Calibri" w:hAnsi="Calibri"/>
          <w:sz w:val="18"/>
          <w:szCs w:val="18"/>
          <w:i w:val="1"/>
          <w:iCs w:val="1"/>
          <w:color w:val="auto"/>
        </w:rPr>
        <w:t xml:space="preserve">Other Customer Credits: </w:t>
      </w:r>
      <w:r>
        <w:rPr>
          <w:rFonts w:ascii="Calibri" w:cs="Calibri" w:eastAsia="Calibri" w:hAnsi="Calibri"/>
          <w:sz w:val="18"/>
          <w:szCs w:val="18"/>
          <w:color w:val="auto"/>
        </w:rPr>
        <w:t>We pay fees to our Customers for account management, data management and other administratve services. To the extent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services received are distnct from the sale of products to the Customer, we classify these payments in selling, general and administratve expenses in our Consolidated Statements of Income.</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Collaboraton Revenues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 xml:space="preserve">We assess whether our collaboraton agreements are subject to Topic 808, </w:t>
      </w:r>
      <w:r>
        <w:rPr>
          <w:rFonts w:ascii="Calibri" w:cs="Calibri" w:eastAsia="Calibri" w:hAnsi="Calibri"/>
          <w:sz w:val="18"/>
          <w:szCs w:val="18"/>
          <w:i w:val="1"/>
          <w:iCs w:val="1"/>
          <w:color w:val="auto"/>
        </w:rPr>
        <w:t>Collaboratve Arrangements</w:t>
      </w:r>
      <w:r>
        <w:rPr>
          <w:rFonts w:ascii="Calibri" w:cs="Calibri" w:eastAsia="Calibri" w:hAnsi="Calibri"/>
          <w:sz w:val="18"/>
          <w:szCs w:val="18"/>
          <w:color w:val="auto"/>
        </w:rPr>
        <w:t xml:space="preserve"> (Topic 808), based on whether they involve joint operatng actvites and whether both partes have actve partcipaton in the arrangement and are exposed to signifcant risks and rewards. To the extent that the arrangement falls within the scope of Topic 808, we apply by analogy the unit of account guidance under Topic 606 to identfy distnct performance obligatons, and then determine whether a customer relatonship exists for each distnct performance obligaton. If we determine a performance obligaton within the arrangement is with a customer, we apply the guidance in Topic 606. If a porton of a distnct bundle of goods or services within an arrangement is not with a customer, then the unit of account is not within the scope of Topic 606, and the recogniton and measurement of that unit of account shall be based on analogy to authoritatve accountng literature or, if there is no appropriate analogy, a reasonable, ratonal, and consistently applied accountng policy electon.</w:t>
      </w:r>
    </w:p>
    <w:p>
      <w:pPr>
        <w:spacing w:after="0" w:line="169" w:lineRule="exact"/>
        <w:rPr>
          <w:sz w:val="20"/>
          <w:szCs w:val="20"/>
          <w:color w:val="auto"/>
        </w:rPr>
      </w:pPr>
    </w:p>
    <w:p>
      <w:pPr>
        <w:ind w:right="220" w:firstLine="648"/>
        <w:spacing w:after="0" w:line="235" w:lineRule="auto"/>
        <w:rPr>
          <w:sz w:val="20"/>
          <w:szCs w:val="20"/>
          <w:color w:val="auto"/>
        </w:rPr>
      </w:pPr>
      <w:r>
        <w:rPr>
          <w:rFonts w:ascii="Calibri" w:cs="Calibri" w:eastAsia="Calibri" w:hAnsi="Calibri"/>
          <w:sz w:val="18"/>
          <w:szCs w:val="18"/>
          <w:color w:val="auto"/>
        </w:rPr>
        <w:t>We enter into collaboraton arrangements, under which we license certain rights to our intellectual property to third partes. The terms of these arrangements may include payments to us for one or more of the following: nonrefundable up-front license fees; development, regulatory and sales-based milestone payments; product supply services; development cost reimbursements; proft-sharing arrangements; and royaltes on net sales of licensed products. As part of the accountng for these arrangements, we develop assumptons that require judgment to determine the standalone selling price for each performance obligaton identfed in the contract. These key assumptons may include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forecasted revenues, clinical development tmelines and costs, reimbursement rates for personnel costs, discount rates and probabilites of technical and regulatory success.</w:t>
      </w:r>
    </w:p>
    <w:p>
      <w:pPr>
        <w:spacing w:after="0" w:line="164"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i w:val="1"/>
          <w:iCs w:val="1"/>
          <w:color w:val="auto"/>
        </w:rPr>
        <w:t xml:space="preserve">Up-front License Fees: </w:t>
      </w:r>
      <w:r>
        <w:rPr>
          <w:rFonts w:ascii="Calibri" w:cs="Calibri" w:eastAsia="Calibri" w:hAnsi="Calibri"/>
          <w:sz w:val="18"/>
          <w:szCs w:val="18"/>
          <w:color w:val="auto"/>
        </w:rPr>
        <w:t>If the license to our intellectual property is determined to be distnct from the other performance obligatons identfed in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arrangement, we recognize revenues from nonrefundable up-front fees allocated to the license when the license is transferred to the licensee and the licensee is able to use and beneft from the license, which generally occurs at or near the incepton of the contract. For licenses that are bundled with other promises, we utlize judgment to assess the nature of the combined performance obligaton to determine whether the combined performance obligaton is satsfed over tme or at a point in tme and, if over tme, the appropriate method of measuring progress for purposes of recognizing revenues from nonrefundable up-front fees. We evaluate the measure of progress at the end of each reportng period and, if necessary, adjust the measure of performance and related revenue recogniton.</w:t>
      </w:r>
    </w:p>
    <w:p>
      <w:pPr>
        <w:spacing w:after="0" w:line="168" w:lineRule="exact"/>
        <w:rPr>
          <w:sz w:val="20"/>
          <w:szCs w:val="20"/>
          <w:color w:val="auto"/>
        </w:rPr>
      </w:pPr>
    </w:p>
    <w:p>
      <w:pPr>
        <w:ind w:right="80" w:firstLine="648"/>
        <w:spacing w:after="0" w:line="251" w:lineRule="auto"/>
        <w:rPr>
          <w:sz w:val="20"/>
          <w:szCs w:val="20"/>
          <w:color w:val="auto"/>
        </w:rPr>
      </w:pPr>
      <w:r>
        <w:rPr>
          <w:rFonts w:ascii="Calibri" w:cs="Calibri" w:eastAsia="Calibri" w:hAnsi="Calibri"/>
          <w:sz w:val="17"/>
          <w:szCs w:val="17"/>
          <w:i w:val="1"/>
          <w:iCs w:val="1"/>
          <w:color w:val="auto"/>
        </w:rPr>
        <w:t xml:space="preserve">Regulatory and Development Milestone Payments: </w:t>
      </w:r>
      <w:r>
        <w:rPr>
          <w:rFonts w:ascii="Calibri" w:cs="Calibri" w:eastAsia="Calibri" w:hAnsi="Calibri"/>
          <w:sz w:val="17"/>
          <w:szCs w:val="17"/>
          <w:color w:val="auto"/>
        </w:rPr>
        <w:t>At the incepton of each arrangement that includes development milestone payments, we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evaluate whether the milestones are considered probable of being reached and estmate the amount to be included in the transacton price using the most likely amount method. If it is probable that a signifcant revenue reversal would not occur, the associated milestone value is included in the transacton price. Milestone payments that are not within our or the licensee’s control, such as regulatory approvals, are not considered probable of being achieved untl uncertainty associated with the approvals has been resolved. The transacton price is then allocated to each performance obligaton, on a relatve standalone selling price basis, for which we recognize revenue as or when the performance obligatons under the contract are satsfed. At the end of each subsequent reportng period, we re-evaluate the probability of achieving such development and regulatory milestones and any related variable consideraton constraint, and if necessary, adjust our estmate of the overall transacton price. Any such adjustments are recorded on a cumulatve catch-up basis.</w:t>
      </w:r>
    </w:p>
    <w:p>
      <w:pPr>
        <w:spacing w:after="0" w:line="154" w:lineRule="exact"/>
        <w:rPr>
          <w:sz w:val="20"/>
          <w:szCs w:val="20"/>
          <w:color w:val="auto"/>
        </w:rPr>
      </w:pPr>
    </w:p>
    <w:p>
      <w:pPr>
        <w:jc w:val="both"/>
        <w:ind w:right="240" w:firstLine="648"/>
        <w:spacing w:after="0" w:line="235" w:lineRule="auto"/>
        <w:rPr>
          <w:sz w:val="20"/>
          <w:szCs w:val="20"/>
          <w:color w:val="auto"/>
        </w:rPr>
      </w:pPr>
      <w:r>
        <w:rPr>
          <w:rFonts w:ascii="Calibri" w:cs="Calibri" w:eastAsia="Calibri" w:hAnsi="Calibri"/>
          <w:sz w:val="18"/>
          <w:szCs w:val="18"/>
          <w:i w:val="1"/>
          <w:iCs w:val="1"/>
          <w:color w:val="auto"/>
        </w:rPr>
        <w:t xml:space="preserve">Product Supply Services: </w:t>
      </w:r>
      <w:r>
        <w:rPr>
          <w:rFonts w:ascii="Calibri" w:cs="Calibri" w:eastAsia="Calibri" w:hAnsi="Calibri"/>
          <w:sz w:val="18"/>
          <w:szCs w:val="18"/>
          <w:color w:val="auto"/>
        </w:rPr>
        <w:t>Arrangements that include a promise for the future supply of drug product for either clinical development or commercial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supply at the licensee’s discreton are generally considered as optons. We assess if these optons provide a material right to the licensee and if so, they are accounted for as separate performance obligatons.</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i w:val="1"/>
          <w:iCs w:val="1"/>
          <w:color w:val="auto"/>
        </w:rPr>
        <w:t xml:space="preserve">Development Cost Reimbursements: </w:t>
      </w:r>
      <w:r>
        <w:rPr>
          <w:rFonts w:ascii="Calibri" w:cs="Calibri" w:eastAsia="Calibri" w:hAnsi="Calibri"/>
          <w:sz w:val="18"/>
          <w:szCs w:val="18"/>
          <w:color w:val="auto"/>
        </w:rPr>
        <w:t>Our collaboraton arrangements may include promises of future clinical development and drug safety services,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as well as partcipaton on certain joint commitees. When such services are provided to a customer, and they are distnct from the licenses provided to our collaboraton partners, these promises are accounted for as a separate performance obligaton, which we estmate using internal development costs incurred and projectons through the term of the arrangements. We record revenues for these services as the performance obligatons are satsfed over tme based on measure of progress. However, if we conclude that our collaboraton partner is not a customer for those collaboratve research and development actvites, we present such payments as a reducton of research and development expenses.</w:t>
      </w:r>
    </w:p>
    <w:p>
      <w:pPr>
        <w:spacing w:after="0" w:line="167"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i w:val="1"/>
          <w:iCs w:val="1"/>
          <w:color w:val="auto"/>
        </w:rPr>
        <w:t xml:space="preserve">Proft-sharing Arrangements: </w:t>
      </w:r>
      <w:r>
        <w:rPr>
          <w:rFonts w:ascii="Calibri" w:cs="Calibri" w:eastAsia="Calibri" w:hAnsi="Calibri"/>
          <w:sz w:val="18"/>
          <w:szCs w:val="18"/>
          <w:color w:val="auto"/>
        </w:rPr>
        <w:t>Under the terms of our collaboraton agreement with Genentech for cobimetnib, we are enttled to a share of U.S.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profts and losses received in connecton with the commercializaton of cobimetnib. We account for this arrangement in accordance with Topic 606. We have determined that we are an agent under the agreement and therefore revenues are recorded net of costs incurred. We record revenues for the variable consideraton associated with the profts and losses under the collaboraton agreement when it is probable that a signifcant reversal in the amount of cumulatve revenues recognized will not occur.</w:t>
      </w:r>
    </w:p>
    <w:p>
      <w:pPr>
        <w:spacing w:after="0" w:line="166" w:lineRule="exact"/>
        <w:rPr>
          <w:sz w:val="20"/>
          <w:szCs w:val="20"/>
          <w:color w:val="auto"/>
        </w:rPr>
      </w:pPr>
    </w:p>
    <w:p>
      <w:pPr>
        <w:ind w:right="380" w:firstLine="648"/>
        <w:spacing w:after="0" w:line="235" w:lineRule="auto"/>
        <w:rPr>
          <w:sz w:val="20"/>
          <w:szCs w:val="20"/>
          <w:color w:val="auto"/>
        </w:rPr>
      </w:pPr>
      <w:r>
        <w:rPr>
          <w:rFonts w:ascii="Calibri" w:cs="Calibri" w:eastAsia="Calibri" w:hAnsi="Calibri"/>
          <w:sz w:val="18"/>
          <w:szCs w:val="18"/>
          <w:i w:val="1"/>
          <w:iCs w:val="1"/>
          <w:color w:val="auto"/>
        </w:rPr>
        <w:t xml:space="preserve">Royalty and Sales-based Milestone Payments: </w:t>
      </w:r>
      <w:r>
        <w:rPr>
          <w:rFonts w:ascii="Calibri" w:cs="Calibri" w:eastAsia="Calibri" w:hAnsi="Calibri"/>
          <w:sz w:val="18"/>
          <w:szCs w:val="18"/>
          <w:color w:val="auto"/>
        </w:rPr>
        <w:t>For arrangements that include royaltes and sales-based milestone payments, including milestone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payments earned for the frst commercial sale of a product, the license is deemed to be the predominant item to which such payments relate and we recognize revenues at the later of when the related sales occur or when the performance obligaton to which the royalty has been allocated has been satsfed.</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Cost of Goods Sold</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Cost of goods sold is related to our product revenues and consists primarily of a 3% royalty we are required to pay on all net sales of any product containing cabozantnib, the cost of manufacturing, indirect labor costs, write-downs related to expiring and excess inventory, shipping and other third-party logistcs and distributon costs for our product.</w:t>
      </w:r>
    </w:p>
    <w:p>
      <w:pPr>
        <w:spacing w:after="0" w:line="165"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color w:val="auto"/>
        </w:rPr>
        <w:t>We consider regulatory approval of product candidates to be uncertain and product manufactured prior to regulatory approval may not be sold unless regulatory approval is obtained. As such, the manufacturing costs for product candidates incurred prior to regulatory approval are not capitalized as inventory but are expensed as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 Expenses</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Research and development expenses consist of (1) direct and indirect internal costs for drug discovery; (2) upfront license and project initaton fees, license opton fees and opton exercise fees, funded research and milestone payments incurred or probable to be incurred for our in-licensing arrangements with our collaboraton partners for research programs in development and prior to regulatory approval; and (3) development costs associated with our clinical trial projects, which include fees paid to Contract Research Organizatons (CRO) performing work on our behalf.</w:t>
      </w:r>
    </w:p>
    <w:p>
      <w:pPr>
        <w:spacing w:after="0" w:line="165"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Our clinical trial projects have been executed with support from third-party CROs, who specialize in conductng and managing global clinical trials. We accrue expenses for clinical trial actvites performed by the CROs based upon the estmated amount of work completed on each trial. For clinical trial expenses, the signifcant factors used in estmatng accruals include direct CRO costs, the number of patents enrolled, the number of actve clinical sites involved, the duraton for which the patents will be enrolled in the trial and patent out of pocket costs. We monitor patent enrollment levels and related actvites to the extent possible through CRO meetngs and correspondence, internal reviews and review of contractual terms. We base our estmates on the best informaton available at the tme. However, additonal informaton may become available to us which may allow us to make a more accurate estmate in future periods. In this event, we may be required to record adjustments to research and development expenses in future periods when the actual level of actvity becomes more certain. As described further above, certain payments made to us from our collaboraton partners may be presented as a reducton of research and development expense.</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Advertsing</w:t>
      </w:r>
    </w:p>
    <w:p>
      <w:pPr>
        <w:spacing w:after="0" w:line="163" w:lineRule="exact"/>
        <w:rPr>
          <w:sz w:val="20"/>
          <w:szCs w:val="20"/>
          <w:color w:val="auto"/>
        </w:rPr>
      </w:pPr>
    </w:p>
    <w:p>
      <w:pPr>
        <w:ind w:right="180" w:firstLine="648"/>
        <w:spacing w:after="0" w:line="235" w:lineRule="auto"/>
        <w:rPr>
          <w:sz w:val="20"/>
          <w:szCs w:val="20"/>
          <w:color w:val="auto"/>
        </w:rPr>
      </w:pPr>
      <w:r>
        <w:rPr>
          <w:rFonts w:ascii="Calibri" w:cs="Calibri" w:eastAsia="Calibri" w:hAnsi="Calibri"/>
          <w:sz w:val="18"/>
          <w:szCs w:val="18"/>
          <w:color w:val="auto"/>
        </w:rPr>
        <w:t>Advertsing expenses were $43.5 million, $40.0 million and $41.6 million for the years ended December 31, 2024, 2023 and 2022, respectvely. We expense the costs of advertsing, including promotonal expenses, as incurred. Advertsing expenses are recorded in selling, general and administratve expenses in the accompanying Consolidated Statements of Income.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Stock-Based Compensaton</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 xml:space="preserve">We account for stock-based payments to employees, including grants of service-based restricted stock units (RSUs), performance-based restricted stock units (PSUs), service-based stock optons and purchases under our 2000 Employee Stock Purchase Plan (as amended and restated, the Amended ESPP) in accordance with Topic 718, </w:t>
      </w:r>
      <w:r>
        <w:rPr>
          <w:rFonts w:ascii="Calibri" w:cs="Calibri" w:eastAsia="Calibri" w:hAnsi="Calibri"/>
          <w:sz w:val="18"/>
          <w:szCs w:val="18"/>
          <w:i w:val="1"/>
          <w:iCs w:val="1"/>
          <w:color w:val="auto"/>
        </w:rPr>
        <w:t>Compensaton-Stock Compensaton</w:t>
      </w:r>
      <w:r>
        <w:rPr>
          <w:rFonts w:ascii="Calibri" w:cs="Calibri" w:eastAsia="Calibri" w:hAnsi="Calibri"/>
          <w:sz w:val="18"/>
          <w:szCs w:val="18"/>
          <w:color w:val="auto"/>
        </w:rPr>
        <w:t>, which requires that stock-based payments (to the extent they are compensatory) be recognized in our Consolidated Statements of Income based on their fair values. We account for forfeitures of stock-based awards as they occur. The expense for stock-based compensaton is based on the grant date fair value of the award. The grant date fair value of RSUs and PSUs are estmated as the value of the underlying shares of our common stock. The grant date fair values for certain PSUs and RSUs with market vestng conditons are estmated using a Monte Carlo simulaton pricing model and for stock optons, using a Black-Scholes Merton opton pricing model. Both pricing models require the input of subjectve assumptons. These variables include, but are not limited to, the expected volatlity of our stock price and the expected term of the awards. We consider both implied and historical volatlity when developing an estmate of expected volatlity. We estmate the term using historical data. We recognize compensaton expense over the requisite service period on an accelerated basis for awards with a market or performance conditon and on a straight-line basis for service-based stock optons and awards. Compensaton expense related to PSUs is recognized when we determine that it is probable that the performance goals will be achieved, which we assess on a quarterly basis. Compensaton expense related to RSUs with market vestng conditons is recognized regardless of the outcome of the market conditons.</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Provision for Income Taxes</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Our provision for income taxes is computed under the asset and liability method. Signifcant estmates are required in determining our provision for income taxes. Some of these estmates are based on interpretatons of existng tax laws or regulatons. We recognize deferred tax assets and liabilites for the expected future tax consequences of events that have been included in the fnancial statements or tax returns. Under this method, deferred tax assets and liabilites are determined on the basis of the diference between the tax basis of assets and liabilites and their respectve fnancial reportng amounts (temporary diferences) at enacted tax rates in efect for the years in which the diferences are expected to reverse. A valuaton allowance is established for deferred tax assets for which it is more likely than not that some porton or all of the deferred tax assets, including net operatng losses and tax credits, will not be realized. We periodically re-assess the need for a valuaton allowance against our deferred tax assets based on various factors including our historical earnings experience by taxing jurisdicton, and forecasts of future operatng results and utlizaton of net operatng losses and tax credits prior to their expiraton. Signifcant judgment is required in making this assessment and, to the extent that a reversal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of any porton of our valuaton allowance against our deferred tax assets is deemed appropriate, a tax beneft will be recognized against our provision for income taxes in the period of such reversal. Based on our evaluaton and weighing of both positve and negatve evidence, including our achievement of a cumulatve three-year income positon as of December 31, 2024 and forecasts of future operatng results, as well as considering the utlizaton of net operatng losses and tax credits prior to their expiraton, management has contnued to determine that there is sufcient positve evidence to conclude that it is more likely than not the deferred tax assets are realizable and therefore, we do not have a valuaton allowance against our deferred tax assets as described in “Note 10. Provision For Income Taxes”, below. We contnue to maintain a valuaton allowance against our California state deferred tax assets and federal and state capital loss carryforwards.</w:t>
      </w:r>
    </w:p>
    <w:p>
      <w:pPr>
        <w:spacing w:after="0" w:line="168" w:lineRule="exact"/>
        <w:rPr>
          <w:sz w:val="20"/>
          <w:szCs w:val="20"/>
          <w:color w:val="auto"/>
        </w:rPr>
      </w:pPr>
    </w:p>
    <w:p>
      <w:pPr>
        <w:jc w:val="both"/>
        <w:ind w:right="220" w:firstLine="648"/>
        <w:spacing w:after="0" w:line="235" w:lineRule="auto"/>
        <w:rPr>
          <w:sz w:val="20"/>
          <w:szCs w:val="20"/>
          <w:color w:val="auto"/>
        </w:rPr>
      </w:pPr>
      <w:r>
        <w:rPr>
          <w:rFonts w:ascii="Calibri" w:cs="Calibri" w:eastAsia="Calibri" w:hAnsi="Calibri"/>
          <w:sz w:val="18"/>
          <w:szCs w:val="18"/>
          <w:color w:val="auto"/>
        </w:rPr>
        <w:t>We recognize tax benefts from uncertain tax positons only if it is more likely than not that the tax positon will be sustained upon examinaton by the tax authorites based on the technical merits of the positon. An adverse resoluton of one or more of these uncertain tax positons in any period could have a material impact on the results of operatons for that period.</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 Not Yet Adopted</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 xml:space="preserve">In December 2023, the FASB issued ASU 2023-09, </w:t>
      </w:r>
      <w:r>
        <w:rPr>
          <w:rFonts w:ascii="Calibri" w:cs="Calibri" w:eastAsia="Calibri" w:hAnsi="Calibri"/>
          <w:sz w:val="18"/>
          <w:szCs w:val="18"/>
          <w:i w:val="1"/>
          <w:iCs w:val="1"/>
          <w:color w:val="auto"/>
        </w:rPr>
        <w:t>Income Taxes (Topic 740): Improvements to Income Tax Disclosures</w:t>
      </w:r>
      <w:r>
        <w:rPr>
          <w:rFonts w:ascii="Calibri" w:cs="Calibri" w:eastAsia="Calibri" w:hAnsi="Calibri"/>
          <w:sz w:val="18"/>
          <w:szCs w:val="18"/>
          <w:color w:val="auto"/>
        </w:rPr>
        <w:t xml:space="preserve"> (ASU 2023-09), which enhances the disclosures required for income taxes in our annual consolidated fnancial statements. ASU 2023-09 is efectve for us in our annual reportng for fscal 2025 on a prospectve basis. Early adopton and retrospectve reportng are permited. We are currently evaluatng the impact of ASU 2023-09 on our Consolidated Financial Statements.</w:t>
      </w:r>
    </w:p>
    <w:p>
      <w:pPr>
        <w:spacing w:after="0" w:line="165"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 xml:space="preserve">In November 2024, the FASB issued ASU 2024-03, </w:t>
      </w:r>
      <w:r>
        <w:rPr>
          <w:rFonts w:ascii="Calibri" w:cs="Calibri" w:eastAsia="Calibri" w:hAnsi="Calibri"/>
          <w:sz w:val="18"/>
          <w:szCs w:val="18"/>
          <w:i w:val="1"/>
          <w:iCs w:val="1"/>
          <w:color w:val="auto"/>
        </w:rPr>
        <w:t>Income Statement – Reportng Comprehensive Income – Expense Disaggregaton Disclosures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(Subtopic 220-40): Disaggregaton of Income Statement Expenses </w:t>
      </w:r>
      <w:r>
        <w:rPr>
          <w:rFonts w:ascii="Calibri" w:cs="Calibri" w:eastAsia="Calibri" w:hAnsi="Calibri"/>
          <w:sz w:val="18"/>
          <w:szCs w:val="18"/>
          <w:color w:val="auto"/>
        </w:rPr>
        <w:t>(ASU 2024-03), which enhances the disclosures required for expense disaggregaton in our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annual and interim consolidated fnancial statements. ASU 2024-03 is efectve for us in our annual reportng beginning in fscal year 2027, and in our interim periods beginning in fscal year 2028 on a prospectve basis. Early adopton and retrospectve applicaton are permited. We are currently evaluatng the impact of ASU 2024-03 on our Consolidated Financial Statements.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 SEGMENT REPORTING</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We operate in one business segment that focuses on the discovery, development and commercializaton of new medicines for difcult-to-treat cancers. Our President and Chief Executve Ofcer, as the chief operatng decision-maker, manages and allocates resources to our operatons on a total consolidated basis. Consistent with this decision-making process, our President and Chief Executve Ofcer uses net income to monitor budget versus actual results for purposes of evaluatng performance and to make decisions about the allocaton of resources.</w:t>
      </w:r>
    </w:p>
    <w:p>
      <w:pPr>
        <w:spacing w:after="0" w:line="165" w:lineRule="exact"/>
        <w:rPr>
          <w:sz w:val="20"/>
          <w:szCs w:val="20"/>
          <w:color w:val="auto"/>
        </w:rPr>
      </w:pPr>
    </w:p>
    <w:p>
      <w:pPr>
        <w:ind w:right="240" w:firstLine="648"/>
        <w:spacing w:after="0" w:line="235" w:lineRule="auto"/>
        <w:rPr>
          <w:sz w:val="20"/>
          <w:szCs w:val="20"/>
          <w:color w:val="auto"/>
        </w:rPr>
      </w:pPr>
      <w:r>
        <w:rPr>
          <w:rFonts w:ascii="Calibri" w:cs="Calibri" w:eastAsia="Calibri" w:hAnsi="Calibri"/>
          <w:sz w:val="18"/>
          <w:szCs w:val="18"/>
          <w:color w:val="auto"/>
        </w:rPr>
        <w:t>Our signifcant segment expenses are regularly provided to our President and Chief Executve Ofcer and included in the measure of segment net income of consolidated expenses for our operatonal departments consistng of drug discovery, development, and selling, general and administratve and other segment items.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Summary of the segment net income, including signifcant segment expenses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1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28"/>
        </w:trPr>
        <w:tc>
          <w:tcPr>
            <w:tcW w:w="6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5"/>
        </w:trPr>
        <w:tc>
          <w:tcPr>
            <w:tcW w:w="6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69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Revenues</w:t>
            </w: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2,168,701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1,830,208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1,611,062</w:t>
            </w:r>
          </w:p>
        </w:tc>
      </w:tr>
      <w:tr>
        <w:trPr>
          <w:trHeight w:val="222"/>
        </w:trPr>
        <w:tc>
          <w:tcPr>
            <w:tcW w:w="6900" w:type="dxa"/>
            <w:vAlign w:val="bottom"/>
          </w:tcPr>
          <w:p>
            <w:pPr>
              <w:ind w:left="220"/>
              <w:spacing w:after="0" w:line="215" w:lineRule="exact"/>
              <w:rPr>
                <w:sz w:val="20"/>
                <w:szCs w:val="20"/>
                <w:color w:val="auto"/>
              </w:rPr>
            </w:pPr>
            <w:r>
              <w:rPr>
                <w:rFonts w:ascii="Calibri" w:cs="Calibri" w:eastAsia="Calibri" w:hAnsi="Calibri"/>
                <w:sz w:val="18"/>
                <w:szCs w:val="18"/>
                <w:color w:val="auto"/>
              </w:rPr>
              <w:t>Less: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690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Cost of goods sold</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76,216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72,547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57,909</w:t>
            </w:r>
          </w:p>
        </w:tc>
      </w:tr>
      <w:tr>
        <w:trPr>
          <w:trHeight w:val="222"/>
        </w:trPr>
        <w:tc>
          <w:tcPr>
            <w:tcW w:w="6900" w:type="dxa"/>
            <w:vAlign w:val="bottom"/>
          </w:tcPr>
          <w:p>
            <w:pPr>
              <w:ind w:left="340"/>
              <w:spacing w:after="0" w:line="215" w:lineRule="exact"/>
              <w:rPr>
                <w:sz w:val="20"/>
                <w:szCs w:val="20"/>
                <w:color w:val="auto"/>
              </w:rPr>
            </w:pPr>
            <w:r>
              <w:rPr>
                <w:rFonts w:ascii="Calibri" w:cs="Calibri" w:eastAsia="Calibri" w:hAnsi="Calibri"/>
                <w:sz w:val="18"/>
                <w:szCs w:val="18"/>
                <w:color w:val="auto"/>
              </w:rPr>
              <w:t>Drug discovery</w:t>
            </w: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94,842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215,085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249,713</w:t>
            </w:r>
          </w:p>
        </w:tc>
      </w:tr>
      <w:tr>
        <w:trPr>
          <w:trHeight w:val="237"/>
        </w:trPr>
        <w:tc>
          <w:tcPr>
            <w:tcW w:w="690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Development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665,847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669,240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521,622</w:t>
            </w:r>
          </w:p>
        </w:tc>
      </w:tr>
      <w:tr>
        <w:trPr>
          <w:trHeight w:val="222"/>
        </w:trPr>
        <w:tc>
          <w:tcPr>
            <w:tcW w:w="6900" w:type="dxa"/>
            <w:vAlign w:val="bottom"/>
          </w:tcPr>
          <w:p>
            <w:pPr>
              <w:ind w:left="34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428,962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470,680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397,632</w:t>
            </w:r>
          </w:p>
        </w:tc>
      </w:tr>
      <w:tr>
        <w:trPr>
          <w:trHeight w:val="237"/>
        </w:trPr>
        <w:tc>
          <w:tcPr>
            <w:tcW w:w="6900" w:type="dxa"/>
            <w:vAlign w:val="bottom"/>
            <w:shd w:val="clear" w:color="auto" w:fill="CCEEFF"/>
          </w:tcPr>
          <w:p>
            <w:pPr>
              <w:ind w:left="340"/>
              <w:spacing w:after="0" w:line="237" w:lineRule="exact"/>
              <w:rPr>
                <w:sz w:val="20"/>
                <w:szCs w:val="20"/>
                <w:color w:val="auto"/>
              </w:rPr>
            </w:pPr>
            <w:r>
              <w:rPr>
                <w:rFonts w:ascii="Calibri" w:cs="Calibri" w:eastAsia="Calibri" w:hAnsi="Calibri"/>
                <w:sz w:val="18"/>
                <w:szCs w:val="18"/>
                <w:color w:val="auto"/>
              </w:rPr>
              <w:t>Other segment items</w:t>
            </w:r>
            <w:r>
              <w:rPr>
                <w:rFonts w:ascii="Calibri" w:cs="Calibri" w:eastAsia="Calibri" w:hAnsi="Calibri"/>
                <w:sz w:val="23"/>
                <w:szCs w:val="23"/>
                <w:color w:val="auto"/>
                <w:vertAlign w:val="superscript"/>
              </w:rPr>
              <w:t>(1)</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298,350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231,678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182,899</w:t>
            </w:r>
          </w:p>
        </w:tc>
      </w:tr>
      <w:tr>
        <w:trPr>
          <w:trHeight w:val="222"/>
        </w:trPr>
        <w:tc>
          <w:tcPr>
            <w:tcW w:w="6900" w:type="dxa"/>
            <w:vAlign w:val="bottom"/>
          </w:tcPr>
          <w:p>
            <w:pPr>
              <w:ind w:left="340"/>
              <w:spacing w:after="0" w:line="215" w:lineRule="exact"/>
              <w:rPr>
                <w:sz w:val="20"/>
                <w:szCs w:val="20"/>
                <w:color w:val="auto"/>
              </w:rPr>
            </w:pPr>
            <w:r>
              <w:rPr>
                <w:rFonts w:ascii="Calibri" w:cs="Calibri" w:eastAsia="Calibri" w:hAnsi="Calibri"/>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(77,156)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(86,543)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(33,065)</w:t>
            </w:r>
          </w:p>
        </w:tc>
      </w:tr>
      <w:tr>
        <w:trPr>
          <w:trHeight w:val="237"/>
        </w:trPr>
        <w:tc>
          <w:tcPr>
            <w:tcW w:w="690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Provision for income taxes</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160,373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49,756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52,070</w:t>
            </w:r>
          </w:p>
        </w:tc>
      </w:tr>
      <w:tr>
        <w:trPr>
          <w:trHeight w:val="217"/>
        </w:trPr>
        <w:tc>
          <w:tcPr>
            <w:tcW w:w="6900" w:type="dxa"/>
            <w:vAlign w:val="bottom"/>
          </w:tcPr>
          <w:p>
            <w:pPr>
              <w:ind w:left="20"/>
              <w:spacing w:after="0" w:line="199" w:lineRule="exact"/>
              <w:rPr>
                <w:sz w:val="20"/>
                <w:szCs w:val="20"/>
                <w:color w:val="auto"/>
              </w:rPr>
            </w:pPr>
            <w:r>
              <w:rPr>
                <w:rFonts w:ascii="Calibri" w:cs="Calibri" w:eastAsia="Calibri" w:hAnsi="Calibri"/>
                <w:sz w:val="18"/>
                <w:szCs w:val="18"/>
                <w:color w:val="auto"/>
              </w:rPr>
              <w:t>Segment and consolidated net income</w:t>
            </w: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521,267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207,765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182,282</w:t>
            </w:r>
          </w:p>
        </w:tc>
      </w:tr>
      <w:tr>
        <w:trPr>
          <w:trHeight w:val="27"/>
        </w:trPr>
        <w:tc>
          <w:tcPr>
            <w:tcW w:w="6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74" w:lineRule="exact"/>
        <w:rPr>
          <w:sz w:val="20"/>
          <w:szCs w:val="20"/>
          <w:color w:val="auto"/>
        </w:rPr>
      </w:pPr>
    </w:p>
    <w:p>
      <w:pPr>
        <w:spacing w:after="0"/>
        <w:rPr>
          <w:sz w:val="20"/>
          <w:szCs w:val="20"/>
          <w:color w:val="auto"/>
        </w:rPr>
      </w:pPr>
      <w:r>
        <w:rPr>
          <w:rFonts w:ascii="Calibri" w:cs="Calibri" w:eastAsia="Calibri" w:hAnsi="Calibri"/>
          <w:sz w:val="16"/>
          <w:szCs w:val="16"/>
          <w:color w:val="auto"/>
        </w:rPr>
        <w:t>_________________</w:t>
      </w:r>
    </w:p>
    <w:p>
      <w:pPr>
        <w:ind w:left="180" w:right="140" w:hanging="172"/>
        <w:spacing w:after="0" w:line="228" w:lineRule="auto"/>
        <w:tabs>
          <w:tab w:leader="none" w:pos="159" w:val="left"/>
        </w:tabs>
        <w:numPr>
          <w:ilvl w:val="0"/>
          <w:numId w:val="35"/>
        </w:numPr>
        <w:rPr>
          <w:rFonts w:ascii="Calibri" w:cs="Calibri" w:eastAsia="Calibri" w:hAnsi="Calibri"/>
          <w:sz w:val="20"/>
          <w:szCs w:val="20"/>
          <w:color w:val="auto"/>
          <w:vertAlign w:val="superscript"/>
        </w:rPr>
      </w:pPr>
      <w:r>
        <w:rPr>
          <w:rFonts w:ascii="Calibri" w:cs="Calibri" w:eastAsia="Calibri" w:hAnsi="Calibri"/>
          <w:sz w:val="15"/>
          <w:szCs w:val="15"/>
          <w:color w:val="auto"/>
        </w:rPr>
        <w:t>Other segment items include stock-based compensaton expenses, restructuring expenses, impairment of long-lived assets, other research and development expenses including the allocaton of general corporate costs to research and development services and development cost reimbursements in connecton with certain of our collaboraton arrangements, and other income (expenses), net.</w:t>
      </w:r>
    </w:p>
    <w:p>
      <w:pPr>
        <w:spacing w:after="0" w:line="154"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All of our long-lived assets are located in the U.S. See “Note 3. Revenues” for enterprise-wide disclosures about product sales, revenues from major customers and revenues by geographic region.</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3. REVENUES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Revenues consisted of the following (in thousands):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30"/>
              <w:spacing w:after="0"/>
              <w:rPr>
                <w:sz w:val="20"/>
                <w:szCs w:val="20"/>
                <w:color w:val="auto"/>
              </w:rPr>
            </w:pPr>
            <w:r>
              <w:rPr>
                <w:rFonts w:ascii="Calibri" w:cs="Calibri" w:eastAsia="Calibri" w:hAnsi="Calibri"/>
                <w:sz w:val="16"/>
                <w:szCs w:val="16"/>
                <w:b w:val="1"/>
                <w:bCs w:val="1"/>
                <w:color w:val="auto"/>
              </w:rPr>
              <w:t>Year Ended December 31,</w:t>
            </w:r>
          </w:p>
        </w:tc>
        <w:tc>
          <w:tcPr>
            <w:tcW w:w="1020" w:type="dxa"/>
            <w:vAlign w:val="bottom"/>
          </w:tcPr>
          <w:p>
            <w:pPr>
              <w:spacing w:after="0"/>
              <w:rPr>
                <w:sz w:val="16"/>
                <w:szCs w:val="16"/>
                <w:color w:val="auto"/>
              </w:rPr>
            </w:pPr>
          </w:p>
        </w:tc>
      </w:tr>
      <w:tr>
        <w:trPr>
          <w:trHeight w:val="28"/>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5"/>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70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0"/>
        </w:trPr>
        <w:tc>
          <w:tcPr>
            <w:tcW w:w="70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Product revenues: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7000" w:type="dxa"/>
            <w:vAlign w:val="bottom"/>
          </w:tcPr>
          <w:p>
            <w:pPr>
              <w:ind w:left="220"/>
              <w:spacing w:after="0" w:line="215" w:lineRule="exact"/>
              <w:rPr>
                <w:sz w:val="20"/>
                <w:szCs w:val="20"/>
                <w:color w:val="auto"/>
              </w:rPr>
            </w:pPr>
            <w:r>
              <w:rPr>
                <w:rFonts w:ascii="Calibri" w:cs="Calibri" w:eastAsia="Calibri" w:hAnsi="Calibri"/>
                <w:sz w:val="18"/>
                <w:szCs w:val="18"/>
                <w:color w:val="auto"/>
              </w:rPr>
              <w:t>Gross product revenues</w:t>
            </w: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2,518,246</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2,272,533</w:t>
            </w:r>
          </w:p>
        </w:tc>
        <w:tc>
          <w:tcPr>
            <w:tcW w:w="80" w:type="dxa"/>
            <w:vAlign w:val="bottom"/>
          </w:tcPr>
          <w:p>
            <w:pPr>
              <w:spacing w:after="0"/>
              <w:rPr>
                <w:sz w:val="19"/>
                <w:szCs w:val="19"/>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1,951,169</w:t>
            </w:r>
          </w:p>
        </w:tc>
      </w:tr>
      <w:tr>
        <w:trPr>
          <w:trHeight w:val="237"/>
        </w:trPr>
        <w:tc>
          <w:tcPr>
            <w:tcW w:w="70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Discounts and allowances</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(708,851)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(643,654)</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(549,926)</w:t>
            </w:r>
          </w:p>
        </w:tc>
      </w:tr>
      <w:tr>
        <w:trPr>
          <w:trHeight w:val="216"/>
        </w:trPr>
        <w:tc>
          <w:tcPr>
            <w:tcW w:w="7000" w:type="dxa"/>
            <w:vAlign w:val="bottom"/>
            <w:tcBorders>
              <w:bottom w:val="single" w:sz="8" w:color="CCEEFF"/>
            </w:tcBorders>
          </w:tcPr>
          <w:p>
            <w:pPr>
              <w:ind w:left="660"/>
              <w:spacing w:after="0" w:line="195" w:lineRule="exact"/>
              <w:rPr>
                <w:sz w:val="20"/>
                <w:szCs w:val="20"/>
                <w:color w:val="auto"/>
              </w:rPr>
            </w:pPr>
            <w:r>
              <w:rPr>
                <w:rFonts w:ascii="Calibri" w:cs="Calibri" w:eastAsia="Calibri" w:hAnsi="Calibri"/>
                <w:sz w:val="18"/>
                <w:szCs w:val="18"/>
                <w:color w:val="auto"/>
              </w:rPr>
              <w:t>Net product revenues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1,809,395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1,628,879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1,401,243</w:t>
            </w:r>
          </w:p>
        </w:tc>
      </w:tr>
      <w:tr>
        <w:trPr>
          <w:trHeight w:val="216"/>
        </w:trPr>
        <w:tc>
          <w:tcPr>
            <w:tcW w:w="70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Collaboraton revenues: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7000" w:type="dxa"/>
            <w:vAlign w:val="bottom"/>
          </w:tcPr>
          <w:p>
            <w:pPr>
              <w:ind w:left="220"/>
              <w:spacing w:after="0" w:line="215" w:lineRule="exact"/>
              <w:rPr>
                <w:sz w:val="20"/>
                <w:szCs w:val="20"/>
                <w:color w:val="auto"/>
              </w:rPr>
            </w:pPr>
            <w:r>
              <w:rPr>
                <w:rFonts w:ascii="Calibri" w:cs="Calibri" w:eastAsia="Calibri" w:hAnsi="Calibri"/>
                <w:sz w:val="18"/>
                <w:szCs w:val="18"/>
                <w:color w:val="auto"/>
              </w:rPr>
              <w:t>License revenues</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349,244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178,635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162,056</w:t>
            </w:r>
          </w:p>
        </w:tc>
      </w:tr>
      <w:tr>
        <w:trPr>
          <w:trHeight w:val="237"/>
        </w:trPr>
        <w:tc>
          <w:tcPr>
            <w:tcW w:w="70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Collaboraton services revenues</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10,062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22,694</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47,763</w:t>
            </w:r>
          </w:p>
        </w:tc>
      </w:tr>
      <w:tr>
        <w:trPr>
          <w:trHeight w:val="216"/>
        </w:trPr>
        <w:tc>
          <w:tcPr>
            <w:tcW w:w="7000" w:type="dxa"/>
            <w:vAlign w:val="bottom"/>
            <w:tcBorders>
              <w:bottom w:val="single" w:sz="8" w:color="CCEEFF"/>
            </w:tcBorders>
          </w:tcPr>
          <w:p>
            <w:pPr>
              <w:ind w:left="660"/>
              <w:spacing w:after="0" w:line="199" w:lineRule="exact"/>
              <w:rPr>
                <w:sz w:val="20"/>
                <w:szCs w:val="20"/>
                <w:color w:val="auto"/>
              </w:rPr>
            </w:pPr>
            <w:r>
              <w:rPr>
                <w:rFonts w:ascii="Calibri" w:cs="Calibri" w:eastAsia="Calibri" w:hAnsi="Calibri"/>
                <w:sz w:val="18"/>
                <w:szCs w:val="18"/>
                <w:color w:val="auto"/>
              </w:rPr>
              <w:t>Total collaboraton revenues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359,306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201,329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209,819</w:t>
            </w:r>
          </w:p>
        </w:tc>
      </w:tr>
      <w:tr>
        <w:trPr>
          <w:trHeight w:val="248"/>
        </w:trPr>
        <w:tc>
          <w:tcPr>
            <w:tcW w:w="7000" w:type="dxa"/>
            <w:vAlign w:val="bottom"/>
            <w:tcBorders>
              <w:bottom w:val="single" w:sz="8" w:color="CCEEFF"/>
            </w:tcBorders>
            <w:shd w:val="clear" w:color="auto" w:fill="CCEEFF"/>
          </w:tcPr>
          <w:p>
            <w:pPr>
              <w:ind w:left="1000"/>
              <w:spacing w:after="0" w:line="206" w:lineRule="exact"/>
              <w:rPr>
                <w:sz w:val="20"/>
                <w:szCs w:val="20"/>
                <w:color w:val="auto"/>
              </w:rPr>
            </w:pPr>
            <w:r>
              <w:rPr>
                <w:rFonts w:ascii="Calibri" w:cs="Calibri" w:eastAsia="Calibri" w:hAnsi="Calibri"/>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2,168,701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1,830,208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1,611,062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 xml:space="preserve">Net product revenues and license revenues are recorded in accordance with Accountng Standards Codifcaton (ASC) Topic 606, </w:t>
      </w:r>
      <w:r>
        <w:rPr>
          <w:rFonts w:ascii="Calibri" w:cs="Calibri" w:eastAsia="Calibri" w:hAnsi="Calibri"/>
          <w:sz w:val="18"/>
          <w:szCs w:val="18"/>
          <w:i w:val="1"/>
          <w:iCs w:val="1"/>
          <w:color w:val="auto"/>
        </w:rPr>
        <w:t>Revenue from</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Contracts with Customers </w:t>
      </w:r>
      <w:r>
        <w:rPr>
          <w:rFonts w:ascii="Calibri" w:cs="Calibri" w:eastAsia="Calibri" w:hAnsi="Calibri"/>
          <w:sz w:val="18"/>
          <w:szCs w:val="18"/>
          <w:color w:val="auto"/>
        </w:rPr>
        <w:t>(Topic 606). License revenues include the recogniton of the porton of milestone payments allocated to the transfer of intellectual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property licenses for which it had become probable in the current period that the milestone would be achieved and a signifcant reversal of revenues would not occur, as well as royalty revenues and our share of profts under our collaboraton agreement with Genentech. Collaboraton services revenues are recorded in accordance with ASC Topic 808, </w:t>
      </w:r>
      <w:r>
        <w:rPr>
          <w:rFonts w:ascii="Calibri" w:cs="Calibri" w:eastAsia="Calibri" w:hAnsi="Calibri"/>
          <w:sz w:val="18"/>
          <w:szCs w:val="18"/>
          <w:i w:val="1"/>
          <w:iCs w:val="1"/>
          <w:color w:val="auto"/>
        </w:rPr>
        <w:t>Collaboratve Arrangements.</w:t>
      </w:r>
      <w:r>
        <w:rPr>
          <w:rFonts w:ascii="Calibri" w:cs="Calibri" w:eastAsia="Calibri" w:hAnsi="Calibri"/>
          <w:sz w:val="18"/>
          <w:szCs w:val="18"/>
          <w:color w:val="auto"/>
        </w:rPr>
        <w:t xml:space="preserve"> Collaboraton services revenues include the recogniton of deferred revenues for the porton of upfront and milestone payments allocated to our research and development services performance obligatons, development cost reimbursements earned under our collaboraton agreements, product supply revenues, net of product supply costs and the royaltes we paid on sales of products containing cabozantnib by our collaboraton partners.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Net product revenues by product were as follows (in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gridSpan w:val="8"/>
          </w:tcPr>
          <w:p>
            <w:pPr>
              <w:jc w:val="right"/>
              <w:ind w:right="11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6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5"/>
        </w:trPr>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52"/>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32"/>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7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700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CABOMETYX</w:t>
            </w: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3"/>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1,798,237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1,614,942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1,375,909</w:t>
            </w:r>
          </w:p>
        </w:tc>
      </w:tr>
      <w:tr>
        <w:trPr>
          <w:trHeight w:val="223"/>
        </w:trPr>
        <w:tc>
          <w:tcPr>
            <w:tcW w:w="7000" w:type="dxa"/>
            <w:vAlign w:val="bottom"/>
            <w:tcBorders>
              <w:bottom w:val="single" w:sz="8" w:color="CCEEFF"/>
            </w:tcBorders>
            <w:gridSpan w:val="2"/>
          </w:tcPr>
          <w:p>
            <w:pPr>
              <w:ind w:left="20"/>
              <w:spacing w:after="0" w:line="215" w:lineRule="exact"/>
              <w:rPr>
                <w:sz w:val="20"/>
                <w:szCs w:val="20"/>
                <w:color w:val="auto"/>
              </w:rPr>
            </w:pPr>
            <w:r>
              <w:rPr>
                <w:rFonts w:ascii="Calibri" w:cs="Calibri" w:eastAsia="Calibri" w:hAnsi="Calibri"/>
                <w:sz w:val="18"/>
                <w:szCs w:val="18"/>
                <w:color w:val="auto"/>
              </w:rPr>
              <w:t>COMETRIQ</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0"/>
              <w:spacing w:after="0" w:line="215" w:lineRule="exact"/>
              <w:rPr>
                <w:sz w:val="20"/>
                <w:szCs w:val="20"/>
                <w:color w:val="auto"/>
              </w:rPr>
            </w:pPr>
            <w:r>
              <w:rPr>
                <w:rFonts w:ascii="Calibri" w:cs="Calibri" w:eastAsia="Calibri" w:hAnsi="Calibri"/>
                <w:sz w:val="18"/>
                <w:szCs w:val="18"/>
                <w:color w:val="auto"/>
              </w:rPr>
              <w:t>11,158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13,937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25,334</w:t>
            </w:r>
          </w:p>
        </w:tc>
      </w:tr>
      <w:tr>
        <w:trPr>
          <w:trHeight w:val="254"/>
        </w:trPr>
        <w:tc>
          <w:tcPr>
            <w:tcW w:w="700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8"/>
                <w:szCs w:val="18"/>
                <w:color w:val="auto"/>
              </w:rPr>
              <w:t>Net product revenues</w:t>
            </w: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gridSpan w:val="3"/>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1,809,395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1,628,879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1,401,243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23"/>
        </w:trPr>
        <w:tc>
          <w:tcPr>
            <w:tcW w:w="9860" w:type="dxa"/>
            <w:vAlign w:val="bottom"/>
            <w:gridSpan w:val="11"/>
          </w:tcPr>
          <w:p>
            <w:pPr>
              <w:ind w:left="640"/>
              <w:spacing w:after="0"/>
              <w:rPr>
                <w:sz w:val="20"/>
                <w:szCs w:val="20"/>
                <w:color w:val="auto"/>
              </w:rPr>
            </w:pPr>
            <w:r>
              <w:rPr>
                <w:rFonts w:ascii="Calibri" w:cs="Calibri" w:eastAsia="Calibri" w:hAnsi="Calibri"/>
                <w:sz w:val="18"/>
                <w:szCs w:val="18"/>
                <w:color w:val="auto"/>
                <w:w w:val="97"/>
              </w:rPr>
              <w:t>The percentage of total revenues by customer who individually accounted for 10% or more of our total revenues were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4"/>
        </w:trPr>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8"/>
          </w:tcPr>
          <w:p>
            <w:pPr>
              <w:ind w:left="900"/>
              <w:spacing w:after="0"/>
              <w:rPr>
                <w:sz w:val="20"/>
                <w:szCs w:val="20"/>
                <w:color w:val="auto"/>
              </w:rPr>
            </w:pPr>
            <w:r>
              <w:rPr>
                <w:rFonts w:ascii="Calibri" w:cs="Calibri" w:eastAsia="Calibri" w:hAnsi="Calibri"/>
                <w:sz w:val="16"/>
                <w:szCs w:val="16"/>
                <w:b w:val="1"/>
                <w:bCs w:val="1"/>
                <w:color w:val="auto"/>
              </w:rPr>
              <w:t>Year Ended December 31,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
        </w:trPr>
        <w:tc>
          <w:tcPr>
            <w:tcW w:w="6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6"/>
        </w:trPr>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452"/>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52"/>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52"/>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7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67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Afliates of Cencora, Inc. (formerly AmerisourceBergen Corporaton)</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18 %</w:t>
            </w:r>
          </w:p>
        </w:tc>
      </w:tr>
      <w:tr>
        <w:trPr>
          <w:trHeight w:val="222"/>
        </w:trPr>
        <w:tc>
          <w:tcPr>
            <w:tcW w:w="70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Afliates of CVS Health Corporaton</w:t>
            </w:r>
          </w:p>
        </w:tc>
        <w:tc>
          <w:tcPr>
            <w:tcW w:w="2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17 %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17 %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17 %</w:t>
            </w:r>
          </w:p>
        </w:tc>
      </w:tr>
      <w:tr>
        <w:trPr>
          <w:trHeight w:val="237"/>
        </w:trPr>
        <w:tc>
          <w:tcPr>
            <w:tcW w:w="700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Afliates of McKesson Corporaton</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16 %</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17 %</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17 %</w:t>
            </w:r>
          </w:p>
        </w:tc>
      </w:tr>
      <w:tr>
        <w:trPr>
          <w:trHeight w:val="222"/>
        </w:trPr>
        <w:tc>
          <w:tcPr>
            <w:tcW w:w="70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Ipsen Pharma SAS</w:t>
            </w:r>
          </w:p>
        </w:tc>
        <w:tc>
          <w:tcPr>
            <w:tcW w:w="22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15 %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10 %</w:t>
            </w:r>
          </w:p>
        </w:tc>
      </w:tr>
      <w:tr>
        <w:trPr>
          <w:trHeight w:val="237"/>
        </w:trPr>
        <w:tc>
          <w:tcPr>
            <w:tcW w:w="700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Accredo Health, Incorporated</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11 %</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12 %</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10 %</w:t>
            </w:r>
          </w:p>
        </w:tc>
      </w:tr>
      <w:tr>
        <w:trPr>
          <w:trHeight w:val="215"/>
        </w:trPr>
        <w:tc>
          <w:tcPr>
            <w:tcW w:w="700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Afliates of Optum Specialty Pharmacy</w:t>
            </w:r>
          </w:p>
        </w:tc>
        <w:tc>
          <w:tcPr>
            <w:tcW w:w="22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9 %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10 %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10 %</w:t>
            </w:r>
          </w:p>
        </w:tc>
      </w:tr>
    </w:tbl>
    <w:p>
      <w:pPr>
        <w:spacing w:after="0" w:line="230"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percentage of trade receivables by customer who individually accounted for 10% or more of our trade receivables were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Calibri" w:cs="Calibri" w:eastAsia="Calibri" w:hAnsi="Calibri"/>
                <w:sz w:val="16"/>
                <w:szCs w:val="16"/>
                <w:b w:val="1"/>
                <w:bCs w:val="1"/>
                <w:color w:val="auto"/>
              </w:rPr>
              <w:t>December 31,</w:t>
            </w:r>
          </w:p>
        </w:tc>
        <w:tc>
          <w:tcPr>
            <w:tcW w:w="940" w:type="dxa"/>
            <w:vAlign w:val="bottom"/>
          </w:tcPr>
          <w:p>
            <w:pPr>
              <w:spacing w:after="0"/>
              <w:rPr>
                <w:sz w:val="16"/>
                <w:szCs w:val="16"/>
                <w:color w:val="auto"/>
              </w:rPr>
            </w:pPr>
          </w:p>
        </w:tc>
      </w:tr>
      <w:tr>
        <w:trPr>
          <w:trHeight w:val="41"/>
        </w:trPr>
        <w:tc>
          <w:tcPr>
            <w:tcW w:w="82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6"/>
        </w:trPr>
        <w:tc>
          <w:tcPr>
            <w:tcW w:w="9160" w:type="dxa"/>
            <w:vAlign w:val="bottom"/>
            <w:gridSpan w:val="2"/>
          </w:tcPr>
          <w:p>
            <w:pPr>
              <w:ind w:left="8780"/>
              <w:spacing w:after="0"/>
              <w:rPr>
                <w:sz w:val="20"/>
                <w:szCs w:val="20"/>
                <w:color w:val="auto"/>
              </w:rPr>
            </w:pPr>
            <w:r>
              <w:rPr>
                <w:rFonts w:ascii="Calibri" w:cs="Calibri" w:eastAsia="Calibri" w:hAnsi="Calibri"/>
                <w:sz w:val="16"/>
                <w:szCs w:val="16"/>
                <w:b w:val="1"/>
                <w:bCs w:val="1"/>
                <w:color w:val="auto"/>
              </w:rPr>
              <w:t>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472"/>
              <w:spacing w:after="0"/>
              <w:rPr>
                <w:sz w:val="20"/>
                <w:szCs w:val="20"/>
                <w:color w:val="auto"/>
              </w:rPr>
            </w:pPr>
            <w:r>
              <w:rPr>
                <w:rFonts w:ascii="Calibri" w:cs="Calibri" w:eastAsia="Calibri" w:hAnsi="Calibri"/>
                <w:sz w:val="16"/>
                <w:szCs w:val="16"/>
                <w:b w:val="1"/>
                <w:bCs w:val="1"/>
                <w:color w:val="auto"/>
              </w:rPr>
              <w:t>2023</w:t>
            </w:r>
          </w:p>
        </w:tc>
      </w:tr>
      <w:tr>
        <w:trPr>
          <w:trHeight w:val="41"/>
        </w:trPr>
        <w:tc>
          <w:tcPr>
            <w:tcW w:w="82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3"/>
        </w:trPr>
        <w:tc>
          <w:tcPr>
            <w:tcW w:w="8220" w:type="dxa"/>
            <w:vAlign w:val="bottom"/>
            <w:shd w:val="clear" w:color="auto" w:fill="CCEEFF"/>
          </w:tcPr>
          <w:p>
            <w:pPr>
              <w:spacing w:after="0" w:line="199" w:lineRule="exact"/>
              <w:rPr>
                <w:sz w:val="20"/>
                <w:szCs w:val="20"/>
                <w:color w:val="auto"/>
              </w:rPr>
            </w:pPr>
            <w:r>
              <w:rPr>
                <w:rFonts w:ascii="Calibri" w:cs="Calibri" w:eastAsia="Calibri" w:hAnsi="Calibri"/>
                <w:sz w:val="18"/>
                <w:szCs w:val="18"/>
                <w:color w:val="auto"/>
              </w:rPr>
              <w:t>Afliates of McKesson Corporaton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21 %</w:t>
            </w:r>
          </w:p>
        </w:tc>
      </w:tr>
      <w:tr>
        <w:trPr>
          <w:trHeight w:val="222"/>
        </w:trPr>
        <w:tc>
          <w:tcPr>
            <w:tcW w:w="9160" w:type="dxa"/>
            <w:vAlign w:val="bottom"/>
            <w:gridSpan w:val="2"/>
          </w:tcPr>
          <w:p>
            <w:pPr>
              <w:spacing w:after="0" w:line="215" w:lineRule="exact"/>
              <w:rPr>
                <w:sz w:val="20"/>
                <w:szCs w:val="20"/>
                <w:color w:val="auto"/>
              </w:rPr>
            </w:pPr>
            <w:r>
              <w:rPr>
                <w:rFonts w:ascii="Calibri" w:cs="Calibri" w:eastAsia="Calibri" w:hAnsi="Calibri"/>
                <w:sz w:val="18"/>
                <w:szCs w:val="18"/>
                <w:color w:val="auto"/>
              </w:rPr>
              <w:t>Afliates of CVS Health Corporaton</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20 %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20 %</w:t>
            </w:r>
          </w:p>
        </w:tc>
      </w:tr>
      <w:tr>
        <w:trPr>
          <w:trHeight w:val="237"/>
        </w:trPr>
        <w:tc>
          <w:tcPr>
            <w:tcW w:w="916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Ipsen Pharma SAS</w:t>
            </w:r>
          </w:p>
        </w:tc>
        <w:tc>
          <w:tcPr>
            <w:tcW w:w="5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18 %</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19 %</w:t>
            </w:r>
          </w:p>
        </w:tc>
      </w:tr>
      <w:tr>
        <w:trPr>
          <w:trHeight w:val="222"/>
        </w:trPr>
        <w:tc>
          <w:tcPr>
            <w:tcW w:w="9160" w:type="dxa"/>
            <w:vAlign w:val="bottom"/>
            <w:gridSpan w:val="2"/>
          </w:tcPr>
          <w:p>
            <w:pPr>
              <w:spacing w:after="0" w:line="215" w:lineRule="exact"/>
              <w:rPr>
                <w:sz w:val="20"/>
                <w:szCs w:val="20"/>
                <w:color w:val="auto"/>
              </w:rPr>
            </w:pPr>
            <w:r>
              <w:rPr>
                <w:rFonts w:ascii="Calibri" w:cs="Calibri" w:eastAsia="Calibri" w:hAnsi="Calibri"/>
                <w:sz w:val="18"/>
                <w:szCs w:val="18"/>
                <w:color w:val="auto"/>
              </w:rPr>
              <w:t>Afliates of Cencora, Inc. (formerly AmerisourceBergen Corporaton)</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17 %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17 %</w:t>
            </w:r>
          </w:p>
        </w:tc>
      </w:tr>
      <w:tr>
        <w:trPr>
          <w:trHeight w:val="237"/>
        </w:trPr>
        <w:tc>
          <w:tcPr>
            <w:tcW w:w="9160" w:type="dxa"/>
            <w:vAlign w:val="bottom"/>
            <w:gridSpan w:val="2"/>
            <w:shd w:val="clear" w:color="auto" w:fill="CCEEFF"/>
          </w:tcPr>
          <w:p>
            <w:pPr>
              <w:spacing w:after="0"/>
              <w:rPr>
                <w:sz w:val="20"/>
                <w:szCs w:val="20"/>
                <w:color w:val="auto"/>
              </w:rPr>
            </w:pPr>
            <w:r>
              <w:rPr>
                <w:rFonts w:ascii="Calibri" w:cs="Calibri" w:eastAsia="Calibri" w:hAnsi="Calibri"/>
                <w:sz w:val="18"/>
                <w:szCs w:val="18"/>
                <w:color w:val="auto"/>
              </w:rPr>
              <w:t>Cardinal Health, Inc.</w:t>
            </w:r>
          </w:p>
        </w:tc>
        <w:tc>
          <w:tcPr>
            <w:tcW w:w="5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10 %</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11 %</w:t>
            </w:r>
          </w:p>
        </w:tc>
      </w:tr>
    </w:tbl>
    <w:p>
      <w:pPr>
        <w:spacing w:after="0" w:line="229"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Total revenues by geographic region were as follows (in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30"/>
              <w:spacing w:after="0"/>
              <w:rPr>
                <w:sz w:val="20"/>
                <w:szCs w:val="20"/>
                <w:color w:val="auto"/>
              </w:rPr>
            </w:pPr>
            <w:r>
              <w:rPr>
                <w:rFonts w:ascii="Calibri" w:cs="Calibri" w:eastAsia="Calibri" w:hAnsi="Calibri"/>
                <w:sz w:val="16"/>
                <w:szCs w:val="16"/>
                <w:b w:val="1"/>
                <w:bCs w:val="1"/>
                <w:color w:val="auto"/>
              </w:rPr>
              <w:t>Year Ended December 31,</w:t>
            </w:r>
          </w:p>
        </w:tc>
        <w:tc>
          <w:tcPr>
            <w:tcW w:w="1020" w:type="dxa"/>
            <w:vAlign w:val="bottom"/>
          </w:tcPr>
          <w:p>
            <w:pPr>
              <w:spacing w:after="0"/>
              <w:rPr>
                <w:sz w:val="16"/>
                <w:szCs w:val="16"/>
                <w:color w:val="auto"/>
              </w:rPr>
            </w:pPr>
          </w:p>
        </w:tc>
      </w:tr>
      <w:tr>
        <w:trPr>
          <w:trHeight w:val="41"/>
        </w:trPr>
        <w:tc>
          <w:tcPr>
            <w:tcW w:w="70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5"/>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70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70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U.S.</w:t>
            </w: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1,822,992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1,645,749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1,413,743</w:t>
            </w:r>
          </w:p>
        </w:tc>
      </w:tr>
      <w:tr>
        <w:trPr>
          <w:trHeight w:val="222"/>
        </w:trPr>
        <w:tc>
          <w:tcPr>
            <w:tcW w:w="7000" w:type="dxa"/>
            <w:vAlign w:val="bottom"/>
          </w:tcPr>
          <w:p>
            <w:pPr>
              <w:ind w:left="20"/>
              <w:spacing w:after="0" w:line="215" w:lineRule="exact"/>
              <w:rPr>
                <w:sz w:val="20"/>
                <w:szCs w:val="20"/>
                <w:color w:val="auto"/>
              </w:rPr>
            </w:pPr>
            <w:r>
              <w:rPr>
                <w:rFonts w:ascii="Calibri" w:cs="Calibri" w:eastAsia="Calibri" w:hAnsi="Calibri"/>
                <w:sz w:val="18"/>
                <w:szCs w:val="18"/>
                <w:color w:val="auto"/>
              </w:rPr>
              <w:t>Europe</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318,633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144,969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168,592</w:t>
            </w:r>
          </w:p>
        </w:tc>
      </w:tr>
      <w:tr>
        <w:trPr>
          <w:trHeight w:val="230"/>
        </w:trPr>
        <w:tc>
          <w:tcPr>
            <w:tcW w:w="70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Japan</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27,076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39,490</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28,727</w:t>
            </w:r>
          </w:p>
        </w:tc>
      </w:tr>
      <w:tr>
        <w:trPr>
          <w:trHeight w:val="351"/>
        </w:trPr>
        <w:tc>
          <w:tcPr>
            <w:tcW w:w="7000" w:type="dxa"/>
            <w:vAlign w:val="bottom"/>
          </w:tcPr>
          <w:p>
            <w:pPr>
              <w:ind w:left="220"/>
              <w:spacing w:after="0"/>
              <w:rPr>
                <w:sz w:val="20"/>
                <w:szCs w:val="20"/>
                <w:color w:val="auto"/>
              </w:rPr>
            </w:pPr>
            <w:r>
              <w:rPr>
                <w:rFonts w:ascii="Calibri" w:cs="Calibri" w:eastAsia="Calibri" w:hAnsi="Calibri"/>
                <w:sz w:val="18"/>
                <w:szCs w:val="18"/>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2,168,701</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1,830,208</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1,611,062</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500" w:firstLine="648"/>
        <w:spacing w:after="0" w:line="235" w:lineRule="auto"/>
        <w:rPr>
          <w:sz w:val="20"/>
          <w:szCs w:val="20"/>
          <w:color w:val="auto"/>
        </w:rPr>
      </w:pPr>
      <w:r>
        <w:rPr>
          <w:rFonts w:ascii="Calibri" w:cs="Calibri" w:eastAsia="Calibri" w:hAnsi="Calibri"/>
          <w:sz w:val="18"/>
          <w:szCs w:val="18"/>
          <w:color w:val="auto"/>
        </w:rPr>
        <w:t>Total revenues include net product revenues atributed to geographic regions based on ship-to locaton and license and collaboraton services revenues atributed to geographic regions based on the locaton of our collaboraton partners’ headquarters.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Product Sales Discounts and Allowances</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The actvites and ending reserve balances for each signifcant category of discounts and allowances (which consttute variable consideraton) were as follows (in thousands):</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Calibri" w:cs="Calibri" w:eastAsia="Calibri" w:hAnsi="Calibri"/>
                <w:sz w:val="16"/>
                <w:szCs w:val="16"/>
                <w:b w:val="1"/>
                <w:bCs w:val="1"/>
                <w:color w:val="auto"/>
              </w:rPr>
              <w:t>Chargebacks,</w:t>
            </w:r>
          </w:p>
        </w:tc>
        <w:tc>
          <w:tcPr>
            <w:tcW w:w="18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Other Customer</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640" w:type="dxa"/>
            <w:vAlign w:val="bottom"/>
            <w:gridSpan w:val="3"/>
          </w:tcPr>
          <w:p>
            <w:pPr>
              <w:jc w:val="center"/>
              <w:ind w:right="100"/>
              <w:spacing w:after="0" w:line="162" w:lineRule="exact"/>
              <w:rPr>
                <w:sz w:val="20"/>
                <w:szCs w:val="20"/>
                <w:color w:val="auto"/>
              </w:rPr>
            </w:pPr>
            <w:r>
              <w:rPr>
                <w:rFonts w:ascii="Calibri" w:cs="Calibri" w:eastAsia="Calibri" w:hAnsi="Calibri"/>
                <w:sz w:val="16"/>
                <w:szCs w:val="16"/>
                <w:b w:val="1"/>
                <w:bCs w:val="1"/>
                <w:color w:val="auto"/>
              </w:rPr>
              <w:t>Discounts for Prompt</w:t>
            </w:r>
          </w:p>
        </w:tc>
        <w:tc>
          <w:tcPr>
            <w:tcW w:w="1640" w:type="dxa"/>
            <w:vAlign w:val="bottom"/>
            <w:gridSpan w:val="3"/>
          </w:tcPr>
          <w:p>
            <w:pPr>
              <w:jc w:val="center"/>
              <w:ind w:right="80"/>
              <w:spacing w:after="0" w:line="162" w:lineRule="exact"/>
              <w:rPr>
                <w:sz w:val="20"/>
                <w:szCs w:val="20"/>
                <w:color w:val="auto"/>
              </w:rPr>
            </w:pPr>
            <w:r>
              <w:rPr>
                <w:rFonts w:ascii="Calibri" w:cs="Calibri" w:eastAsia="Calibri" w:hAnsi="Calibri"/>
                <w:sz w:val="16"/>
                <w:szCs w:val="16"/>
                <w:b w:val="1"/>
                <w:bCs w:val="1"/>
                <w:color w:val="auto"/>
              </w:rPr>
              <w:t>Credits/Fees and Co-</w:t>
            </w:r>
          </w:p>
        </w:tc>
        <w:tc>
          <w:tcPr>
            <w:tcW w:w="320" w:type="dxa"/>
            <w:vAlign w:val="bottom"/>
          </w:tcPr>
          <w:p>
            <w:pPr>
              <w:spacing w:after="0"/>
              <w:rPr>
                <w:sz w:val="14"/>
                <w:szCs w:val="14"/>
                <w:color w:val="auto"/>
              </w:rPr>
            </w:pPr>
          </w:p>
        </w:tc>
        <w:tc>
          <w:tcPr>
            <w:tcW w:w="1340" w:type="dxa"/>
            <w:vAlign w:val="bottom"/>
            <w:gridSpan w:val="2"/>
            <w:vMerge w:val="restart"/>
          </w:tcPr>
          <w:p>
            <w:pPr>
              <w:ind w:left="200"/>
              <w:spacing w:after="0"/>
              <w:rPr>
                <w:sz w:val="20"/>
                <w:szCs w:val="20"/>
                <w:color w:val="auto"/>
              </w:rPr>
            </w:pPr>
            <w:r>
              <w:rPr>
                <w:rFonts w:ascii="Calibri" w:cs="Calibri" w:eastAsia="Calibri" w:hAnsi="Calibri"/>
                <w:sz w:val="16"/>
                <w:szCs w:val="16"/>
                <w:b w:val="1"/>
                <w:bCs w:val="1"/>
                <w:color w:val="auto"/>
              </w:rPr>
              <w:t>Rebates</w:t>
            </w:r>
          </w:p>
        </w:tc>
        <w:tc>
          <w:tcPr>
            <w:tcW w:w="360" w:type="dxa"/>
            <w:vAlign w:val="bottom"/>
          </w:tcPr>
          <w:p>
            <w:pPr>
              <w:spacing w:after="0"/>
              <w:rPr>
                <w:sz w:val="14"/>
                <w:szCs w:val="14"/>
                <w:color w:val="auto"/>
              </w:rPr>
            </w:pPr>
          </w:p>
        </w:tc>
        <w:tc>
          <w:tcPr>
            <w:tcW w:w="1180" w:type="dxa"/>
            <w:vAlign w:val="bottom"/>
            <w:vMerge w:val="restart"/>
          </w:tcPr>
          <w:p>
            <w:pPr>
              <w:jc w:val="right"/>
              <w:ind w:right="511"/>
              <w:spacing w:after="0"/>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00"/>
              <w:spacing w:after="0" w:line="193" w:lineRule="exact"/>
              <w:rPr>
                <w:sz w:val="20"/>
                <w:szCs w:val="20"/>
                <w:color w:val="auto"/>
              </w:rPr>
            </w:pPr>
            <w:r>
              <w:rPr>
                <w:rFonts w:ascii="Calibri" w:cs="Calibri" w:eastAsia="Calibri" w:hAnsi="Calibri"/>
                <w:sz w:val="16"/>
                <w:szCs w:val="16"/>
                <w:b w:val="1"/>
                <w:bCs w:val="1"/>
                <w:color w:val="auto"/>
                <w:w w:val="99"/>
              </w:rPr>
              <w:t>Payment and Other</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rPr>
              <w:t>pay Assistance</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Balance at December 31, 2022</w:t>
            </w:r>
          </w:p>
        </w:tc>
        <w:tc>
          <w:tcPr>
            <w:tcW w:w="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14,924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77,231</w:t>
            </w:r>
          </w:p>
        </w:tc>
        <w:tc>
          <w:tcPr>
            <w:tcW w:w="0" w:type="dxa"/>
            <w:vAlign w:val="bottom"/>
          </w:tcPr>
          <w:p>
            <w:pPr>
              <w:spacing w:after="0"/>
              <w:rPr>
                <w:sz w:val="1"/>
                <w:szCs w:val="1"/>
                <w:color w:val="auto"/>
              </w:rPr>
            </w:pPr>
          </w:p>
        </w:tc>
      </w:tr>
      <w:tr>
        <w:trPr>
          <w:trHeight w:val="222"/>
        </w:trPr>
        <w:tc>
          <w:tcPr>
            <w:tcW w:w="4720" w:type="dxa"/>
            <w:vAlign w:val="bottom"/>
          </w:tcPr>
          <w:p>
            <w:pPr>
              <w:ind w:left="220"/>
              <w:spacing w:after="0" w:line="215" w:lineRule="exact"/>
              <w:rPr>
                <w:sz w:val="20"/>
                <w:szCs w:val="20"/>
                <w:color w:val="auto"/>
              </w:rPr>
            </w:pPr>
            <w:r>
              <w:rPr>
                <w:rFonts w:ascii="Calibri" w:cs="Calibri" w:eastAsia="Calibri" w:hAnsi="Calibri"/>
                <w:sz w:val="18"/>
                <w:szCs w:val="18"/>
                <w:color w:val="auto"/>
              </w:rPr>
              <w:t>Provision related to sales made in:</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Current period</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419,975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56,349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170,788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647,112</w:t>
            </w:r>
          </w:p>
        </w:tc>
        <w:tc>
          <w:tcPr>
            <w:tcW w:w="0" w:type="dxa"/>
            <w:vAlign w:val="bottom"/>
          </w:tcPr>
          <w:p>
            <w:pPr>
              <w:spacing w:after="0"/>
              <w:rPr>
                <w:sz w:val="1"/>
                <w:szCs w:val="1"/>
                <w:color w:val="auto"/>
              </w:rPr>
            </w:pPr>
          </w:p>
        </w:tc>
      </w:tr>
      <w:tr>
        <w:trPr>
          <w:trHeight w:val="222"/>
        </w:trPr>
        <w:tc>
          <w:tcPr>
            <w:tcW w:w="4720" w:type="dxa"/>
            <w:vAlign w:val="bottom"/>
          </w:tcPr>
          <w:p>
            <w:pPr>
              <w:ind w:left="460"/>
              <w:spacing w:after="0" w:line="215" w:lineRule="exact"/>
              <w:rPr>
                <w:sz w:val="20"/>
                <w:szCs w:val="20"/>
                <w:color w:val="auto"/>
              </w:rPr>
            </w:pPr>
            <w:r>
              <w:rPr>
                <w:rFonts w:ascii="Calibri" w:cs="Calibri" w:eastAsia="Calibri" w:hAnsi="Calibri"/>
                <w:sz w:val="18"/>
                <w:szCs w:val="18"/>
                <w:color w:val="auto"/>
              </w:rPr>
              <w:t>Prior periods</w:t>
            </w:r>
          </w:p>
        </w:tc>
        <w:tc>
          <w:tcPr>
            <w:tcW w:w="10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(1,222)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(2,531)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(3,458)</w:t>
            </w: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Payments and customer credits issued</w:t>
            </w:r>
          </w:p>
        </w:tc>
        <w:tc>
          <w:tcPr>
            <w:tcW w:w="1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(421,930)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(50,330)</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(163,785)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(636,045)</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line="195" w:lineRule="exact"/>
              <w:rPr>
                <w:sz w:val="20"/>
                <w:szCs w:val="20"/>
                <w:color w:val="auto"/>
              </w:rPr>
            </w:pPr>
            <w:r>
              <w:rPr>
                <w:rFonts w:ascii="Calibri" w:cs="Calibri" w:eastAsia="Calibri" w:hAnsi="Calibri"/>
                <w:sz w:val="18"/>
                <w:szCs w:val="18"/>
                <w:color w:val="auto"/>
              </w:rPr>
              <w:t>Balance at December 31, 2023</w:t>
            </w:r>
          </w:p>
        </w:tc>
        <w:tc>
          <w:tcPr>
            <w:tcW w:w="10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25,221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19,721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39,898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84,840</w:t>
            </w: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Provision related to sales made in:</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460"/>
              <w:spacing w:after="0" w:line="215" w:lineRule="exact"/>
              <w:rPr>
                <w:sz w:val="20"/>
                <w:szCs w:val="20"/>
                <w:color w:val="auto"/>
              </w:rPr>
            </w:pPr>
            <w:r>
              <w:rPr>
                <w:rFonts w:ascii="Calibri" w:cs="Calibri" w:eastAsia="Calibri" w:hAnsi="Calibri"/>
                <w:sz w:val="18"/>
                <w:szCs w:val="18"/>
                <w:color w:val="auto"/>
              </w:rPr>
              <w:t>Current period</w:t>
            </w:r>
          </w:p>
        </w:tc>
        <w:tc>
          <w:tcPr>
            <w:tcW w:w="10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470,103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63,354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179,297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712,754</w:t>
            </w: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460"/>
              <w:spacing w:after="0"/>
              <w:rPr>
                <w:sz w:val="20"/>
                <w:szCs w:val="20"/>
                <w:color w:val="auto"/>
              </w:rPr>
            </w:pPr>
            <w:r>
              <w:rPr>
                <w:rFonts w:ascii="Calibri" w:cs="Calibri" w:eastAsia="Calibri" w:hAnsi="Calibri"/>
                <w:sz w:val="18"/>
                <w:szCs w:val="18"/>
                <w:color w:val="auto"/>
              </w:rPr>
              <w:t>Prior periods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(2,044)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(3,903)</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Payments and customer credits issued</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(469,166)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(56,086)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(180,796)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(706,048)</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Balance at December 31, 2024</w:t>
            </w:r>
          </w:p>
        </w:tc>
        <w:tc>
          <w:tcPr>
            <w:tcW w:w="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24,945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37,431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87,643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color w:val="auto"/>
        </w:rPr>
        <w:t>The allowance for chargebacks, discounts for prompt payment and other are recorded as a reducton of trade receivables, net, and the remaining reserves are recorded as rebates and fees due to customers in the accompanying Consolidated Balance Sheets.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 Assets and Liabilites</w:t>
      </w:r>
    </w:p>
    <w:p>
      <w:pPr>
        <w:spacing w:after="0" w:line="163" w:lineRule="exact"/>
        <w:rPr>
          <w:sz w:val="20"/>
          <w:szCs w:val="20"/>
          <w:color w:val="auto"/>
        </w:rPr>
      </w:pPr>
    </w:p>
    <w:p>
      <w:pPr>
        <w:ind w:right="20" w:firstLine="648"/>
        <w:spacing w:after="0" w:line="251" w:lineRule="auto"/>
        <w:rPr>
          <w:sz w:val="20"/>
          <w:szCs w:val="20"/>
          <w:color w:val="auto"/>
        </w:rPr>
      </w:pPr>
      <w:r>
        <w:rPr>
          <w:rFonts w:ascii="Calibri" w:cs="Calibri" w:eastAsia="Calibri" w:hAnsi="Calibri"/>
          <w:sz w:val="17"/>
          <w:szCs w:val="17"/>
          <w:color w:val="auto"/>
        </w:rPr>
        <w:t>We receive payments from our collaboraton partners based on billing schedules established in each contract. Amounts are recorded as accounts receivable when our right to consideraton is unconditonal. We may also recognize revenue in advance of the contractual billing schedule and such amounts are recorded as a contract asset when recognized. We may be required to defer recogniton of revenue for upfront and milestone payments untl we perform our obligatons under these arrangements, and such amounts are recorded as deferred revenue upon receipt or when due. For those contracts that have multple performance obligatons, contract assets and liabilites are reported on a net basis at the contract level. Contract assets are primarily related to Ipsen Pharma SAS (Ipsen) and contract liabilites are primarily related to deferred revenues from Takeda Pharmaceutcal Company Limited (Takeda).</w:t>
      </w:r>
    </w:p>
    <w:p>
      <w:pPr>
        <w:spacing w:after="0" w:line="151"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Contract assets and liabilites were as follows (in thousands):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Calibri" w:cs="Calibri" w:eastAsia="Calibri" w:hAnsi="Calibri"/>
                <w:sz w:val="16"/>
                <w:szCs w:val="16"/>
                <w:b w:val="1"/>
                <w:bCs w:val="1"/>
                <w:color w:val="auto"/>
              </w:rPr>
              <w:t>December 31,</w:t>
            </w:r>
          </w:p>
        </w:tc>
        <w:tc>
          <w:tcPr>
            <w:tcW w:w="1060" w:type="dxa"/>
            <w:vAlign w:val="bottom"/>
          </w:tcPr>
          <w:p>
            <w:pPr>
              <w:spacing w:after="0"/>
              <w:rPr>
                <w:sz w:val="16"/>
                <w:szCs w:val="16"/>
                <w:color w:val="auto"/>
              </w:rPr>
            </w:pPr>
          </w:p>
        </w:tc>
      </w:tr>
      <w:tr>
        <w:trPr>
          <w:trHeight w:val="41"/>
        </w:trPr>
        <w:tc>
          <w:tcPr>
            <w:tcW w:w="75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95"/>
        </w:trPr>
        <w:tc>
          <w:tcPr>
            <w:tcW w:w="7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alibri" w:cs="Calibri" w:eastAsia="Calibri" w:hAnsi="Calibri"/>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532"/>
              <w:spacing w:after="0"/>
              <w:rPr>
                <w:sz w:val="20"/>
                <w:szCs w:val="20"/>
                <w:color w:val="auto"/>
              </w:rPr>
            </w:pPr>
            <w:r>
              <w:rPr>
                <w:rFonts w:ascii="Calibri" w:cs="Calibri" w:eastAsia="Calibri" w:hAnsi="Calibri"/>
                <w:sz w:val="16"/>
                <w:szCs w:val="16"/>
                <w:b w:val="1"/>
                <w:bCs w:val="1"/>
                <w:color w:val="auto"/>
              </w:rPr>
              <w:t>2023</w:t>
            </w:r>
          </w:p>
        </w:tc>
      </w:tr>
      <w:tr>
        <w:trPr>
          <w:trHeight w:val="41"/>
        </w:trPr>
        <w:tc>
          <w:tcPr>
            <w:tcW w:w="75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8"/>
        </w:trPr>
        <w:tc>
          <w:tcPr>
            <w:tcW w:w="7540" w:type="dxa"/>
            <w:vAlign w:val="bottom"/>
            <w:tcBorders>
              <w:bottom w:val="single" w:sz="8" w:color="CCEEFF"/>
            </w:tcBorders>
            <w:shd w:val="clear" w:color="auto" w:fill="CCEEFF"/>
          </w:tcPr>
          <w:p>
            <w:pPr>
              <w:ind w:left="20"/>
              <w:spacing w:after="0" w:line="223" w:lineRule="exact"/>
              <w:rPr>
                <w:sz w:val="20"/>
                <w:szCs w:val="20"/>
                <w:color w:val="auto"/>
              </w:rPr>
            </w:pPr>
            <w:r>
              <w:rPr>
                <w:rFonts w:ascii="Calibri" w:cs="Calibri" w:eastAsia="Calibri" w:hAnsi="Calibri"/>
                <w:sz w:val="18"/>
                <w:szCs w:val="18"/>
                <w:color w:val="auto"/>
              </w:rPr>
              <w:t>Contract assets</w:t>
            </w:r>
            <w:r>
              <w:rPr>
                <w:rFonts w:ascii="Calibri" w:cs="Calibri" w:eastAsia="Calibri" w:hAnsi="Calibri"/>
                <w:sz w:val="23"/>
                <w:szCs w:val="23"/>
                <w:color w:val="auto"/>
                <w:vertAlign w:val="superscript"/>
              </w:rPr>
              <w:t>(1)</w:t>
            </w:r>
          </w:p>
        </w:tc>
        <w:tc>
          <w:tcPr>
            <w:tcW w:w="1020" w:type="dxa"/>
            <w:vAlign w:val="bottom"/>
            <w:tcBorders>
              <w:bottom w:val="single" w:sz="8" w:color="auto"/>
            </w:tcBorders>
            <w:shd w:val="clear" w:color="auto" w:fill="CCEEFF"/>
          </w:tcPr>
          <w:p>
            <w:pPr>
              <w:jc w:val="right"/>
              <w:ind w:right="812"/>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1,321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5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Contract liabilites: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540" w:type="dxa"/>
            <w:vAlign w:val="bottom"/>
          </w:tcPr>
          <w:p>
            <w:pPr>
              <w:ind w:left="180"/>
              <w:spacing w:after="0" w:line="230" w:lineRule="exact"/>
              <w:rPr>
                <w:sz w:val="20"/>
                <w:szCs w:val="20"/>
                <w:color w:val="auto"/>
              </w:rPr>
            </w:pPr>
            <w:r>
              <w:rPr>
                <w:rFonts w:ascii="Calibri" w:cs="Calibri" w:eastAsia="Calibri" w:hAnsi="Calibri"/>
                <w:sz w:val="18"/>
                <w:szCs w:val="18"/>
                <w:color w:val="auto"/>
              </w:rPr>
              <w:t>Current porton</w:t>
            </w:r>
            <w:r>
              <w:rPr>
                <w:rFonts w:ascii="Calibri" w:cs="Calibri" w:eastAsia="Calibri" w:hAnsi="Calibri"/>
                <w:sz w:val="23"/>
                <w:szCs w:val="23"/>
                <w:color w:val="auto"/>
                <w:vertAlign w:val="superscript"/>
              </w:rPr>
              <w:t>(2)</w:t>
            </w:r>
          </w:p>
        </w:tc>
        <w:tc>
          <w:tcPr>
            <w:tcW w:w="1020" w:type="dxa"/>
            <w:vAlign w:val="bottom"/>
          </w:tcPr>
          <w:p>
            <w:pPr>
              <w:jc w:val="right"/>
              <w:ind w:right="812"/>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2,739</w:t>
            </w:r>
          </w:p>
        </w:tc>
        <w:tc>
          <w:tcPr>
            <w:tcW w:w="100" w:type="dxa"/>
            <w:vAlign w:val="bottom"/>
          </w:tcPr>
          <w:p>
            <w:pPr>
              <w:spacing w:after="0"/>
              <w:rPr>
                <w:sz w:val="19"/>
                <w:szCs w:val="19"/>
                <w:color w:val="auto"/>
              </w:rPr>
            </w:pPr>
          </w:p>
        </w:tc>
        <w:tc>
          <w:tcPr>
            <w:tcW w:w="52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5,406</w:t>
            </w:r>
          </w:p>
        </w:tc>
      </w:tr>
      <w:tr>
        <w:trPr>
          <w:trHeight w:val="229"/>
        </w:trPr>
        <w:tc>
          <w:tcPr>
            <w:tcW w:w="7540" w:type="dxa"/>
            <w:vAlign w:val="bottom"/>
            <w:shd w:val="clear" w:color="auto" w:fill="CCEEFF"/>
          </w:tcPr>
          <w:p>
            <w:pPr>
              <w:ind w:left="180"/>
              <w:spacing w:after="0" w:line="230" w:lineRule="exact"/>
              <w:rPr>
                <w:sz w:val="20"/>
                <w:szCs w:val="20"/>
                <w:color w:val="auto"/>
              </w:rPr>
            </w:pPr>
            <w:r>
              <w:rPr>
                <w:rFonts w:ascii="Calibri" w:cs="Calibri" w:eastAsia="Calibri" w:hAnsi="Calibri"/>
                <w:sz w:val="18"/>
                <w:szCs w:val="18"/>
                <w:color w:val="auto"/>
              </w:rPr>
              <w:t>Non-current porton</w:t>
            </w:r>
            <w:r>
              <w:rPr>
                <w:rFonts w:ascii="Calibri" w:cs="Calibri" w:eastAsia="Calibri" w:hAnsi="Calibri"/>
                <w:sz w:val="23"/>
                <w:szCs w:val="23"/>
                <w:color w:val="auto"/>
                <w:vertAlign w:val="superscript"/>
              </w:rPr>
              <w:t>(3)</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3,392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5,524</w:t>
            </w:r>
          </w:p>
        </w:tc>
      </w:tr>
      <w:tr>
        <w:trPr>
          <w:trHeight w:val="223"/>
        </w:trPr>
        <w:tc>
          <w:tcPr>
            <w:tcW w:w="7540" w:type="dxa"/>
            <w:vAlign w:val="bottom"/>
          </w:tcPr>
          <w:p>
            <w:pPr>
              <w:ind w:left="500"/>
              <w:spacing w:after="0"/>
              <w:rPr>
                <w:sz w:val="20"/>
                <w:szCs w:val="20"/>
                <w:color w:val="auto"/>
              </w:rPr>
            </w:pPr>
            <w:r>
              <w:rPr>
                <w:rFonts w:ascii="Calibri" w:cs="Calibri" w:eastAsia="Calibri" w:hAnsi="Calibri"/>
                <w:sz w:val="18"/>
                <w:szCs w:val="18"/>
                <w:color w:val="auto"/>
              </w:rPr>
              <w:t>Total contract liabilites</w:t>
            </w:r>
          </w:p>
        </w:tc>
        <w:tc>
          <w:tcPr>
            <w:tcW w:w="1020" w:type="dxa"/>
            <w:vAlign w:val="bottom"/>
            <w:tcBorders>
              <w:bottom w:val="single" w:sz="8" w:color="auto"/>
            </w:tcBorders>
          </w:tcPr>
          <w:p>
            <w:pPr>
              <w:jc w:val="right"/>
              <w:ind w:right="812"/>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6,131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10,930</w:t>
            </w:r>
          </w:p>
        </w:tc>
      </w:tr>
      <w:tr>
        <w:trPr>
          <w:trHeight w:val="20"/>
        </w:trPr>
        <w:tc>
          <w:tcPr>
            <w:tcW w:w="7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Calibri" w:cs="Calibri" w:eastAsia="Calibri" w:hAnsi="Calibri"/>
          <w:sz w:val="16"/>
          <w:szCs w:val="16"/>
          <w:color w:val="auto"/>
        </w:rPr>
        <w:t>____________________</w:t>
      </w:r>
    </w:p>
    <w:p>
      <w:pPr>
        <w:ind w:left="140" w:hanging="132"/>
        <w:spacing w:after="0" w:line="234" w:lineRule="auto"/>
        <w:tabs>
          <w:tab w:leader="none" w:pos="140" w:val="left"/>
        </w:tabs>
        <w:numPr>
          <w:ilvl w:val="0"/>
          <w:numId w:val="36"/>
        </w:numPr>
        <w:rPr>
          <w:rFonts w:ascii="Calibri" w:cs="Calibri" w:eastAsia="Calibri" w:hAnsi="Calibri"/>
          <w:sz w:val="17"/>
          <w:szCs w:val="17"/>
          <w:color w:val="auto"/>
          <w:vertAlign w:val="superscript"/>
        </w:rPr>
      </w:pPr>
      <w:r>
        <w:rPr>
          <w:rFonts w:ascii="Calibri" w:cs="Calibri" w:eastAsia="Calibri" w:hAnsi="Calibri"/>
          <w:sz w:val="13"/>
          <w:szCs w:val="13"/>
          <w:color w:val="auto"/>
        </w:rPr>
        <w:t>Presented in right-of-use assets and other non-current assets in the accompanying Consolidated Balance Sheets.</w:t>
      </w:r>
    </w:p>
    <w:p>
      <w:pPr>
        <w:spacing w:after="0" w:line="27" w:lineRule="exact"/>
        <w:rPr>
          <w:rFonts w:ascii="Calibri" w:cs="Calibri" w:eastAsia="Calibri" w:hAnsi="Calibri"/>
          <w:sz w:val="17"/>
          <w:szCs w:val="17"/>
          <w:color w:val="auto"/>
          <w:vertAlign w:val="superscript"/>
        </w:rPr>
      </w:pPr>
    </w:p>
    <w:p>
      <w:pPr>
        <w:ind w:left="140" w:hanging="132"/>
        <w:spacing w:after="0" w:line="186" w:lineRule="auto"/>
        <w:tabs>
          <w:tab w:leader="none" w:pos="140" w:val="left"/>
        </w:tabs>
        <w:numPr>
          <w:ilvl w:val="0"/>
          <w:numId w:val="36"/>
        </w:numPr>
        <w:rPr>
          <w:rFonts w:ascii="Calibri" w:cs="Calibri" w:eastAsia="Calibri" w:hAnsi="Calibri"/>
          <w:sz w:val="17"/>
          <w:szCs w:val="17"/>
          <w:color w:val="auto"/>
          <w:vertAlign w:val="superscript"/>
        </w:rPr>
      </w:pPr>
      <w:r>
        <w:rPr>
          <w:rFonts w:ascii="Calibri" w:cs="Calibri" w:eastAsia="Calibri" w:hAnsi="Calibri"/>
          <w:sz w:val="13"/>
          <w:szCs w:val="13"/>
          <w:color w:val="auto"/>
        </w:rPr>
        <w:t>Presented in other current liabilites in the accompanying Consolidated Balance Sheets.</w:t>
      </w:r>
    </w:p>
    <w:p>
      <w:pPr>
        <w:spacing w:after="0" w:line="28" w:lineRule="exact"/>
        <w:rPr>
          <w:rFonts w:ascii="Calibri" w:cs="Calibri" w:eastAsia="Calibri" w:hAnsi="Calibri"/>
          <w:sz w:val="17"/>
          <w:szCs w:val="17"/>
          <w:color w:val="auto"/>
          <w:vertAlign w:val="superscript"/>
        </w:rPr>
      </w:pPr>
    </w:p>
    <w:p>
      <w:pPr>
        <w:ind w:left="140" w:hanging="132"/>
        <w:spacing w:after="0" w:line="186" w:lineRule="auto"/>
        <w:tabs>
          <w:tab w:leader="none" w:pos="140" w:val="left"/>
        </w:tabs>
        <w:numPr>
          <w:ilvl w:val="0"/>
          <w:numId w:val="36"/>
        </w:numPr>
        <w:rPr>
          <w:rFonts w:ascii="Calibri" w:cs="Calibri" w:eastAsia="Calibri" w:hAnsi="Calibri"/>
          <w:sz w:val="17"/>
          <w:szCs w:val="17"/>
          <w:color w:val="auto"/>
          <w:vertAlign w:val="superscript"/>
        </w:rPr>
      </w:pPr>
      <w:r>
        <w:rPr>
          <w:rFonts w:ascii="Calibri" w:cs="Calibri" w:eastAsia="Calibri" w:hAnsi="Calibri"/>
          <w:sz w:val="13"/>
          <w:szCs w:val="13"/>
          <w:color w:val="auto"/>
        </w:rPr>
        <w:t>Presented in other non-current liabilites in the accompanying Consolidated Balance Sheets.</w:t>
      </w:r>
    </w:p>
    <w:p>
      <w:pPr>
        <w:spacing w:after="0" w:line="168"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During the years ended December 31, 2024, 2023 and 2022, we recognized $6.0 million, $6.9 million and $8.1 million, respectvely, in revenues that were included in the beginning deferred revenues balance for those years.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0" w:firstLine="648"/>
        <w:spacing w:after="0" w:line="235" w:lineRule="auto"/>
        <w:rPr>
          <w:sz w:val="20"/>
          <w:szCs w:val="20"/>
          <w:color w:val="auto"/>
        </w:rPr>
      </w:pPr>
      <w:r>
        <w:rPr>
          <w:rFonts w:ascii="Calibri" w:cs="Calibri" w:eastAsia="Calibri" w:hAnsi="Calibri"/>
          <w:sz w:val="18"/>
          <w:szCs w:val="18"/>
          <w:color w:val="auto"/>
        </w:rPr>
        <w:t>During the years ended December 31, 2024, 2023 and 2022, we recognized $351.9 million, $179.7 million and $161.6 million, respectvely, in revenues for performance obligatons satsfed in previous periods. Such revenues were primarily related to the recogniton of license revenues for the achievement of milestones and royalty payments allocated to our license performance obligatons for our collaboratons with Ipsen, Takeda, Daiichi Sankyo and Genentech.</w:t>
      </w:r>
    </w:p>
    <w:p>
      <w:pPr>
        <w:spacing w:after="0" w:line="165" w:lineRule="exact"/>
        <w:rPr>
          <w:sz w:val="20"/>
          <w:szCs w:val="20"/>
          <w:color w:val="auto"/>
        </w:rPr>
      </w:pPr>
    </w:p>
    <w:p>
      <w:pPr>
        <w:ind w:right="160" w:firstLine="648"/>
        <w:spacing w:after="0" w:line="249" w:lineRule="auto"/>
        <w:rPr>
          <w:sz w:val="20"/>
          <w:szCs w:val="20"/>
          <w:color w:val="auto"/>
        </w:rPr>
      </w:pPr>
      <w:r>
        <w:rPr>
          <w:rFonts w:ascii="Calibri" w:cs="Calibri" w:eastAsia="Calibri" w:hAnsi="Calibri"/>
          <w:sz w:val="17"/>
          <w:szCs w:val="17"/>
          <w:color w:val="auto"/>
        </w:rPr>
        <w:t>As of December 31, 2024, $40.5 million of the combined transacton prices for our Ipsen and Takeda collaboratons were allocated to research and development services performance obligatons that had not yet been satsfed. See “Note 4. Collaboraton Agreements and Business Development Actvites</w:t>
      </w:r>
    </w:p>
    <w:p>
      <w:pPr>
        <w:spacing w:after="0" w:line="1" w:lineRule="exact"/>
        <w:rPr>
          <w:sz w:val="20"/>
          <w:szCs w:val="20"/>
          <w:color w:val="auto"/>
        </w:rPr>
      </w:pPr>
    </w:p>
    <w:p>
      <w:pPr>
        <w:ind w:right="600"/>
        <w:spacing w:after="0" w:line="235" w:lineRule="auto"/>
        <w:rPr>
          <w:sz w:val="20"/>
          <w:szCs w:val="20"/>
          <w:color w:val="auto"/>
        </w:rPr>
      </w:pPr>
      <w:r>
        <w:rPr>
          <w:rFonts w:ascii="Calibri" w:cs="Calibri" w:eastAsia="Calibri" w:hAnsi="Calibri"/>
          <w:sz w:val="18"/>
          <w:szCs w:val="18"/>
          <w:color w:val="auto"/>
        </w:rPr>
        <w:t xml:space="preserve">— Cabozantnib Commercial Collaboratons — </w:t>
      </w:r>
      <w:r>
        <w:rPr>
          <w:rFonts w:ascii="Calibri" w:cs="Calibri" w:eastAsia="Calibri" w:hAnsi="Calibri"/>
          <w:sz w:val="18"/>
          <w:szCs w:val="18"/>
          <w:i w:val="1"/>
          <w:iCs w:val="1"/>
          <w:color w:val="auto"/>
        </w:rPr>
        <w:t>Performance Obligatons and Transacton Prices for our Ipsen and Takeda Collaboratons”</w:t>
      </w:r>
      <w:r>
        <w:rPr>
          <w:rFonts w:ascii="Calibri" w:cs="Calibri" w:eastAsia="Calibri" w:hAnsi="Calibri"/>
          <w:sz w:val="18"/>
          <w:szCs w:val="18"/>
          <w:color w:val="auto"/>
        </w:rPr>
        <w:t xml:space="preserve"> for additonal informaton about the expected tming to satsfy these performance obligatons.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4. COLLABORATION AGREEMENTS AND BUSINESS DEVELOPMENT ACTIVITIES</w:t>
      </w:r>
    </w:p>
    <w:p>
      <w:pPr>
        <w:spacing w:after="0" w:line="163"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have established multple collaboratons with leading biopharmaceutcal companies for the commercializaton and further development of our cabozantnib franchise. Additonally, we have made considerable progress under our existng research collaboraton and in-licensing arrangements to further enhance our early-stage pipeline and expand our ability to discover, develop and commercialize novel therapies with the goal of providing new treatment optons for cancer patents and their physicians. Historically, we also entered into other collaboratons with leading biopharmaceutcal companies pursuant to which we out-licensed other compounds and programs in our portolio.</w:t>
      </w:r>
    </w:p>
    <w:p>
      <w:pPr>
        <w:spacing w:after="0" w:line="166"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Under these collaboratons, we are generally enttled to receive milestone and royalty payments, and for certain collaboratons, to receive payments for product supply services, development cost reimbursements, and/or proft-sharing payments. See “Note 3. Revenues” for additonal informaton on revenues recognized under our collaboraton agreements during the years ended December 31, 2024, 2023 and 2022.</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Cabozantnib Commercial Collaboratons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Ipsen Collaboraton</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Descripton of the Collaboraton</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In February 2016, we entered into a collaboraton and license agreement with Ipsen, which was subsequently amended, for the commercializaton and further development of cabozantnib. Under the collaboraton agreement, as amended, Ipsen received exclusive commercializaton rights for current and potental future cabozantnib indicatons outside of the U.S. and Japan. We have also agreed to collaborate with Ipsen on the development of cabozantnib for current and potental future indicatons. The partes’ eforts are governed through a joint steering commitee and appropriate subcommitees established to guide and oversee the collaboraton’s operaton and strategic directon; provided, however, that we retain fnal decision-making authority with respect to cabozantnib’s ongoing development.</w:t>
      </w:r>
    </w:p>
    <w:p>
      <w:pPr>
        <w:spacing w:after="0" w:line="167" w:lineRule="exact"/>
        <w:rPr>
          <w:sz w:val="20"/>
          <w:szCs w:val="20"/>
          <w:color w:val="auto"/>
        </w:rPr>
      </w:pPr>
    </w:p>
    <w:p>
      <w:pPr>
        <w:ind w:right="40" w:firstLine="648"/>
        <w:spacing w:after="0" w:line="251" w:lineRule="auto"/>
        <w:rPr>
          <w:sz w:val="20"/>
          <w:szCs w:val="20"/>
          <w:color w:val="auto"/>
        </w:rPr>
      </w:pPr>
      <w:r>
        <w:rPr>
          <w:rFonts w:ascii="Calibri" w:cs="Calibri" w:eastAsia="Calibri" w:hAnsi="Calibri"/>
          <w:sz w:val="17"/>
          <w:szCs w:val="17"/>
          <w:color w:val="auto"/>
        </w:rPr>
        <w:t>In the second quarter of fscal year 2024, Ipsen opted into and is now co-funding the development costs for CABINET, a phase 3 pivotal study that evaluated cabozantnib versus placebo in patents with either advanced pNET) or advanced epNET who experienced progression afer prior systemic therapy. Under the terms of the agreement, Ipsen is now obligated to reimburse us for its share of the CABINET global development costs. We determined that Ipsen’s decision to opt into and co-fund the development costs for CABINET represented a contract modifcaton for additonal distnct services at its standalone selling price and therefore was treated as a separate contract under Topic 606. Accordingly, collaboraton services revenues for the year ended December 31, 2024 includes a cumulatve catch-up for Ipsen’s share of global development costs incurred since the beginning of the study and through the opt-in date.</w:t>
      </w:r>
    </w:p>
    <w:p>
      <w:pPr>
        <w:spacing w:after="0" w:line="156"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Unless earlier terminated, the collaboraton agreement has a term that contnues, on a product-by-product and country-by-country basis, untl the later of (1) the expiraton of patent claims related to cabozantnib, (2) the expiraton of regulatory exclusivity covering cabozantnib or (3) ten years afer the frst commercial sale of cabozantnib, other than COMETRIQ. A related supply agreement will contnue in efect untl expiraton or terminaton of the collaboraton agreement. The collaboraton agreement may be terminated for cause by either party based on uncured material breach of either the collaboraton agreement or the supply agreement by the other party, bankruptcy of the other party or for safety reasons. We may terminate the collaboraton agreement if Ipsen challenges or opposes any patent covered by the collaboraton agreement. Ipsen may terminate the collaboraton agreement if the FDA or European Medicines Agency (EMA) orders or requires substantally all cabozantnib clinical trials to be terminated. Ipsen also has the right to terminate the collaboraton agreement on a region-by-region basis afer the frst commercial sale of cabozantnib in advanced RCC in the given region. Upon terminaton by either party, all licenses granted by us to Ipsen will automatcally terminate, and,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except in the event of a terminaton by Ipsen for our material breach, the licenses granted by Ipsen to us shall survive such terminaton and shall automatcally become worldwide, or, if Ipsen were to terminate only for a partcular region, then for the terminated region. Following terminaton by us for Ipsen’s material breach, or terminaton by Ipsen without cause or because we undergo a change of control by a party engaged in a competng program, Ipsen is prohibited from competng with us for a period of tme.</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Consideraton under the Collaboraton</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17"/>
          <w:szCs w:val="17"/>
          <w:color w:val="auto"/>
        </w:rPr>
        <w:t>In consideraton for the exclusive license and other rights contained in the collaboraton agreement, including commercializaton rights in Canada,</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we received aggregate upfront payments of $210.0 million from Ipsen in 2016. As of December 31, 2024, we have achieved aggregate milestones of</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$654.2 million related to regulatory, development and sales-based threshold by Ipsen since the incepton of the collaboraton agreement, including $164.7</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million and $27.0 million in milestones achieved during the years ended December 31, 2024 and 2022, respectvely.</w:t>
      </w:r>
    </w:p>
    <w:p>
      <w:pPr>
        <w:spacing w:after="0" w:line="163" w:lineRule="exact"/>
        <w:rPr>
          <w:sz w:val="20"/>
          <w:szCs w:val="20"/>
          <w:color w:val="auto"/>
        </w:rPr>
      </w:pPr>
    </w:p>
    <w:p>
      <w:pPr>
        <w:ind w:right="20" w:firstLine="648"/>
        <w:spacing w:after="0" w:line="251" w:lineRule="auto"/>
        <w:rPr>
          <w:sz w:val="20"/>
          <w:szCs w:val="20"/>
          <w:color w:val="auto"/>
        </w:rPr>
      </w:pPr>
      <w:r>
        <w:rPr>
          <w:rFonts w:ascii="Calibri" w:cs="Calibri" w:eastAsia="Calibri" w:hAnsi="Calibri"/>
          <w:sz w:val="17"/>
          <w:szCs w:val="17"/>
          <w:color w:val="auto"/>
        </w:rPr>
        <w:t xml:space="preserve">As of December 31, 2024, we are eligible to receive additonal regulatory and development milestone payments from Ipsen totaling an aggregate of $7.0 million as well as sales-based milestones of up to $200.0 million and CAD$23.5 million. We excluded these milestones from the transacton price as of December 31, 2024 because we determined such payments to be fully constrained under Topic 606 due to the fact that it was not probable that a signifcant reversal of cumulatve revenue would not occur, given the inherent uncertainty of success with these milestones. We will adjust the constraint applied to the variable consideraton at each reportng period as uncertain events are resolved or other changes in circumstances occur. See </w:t>
      </w:r>
      <w:r>
        <w:rPr>
          <w:rFonts w:ascii="Calibri" w:cs="Calibri" w:eastAsia="Calibri" w:hAnsi="Calibri"/>
          <w:sz w:val="17"/>
          <w:szCs w:val="17"/>
          <w:i w:val="1"/>
          <w:iCs w:val="1"/>
          <w:color w:val="auto"/>
        </w:rPr>
        <w:t>“—Performance Obligatons</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and Transacton Prices for our Ipsen and Takeda Collaboratons”</w:t>
      </w:r>
      <w:r>
        <w:rPr>
          <w:rFonts w:ascii="Calibri" w:cs="Calibri" w:eastAsia="Calibri" w:hAnsi="Calibri"/>
          <w:sz w:val="17"/>
          <w:szCs w:val="17"/>
          <w:color w:val="auto"/>
        </w:rPr>
        <w:t>, below, for additonal informaton related to the revenue recogniton for this collaboraton.</w:t>
      </w:r>
    </w:p>
    <w:p>
      <w:pPr>
        <w:spacing w:after="0" w:line="156"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We also receive royalty revenues on the net sales of cabozantnib by Ipsen outside of the U.S. and Japan. During the year ended December 31, 2024 and going forward, we are enttled to receive a tered royalty of 22% to 26% on annual net sales, with separate ters for Canada; these royalty ters reset each calendar year.</w:t>
      </w:r>
    </w:p>
    <w:p>
      <w:pPr>
        <w:spacing w:after="0" w:line="165" w:lineRule="exact"/>
        <w:rPr>
          <w:sz w:val="20"/>
          <w:szCs w:val="20"/>
          <w:color w:val="auto"/>
        </w:rPr>
      </w:pPr>
    </w:p>
    <w:p>
      <w:pPr>
        <w:ind w:right="180" w:firstLine="648"/>
        <w:spacing w:after="0" w:line="235" w:lineRule="auto"/>
        <w:rPr>
          <w:sz w:val="20"/>
          <w:szCs w:val="20"/>
          <w:color w:val="auto"/>
        </w:rPr>
      </w:pPr>
      <w:r>
        <w:rPr>
          <w:rFonts w:ascii="Calibri" w:cs="Calibri" w:eastAsia="Calibri" w:hAnsi="Calibri"/>
          <w:sz w:val="18"/>
          <w:szCs w:val="18"/>
          <w:color w:val="auto"/>
        </w:rPr>
        <w:t>Any variable consideraton related to royaltes and sales-based milestones will be recognized when the related sales occur as these amounts have been determined to relate to the relevant transferred license and therefore are recognized as the related sales occur.</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We are required to pay a 3% royalty on all net sales of any product containing cabozantnib, including net sales by Ipsen.</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are responsible for funding cabozantnib-related development costs for those trials in existence at the tme we entered into the collaboraton agreement with Ipsen; global development costs for additonal trials are shared between the partes, with Ipsen reimbursing us for 35% of such costs, provided Ipsen chooses to opt into such trials. Ipsen has opted into and is co-funding certain clinical trials, including: CheckMate -9ER, COSMIC-021, COSMIC-311, COSMIC-312, CONTACT-01, CONTACT-02 and CABINET.</w:t>
      </w:r>
    </w:p>
    <w:p>
      <w:pPr>
        <w:spacing w:after="0" w:line="165" w:lineRule="exact"/>
        <w:rPr>
          <w:sz w:val="20"/>
          <w:szCs w:val="20"/>
          <w:color w:val="auto"/>
        </w:rPr>
      </w:pPr>
    </w:p>
    <w:p>
      <w:pPr>
        <w:ind w:right="100" w:firstLine="648"/>
        <w:spacing w:after="0" w:line="251" w:lineRule="auto"/>
        <w:rPr>
          <w:sz w:val="20"/>
          <w:szCs w:val="20"/>
          <w:color w:val="auto"/>
        </w:rPr>
      </w:pPr>
      <w:r>
        <w:rPr>
          <w:rFonts w:ascii="Calibri" w:cs="Calibri" w:eastAsia="Calibri" w:hAnsi="Calibri"/>
          <w:sz w:val="17"/>
          <w:szCs w:val="17"/>
          <w:color w:val="auto"/>
        </w:rPr>
        <w:t>We remain responsible for manufacturing and supply of cabozantnib for all development and commercializaton actvites under the collaboraton agreement. Relatedly, we entered into a supply agreement with Ipsen to supply fnished, labeled drug product to Ipsen for distributon in the territories outside of the U.S. and Japan for the term of the collaboraton agreement as well as a quality agreement that provides respectve quality responsibilites for the aforementoned supply. The product is supplied at our cost, as defned in the agreement. This agreement also requires us to maintain the global safety database for cabozantnib. To meet our obligatons to regulatory authorites for the reportng of safety data from territories outside of U.S. and Japan from sources other than our sponsored global clinical development trials, we rely on data collected and reported to us by Japan.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3" w:right="419"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Revenues from the Collaboraton</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Revenues under the collaboraton agreement with Ipsen were as follows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1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6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6"/>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4"/>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698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License revenues</w:t>
            </w: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317,026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135,818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133,732</w:t>
            </w:r>
          </w:p>
        </w:tc>
      </w:tr>
      <w:tr>
        <w:trPr>
          <w:trHeight w:val="223"/>
        </w:trPr>
        <w:tc>
          <w:tcPr>
            <w:tcW w:w="698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Collaboraton services revenues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9,151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34,860</w:t>
            </w:r>
          </w:p>
        </w:tc>
      </w:tr>
      <w:tr>
        <w:trPr>
          <w:trHeight w:val="248"/>
        </w:trPr>
        <w:tc>
          <w:tcPr>
            <w:tcW w:w="6980" w:type="dxa"/>
            <w:vAlign w:val="bottom"/>
            <w:tcBorders>
              <w:bottom w:val="single" w:sz="8" w:color="CCEEFF"/>
            </w:tcBorders>
            <w:shd w:val="clear" w:color="auto" w:fill="CCEEFF"/>
          </w:tcPr>
          <w:p>
            <w:pPr>
              <w:ind w:left="340"/>
              <w:spacing w:after="0" w:line="206" w:lineRule="exact"/>
              <w:rPr>
                <w:sz w:val="20"/>
                <w:szCs w:val="20"/>
                <w:color w:val="auto"/>
              </w:rPr>
            </w:pPr>
            <w:r>
              <w:rPr>
                <w:rFonts w:ascii="Calibri" w:cs="Calibri" w:eastAsia="Calibri" w:hAnsi="Calibri"/>
                <w:sz w:val="18"/>
                <w:szCs w:val="18"/>
                <w:color w:val="auto"/>
              </w:rPr>
              <w:t>Total collaboraton revenues</w:t>
            </w: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318,633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144,969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168,592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During the year ended December 31, 2024, we recognized $150.0 million in license revenues related to a commercial milestone from Ipsen upon its achievement of $600.0 million in cumulatve net sales of cabozantnib over four consecutve quarters in its related Ipsen license territory and $2.2 million in license revenues for a commercial milestone from Ipsen upon its achievement of CAD$30.0 million in cumulatve net sales of cabozantnib over four consecutve quarters in Canada. In additon, we recognized $10.8 million in license revenues and $0.6 million in collaboraton services revenues, in connecton with a $12.5 million regulatory milestone upon submission of a variaton applicaton to the EMA for evaluatng cabozantnib versus placebo in patents with either advanced pNET or advanced epNET who experienced progression afer prior systemic therapy.</w:t>
      </w:r>
    </w:p>
    <w:p>
      <w:pPr>
        <w:spacing w:after="0" w:line="16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As of December 31, 2024, $25.8 million of the transacton price was allocated to our research and development services performance obligaton that has not yet been satsfed.</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Takeda Collaboraton</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Descripton of the Collaboraton</w:t>
      </w:r>
    </w:p>
    <w:p>
      <w:pPr>
        <w:spacing w:after="0" w:line="163" w:lineRule="exact"/>
        <w:rPr>
          <w:sz w:val="20"/>
          <w:szCs w:val="20"/>
          <w:color w:val="auto"/>
        </w:rPr>
      </w:pPr>
    </w:p>
    <w:p>
      <w:pPr>
        <w:ind w:right="320" w:firstLine="648"/>
        <w:spacing w:after="0" w:line="254" w:lineRule="auto"/>
        <w:rPr>
          <w:sz w:val="20"/>
          <w:szCs w:val="20"/>
          <w:color w:val="auto"/>
        </w:rPr>
      </w:pPr>
      <w:r>
        <w:rPr>
          <w:rFonts w:ascii="Calibri" w:cs="Calibri" w:eastAsia="Calibri" w:hAnsi="Calibri"/>
          <w:sz w:val="17"/>
          <w:szCs w:val="17"/>
          <w:color w:val="auto"/>
        </w:rPr>
        <w:t>In January 2017, we entered into a collaboraton and license agreement with Takeda, which was subsequently amended, to, among other things, modify the amount of reimbursements we receive, for costs associated with our required pharmacovigilance actvites and milestones we are eligible to receive, as well as modify certain cost-sharing obligatons related to the Japan-specifc development costs associated with CONTACT-01 and CONTACT-02.</w:t>
      </w:r>
    </w:p>
    <w:p>
      <w:pPr>
        <w:spacing w:after="0" w:line="151"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Takeda is responsible for a porton of the costs associated with the cabozantnib development plan’s current and future trials, provided Takeda opts into such trials, and 100% of costs associated with the cabozantnib development actvites that are exclusively for the beneft of Japan. Takeda has opted into and is co-funding CheckMate -9ER, certain cohorts of COSMIC-021, CONTACT-01 and CONTACT-02. Under the collaboraton agreement, as amended, Takeda has exclusive commercializaton rights for current and potental future cabozantnib indicatons in Japan, and the partes have agreed to collaborate on the clinical development of cabozantnib in Japan. The operaton and strategic directon of the partes’ collaboraton is governed through a joint executve commitee and appropriate subcommitees.</w:t>
      </w:r>
    </w:p>
    <w:p>
      <w:pPr>
        <w:spacing w:after="0" w:line="167"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Unless earlier terminated, the collaboraton agreement has a term that contnues, on a product-by-product basis, untl the earlier of (1) two years afer frst generic entry with respect to such product in Japan or (2) the later of (A) the expiraton of patent claims related to cabozantnib and (B) the expiraton of regulatory exclusivity covering cabozantnib in Japan. The collaboraton agreement may be terminated for cause by either party based on uncured material breach by the other party, bankruptcy of the other party or for safety reasons. We may terminate the agreement if Takeda challenges or opposes any patent covered by the collaboraton agreement. Afer the commercial launch of cabozantnib in Japan, Takeda may terminate the collaboraton agreement upon twelve months’ prior writen notce following the third anniversary of the frst commercial sale of cabozantnib in Japan. Upon terminaton by either party, all licenses granted by us to Takeda will automatcally terminate, and the licenses granted by Takeda to us shall survive such terminaton and shall automatcally become worldwide.</w:t>
      </w:r>
    </w:p>
    <w:p>
      <w:pPr>
        <w:spacing w:after="0" w:line="164"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Consideraton under the Collaboraton</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In consideraton for the exclusive license and other rights contained in the collaboraton agreement, we received an upfront payment of</w:t>
      </w:r>
    </w:p>
    <w:p>
      <w:pPr>
        <w:spacing w:after="0" w:line="1" w:lineRule="exact"/>
        <w:rPr>
          <w:sz w:val="20"/>
          <w:szCs w:val="20"/>
          <w:color w:val="auto"/>
        </w:rPr>
      </w:pPr>
    </w:p>
    <w:p>
      <w:pPr>
        <w:jc w:val="both"/>
        <w:ind w:right="120"/>
        <w:spacing w:after="0" w:line="258" w:lineRule="auto"/>
        <w:rPr>
          <w:sz w:val="20"/>
          <w:szCs w:val="20"/>
          <w:color w:val="auto"/>
        </w:rPr>
      </w:pPr>
      <w:r>
        <w:rPr>
          <w:rFonts w:ascii="Calibri" w:cs="Calibri" w:eastAsia="Calibri" w:hAnsi="Calibri"/>
          <w:sz w:val="17"/>
          <w:szCs w:val="17"/>
          <w:color w:val="auto"/>
        </w:rPr>
        <w:t>$50.0 million from Takeda in 2017. As of December 31, 2024, we have also achieved regulatory, development and commercial milestones in the aggregate of $138.0 million since the incepton of the collaboraton agreement, including $11.0 million in milestones achieved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Under the collaboraton agreement, as amended, we are eligible to receive additonal regulatory and development milestone payments, without contractual limit, for additonal potental future indicatons. We are further eligible to receive commercial milestones, including milestone payments earned for the frst commercial sale of a product, of $108.0 million. We excluded these milestones from the transacton price as of December 31, 2024 because we determined such payments to be fully constrained under Topic 606 due to the fact that it was not probable that a signifcant reversal of cumulatve revenue would not occur, given the inherent uncertainty of success with these milestones. We will adjust the constraint applied to the variable consideraton at each reportng period as uncertain events are resolved or other changes in circumstances occur.</w:t>
      </w:r>
    </w:p>
    <w:p>
      <w:pPr>
        <w:spacing w:after="0" w:line="167"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We also receive royalty revenues on the net sales of cabozantnib in Japan. We are enttled to receive a tered royalty of 15% to 24% on the inital $300.0 million of net sales, and following this inital $300.0 million of net sales, we are then enttled to receive a tered royalty of 20% to 30% on annual net sales thereafer; these 20% to 30% royalty ters reset each calendar year. Any variable consideraton related to royaltes and sales-based milestones will be recognized when the related sales occur as these amounts have been determined to relate to the relevant transferred license and therefore are recognized as the related sales occur.</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We are required to pay a 3% royalty on all net sales of any product containing cabozantnib, including net sales by Takeda.</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Under the collaboraton agreement, we are responsible for the manufacturing and supply of cabozantnib for all development and commercializaton actvites under the collaboraton agreement. Relatedly, we entered into a clinical supply agreement covering the supply of cabozantnib to Takeda for the term of the collaboraton agreement, as well as a quality agreement that provides respectve quality responsibilites for the aforementoned supply. Furthermore, at the tme we entered into the collaboraton agreement, the partes also entered into a safety data exchange agreement, which defnes each partner’s responsibility for safety reportng. This agreement also requires us to maintain the global safety database for cabozantnib. To meet our obligatons to regulatory authorites for the reportng of safety data from Japan from sources other than our sponsored global clinical development trials, we rely on data collected and reported to us by Takeda.</w:t>
      </w:r>
    </w:p>
    <w:p>
      <w:pPr>
        <w:spacing w:after="0" w:line="163" w:lineRule="exact"/>
        <w:rPr>
          <w:sz w:val="20"/>
          <w:szCs w:val="20"/>
          <w:color w:val="auto"/>
        </w:rPr>
      </w:pPr>
    </w:p>
    <w:p>
      <w:pPr>
        <w:ind w:left="660"/>
        <w:spacing w:after="0"/>
        <w:rPr>
          <w:sz w:val="20"/>
          <w:szCs w:val="20"/>
          <w:color w:val="auto"/>
        </w:rPr>
      </w:pPr>
      <w:r>
        <w:rPr>
          <w:rFonts w:ascii="Calibri" w:cs="Calibri" w:eastAsia="Calibri" w:hAnsi="Calibri"/>
          <w:sz w:val="18"/>
          <w:szCs w:val="18"/>
          <w:i w:val="1"/>
          <w:iCs w:val="1"/>
          <w:color w:val="auto"/>
        </w:rPr>
        <w:t>Revenues from the Collaboraton</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Revenues under the collaboraton agreement with Takeda were as follows (in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30"/>
              <w:spacing w:after="0"/>
              <w:rPr>
                <w:sz w:val="20"/>
                <w:szCs w:val="20"/>
                <w:color w:val="auto"/>
              </w:rPr>
            </w:pPr>
            <w:r>
              <w:rPr>
                <w:rFonts w:ascii="Calibri" w:cs="Calibri" w:eastAsia="Calibri" w:hAnsi="Calibri"/>
                <w:sz w:val="16"/>
                <w:szCs w:val="16"/>
                <w:b w:val="1"/>
                <w:bCs w:val="1"/>
                <w:color w:val="auto"/>
              </w:rPr>
              <w:t>Year Ended December 31,</w:t>
            </w:r>
          </w:p>
        </w:tc>
        <w:tc>
          <w:tcPr>
            <w:tcW w:w="1020" w:type="dxa"/>
            <w:vAlign w:val="bottom"/>
          </w:tcPr>
          <w:p>
            <w:pPr>
              <w:spacing w:after="0"/>
              <w:rPr>
                <w:sz w:val="16"/>
                <w:szCs w:val="16"/>
                <w:color w:val="auto"/>
              </w:rPr>
            </w:pPr>
          </w:p>
        </w:tc>
      </w:tr>
      <w:tr>
        <w:trPr>
          <w:trHeight w:val="41"/>
        </w:trPr>
        <w:tc>
          <w:tcPr>
            <w:tcW w:w="70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5"/>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70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70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License revenues</w:t>
            </w: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20,671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11,335</w:t>
            </w:r>
          </w:p>
        </w:tc>
      </w:tr>
      <w:tr>
        <w:trPr>
          <w:trHeight w:val="223"/>
        </w:trPr>
        <w:tc>
          <w:tcPr>
            <w:tcW w:w="70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Collaboraton services revenues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8,455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13,543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12,903</w:t>
            </w:r>
          </w:p>
        </w:tc>
      </w:tr>
      <w:tr>
        <w:trPr>
          <w:trHeight w:val="248"/>
        </w:trPr>
        <w:tc>
          <w:tcPr>
            <w:tcW w:w="7000" w:type="dxa"/>
            <w:vAlign w:val="bottom"/>
            <w:tcBorders>
              <w:bottom w:val="single" w:sz="8" w:color="CCEEFF"/>
            </w:tcBorders>
            <w:shd w:val="clear" w:color="auto" w:fill="CCEEFF"/>
          </w:tcPr>
          <w:p>
            <w:pPr>
              <w:ind w:left="340"/>
              <w:spacing w:after="0" w:line="206" w:lineRule="exact"/>
              <w:rPr>
                <w:sz w:val="20"/>
                <w:szCs w:val="20"/>
                <w:color w:val="auto"/>
              </w:rPr>
            </w:pPr>
            <w:r>
              <w:rPr>
                <w:rFonts w:ascii="Calibri" w:cs="Calibri" w:eastAsia="Calibri" w:hAnsi="Calibri"/>
                <w:sz w:val="18"/>
                <w:szCs w:val="18"/>
                <w:color w:val="auto"/>
              </w:rPr>
              <w:t>Total collaboraton revenues</w:t>
            </w: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34,214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24,238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color w:val="auto"/>
        </w:rPr>
        <w:t>As of December 31, 2024, $14.7 million of the transacton price was allocated to our research and development services performance obligatons that have not yet been satsfed.</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Performance Obligatons and Transacton Prices for our Ipsen and Takeda Collaboratons</w:t>
      </w:r>
    </w:p>
    <w:p>
      <w:pPr>
        <w:spacing w:after="0" w:line="163"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There is one remaining performance obligaton for the Ipsen collaboraton agreement: the research and development services, which includes certain commited studies for the development of cabozantnib, pharmacovigilance services and partcipaton on various joint commitees (as defned in the specifc collaboraton agreements). As part of the original contract, we also had a performance obligaton associated with exclusive license for the commercializaton and further development of cabozantnib, which was transferred in 2016.</w:t>
      </w:r>
    </w:p>
    <w:p>
      <w:pPr>
        <w:spacing w:after="0" w:line="165" w:lineRule="exact"/>
        <w:rPr>
          <w:sz w:val="20"/>
          <w:szCs w:val="20"/>
          <w:color w:val="auto"/>
        </w:rPr>
      </w:pPr>
    </w:p>
    <w:p>
      <w:pPr>
        <w:ind w:right="420" w:firstLine="648"/>
        <w:spacing w:after="0" w:line="235" w:lineRule="auto"/>
        <w:rPr>
          <w:sz w:val="20"/>
          <w:szCs w:val="20"/>
          <w:color w:val="auto"/>
        </w:rPr>
      </w:pPr>
      <w:r>
        <w:rPr>
          <w:rFonts w:ascii="Calibri" w:cs="Calibri" w:eastAsia="Calibri" w:hAnsi="Calibri"/>
          <w:sz w:val="18"/>
          <w:szCs w:val="18"/>
          <w:color w:val="auto"/>
        </w:rPr>
        <w:t>There are two remaining performance obligatons for the Takeda collaboraton agreement: (1) the research and development services, which includes certain commited studies for the development of cabozantnib, pharmacovigilance services and partcipaton on various joint commitees (as defned in the specifc collaboraton agreements) and (2) the research and development services associated with CONTACT-01, CONTACT-02, and certain cohorts of COSMIC-021 studies. As part of the original contract, we had a performance obligaton associated with the exclusive license for the commercializaton and further development of cabozantnib, which was transferred in 2017.</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We have allocated the transacton price for each of these collaboratons to the originally identfed performance obligatons based on our best estmate of their relatve standalone selling price. For the licenses, the estmate of the relatve standalone selling price was determined using a discounted cash fow valuaton utlizing forecasted revenues and costs. For research and development services the estmate of the relatve standalone selling price was determined using an adjusted market assessment approach that relies on internal and external costs and market factors.</w:t>
      </w:r>
    </w:p>
    <w:p>
      <w:pPr>
        <w:spacing w:after="0" w:line="165"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The porton of the transacton price allocated to our license performance obligaton is recorded immediately as our license represents functonal intellectual property that was transferred at a point in tme. The porton of the transacton price allocated to our research and development services performance obligaton is being recognized as revenue using the inputs method based on our internal development projected cost estmates through the current estmated patent expiraton of cabozantnib in the European Union for the Ipsen collaboraton and Japan for the Takeda collaboraton, both of which are early 2030.</w:t>
      </w:r>
    </w:p>
    <w:p>
      <w:pPr>
        <w:spacing w:after="0" w:line="166"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We adjust the constraint applied to the variable consideraton for the collaboraton agreements in each reportng period as uncertain events are resolved or other changes in circumstances occur and we allocate those changes in the transacton price between our performance obligatons. During the years ended December 31, 2024, 2023 and 2022, the transacton price of the Ipsen and Takeda collaboraton agreements increased as a result of the achievement of various milestones, and the reimbursements of research and development services related to commited and opt-in studies. We further updated the transacton price based upon the actual research and development services performed during the period and changes in our estmated reimbursements for our future research and development services. The porton of the increase in transacton price that was allocated to the previously satsfed performance obligatons for the transfer of an intellectual property license was recognized during the period and the porton allocated to research and development services will be recognized in future periods as those services are delivered through early 2030. As of December 31, 2024, variable consideraton related to the remaining unearned regulatory and development milestones for both agreements remained constrained due to the fact that it was not probable that a signifcant reversal of cumulatve revenue would not occur.</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Cabozantnib Development Collaboratons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BMS</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February 2017, we entered into a clinical trial collaboraton agreement with BMS for the purpose of exploring the therapeutc potental of cabozantnib in combinaton with BMS’s immune checkpoint inhibitors (ICIs), nivolumab and/or ipilimumab, to treat a variety of types of cancer. As part of the collaboraton, we are evaluatng the triplet combinaton of cabozantnib, nivolumab and ipilimumab as a treatment opton for RCC in the COSMIC-313 trial. Under the collaboraton agreement with BMS, we may also evaluate these combinatons in other phase 3 pivotal trials in various other tumor types.</w:t>
      </w:r>
    </w:p>
    <w:p>
      <w:pPr>
        <w:spacing w:after="0" w:line="165"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Under the collaboraton agreement with BMS, as amended, each party granted to the other a non-exclusive, worldwide (within the collaboraton territory as defned in the collaboraton agreement and its supplemental agreements), non-transferable, royalty-free license to use the other party’s compounds in the conduct of each clinical trial. The partes’ eforts are governed through a joint development commitee established to guide and oversee the collaboraton’s operaton. Each trial is conducted under a combinaton IND applicaton, unless otherwise required by a regulatory authority. Each party is responsible for supplying fnished drug product for the applicable clinical trial, and responsibility for the payment of costs for each such trial will be determined on a trial-by-trial basis. Unless earlier terminated, the collaboraton agreement will remain in efect untl the completon of all clinical trials under the collaboraton, all related trial data has been delivered to both partes and the completon of any then agreed upon analysis. The collaboraton agreement may be terminated for cause by either party based on uncured material breach by the other party, bankruptcy of the other party or for safety reasons. Upon terminaton by either party, the licenses granted to each party to conduct a combined therapy trial will terminate.</w:t>
      </w:r>
    </w:p>
    <w:p>
      <w:pPr>
        <w:spacing w:after="0" w:line="165"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F. Hofmann-La Roche Ltd. (Roche) Collaboraton</w:t>
      </w:r>
    </w:p>
    <w:p>
      <w:pPr>
        <w:spacing w:after="0" w:line="163"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In February 2017, we entered into a master clinical supply agreement with Roche for the purpose of evaluatng cabozantnib and Roche’s ICI, atezolizumab, in locally advanced or metastatc solid tumors. Under this agreement with Roche, in June 2017, we initated COSMIC-021, a phase 1b dose escalaton study that is evaluatng the safety and tolerability of cabozantnib in combinaton with Roche’s atezolizumab in patents with locally advanced or metastatc solid tumors, and in December 2018, we initated COSMIC-312, a multcenter, randomized, controlled phase 3 pivotal trial evaluatng cabozantnib in combinaton with atezolizumab versus sorafenib in previously untreated advanced HCC. We are the sponsor of both trials, and Roche is providing atezolizumab free of charge.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In December 2019, we entered into a joint clinical research agreement with Roche for the purpose of further evaluatng the combinaton of cabozantnib with atezolizumab in patents with locally advanced or metastatc solid tumors, including in the phase 3 pivotal clinical trials in advanced non-small cell lung cancer (CONTACT-01), metastatc castraton-resistant prostate cancer (CONTACT-02) and RCC (CONTACT-03). If a party to the joint clinical research agreement proposes any additonal combined therapy trials beyond these phase 3 pivotal trials, the joint clinical research agreement provides that such proposing party must notfy the other party and that if agreed to, any such additonal combined therapy trial will become part of the collaboraton, or if not agreed to, the proposing party may conduct such additonal combined therapy trial independently, subject to specifed restrictons set forth in the joint clinical research agreement.</w:t>
      </w:r>
    </w:p>
    <w:p>
      <w:pPr>
        <w:spacing w:after="0" w:line="168" w:lineRule="exact"/>
        <w:rPr>
          <w:sz w:val="20"/>
          <w:szCs w:val="20"/>
          <w:color w:val="auto"/>
        </w:rPr>
      </w:pPr>
    </w:p>
    <w:p>
      <w:pPr>
        <w:ind w:right="40" w:firstLine="648"/>
        <w:spacing w:after="0" w:line="255" w:lineRule="auto"/>
        <w:rPr>
          <w:sz w:val="20"/>
          <w:szCs w:val="20"/>
          <w:color w:val="auto"/>
        </w:rPr>
      </w:pPr>
      <w:r>
        <w:rPr>
          <w:rFonts w:ascii="Calibri" w:cs="Calibri" w:eastAsia="Calibri" w:hAnsi="Calibri"/>
          <w:sz w:val="18"/>
          <w:szCs w:val="18"/>
          <w:color w:val="auto"/>
        </w:rPr>
        <w:t>In July 2020, a supplement to the joint clinical research agreement was signed amongst us, Roche and Takeda due to Takeda optng into fund the combined therapy trial of CONTACT-01 sponsored by Roche. Chugai was added as an afliate of Roche. All partes including Chugai conduct combined therapy trials in Japan upon the terms of the joint clinical research agreement.</w:t>
      </w:r>
    </w:p>
    <w:p>
      <w:pPr>
        <w:spacing w:after="0" w:line="150"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Under the joint clinical research agreement, each party granted to the other a non-exclusive, worldwide (excluding, in our case, territory already the subject of a license by us to Takeda), non-transferable, royalty-free license, with a right to sublicense (subject to limitatons), to use the other party’s intellectual property and compounds solely as necessary for the party to perform its obligatons under the joint clinical research agreement. The partes’ eforts will be governed through a joint steering commitee established to guide and oversee the collaboraton and the conduct of the combined therapy trials. Each party will be responsible for providing clinical supply of their drug for all combined therapy trials, and the cost of the supply will be borne by such party. The clinical trial expenses for each combined therapy trial agreed to be conducted jointly under the joint clinical research agreement will be shared equally between the partes, and the clinical trial expenses for each additonal combined therapy trial not agreed to be conducted jointly under the joint clinical research agreement will be borne by the proposing party, except that the cost of clinical supply for all combined therapy trials will be borne by the party that owns the applicable product.</w:t>
      </w:r>
    </w:p>
    <w:p>
      <w:pPr>
        <w:spacing w:after="0" w:line="17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We determined the contract is within the scope of Topic 808 as it involves joint operatng actvites where both partes have actve partcipaton in the arrangement and are exposed to signifcant risks and rewards. Payments between us and Roche under this arrangement are not subject to other accountng literature. Payments due to Roche for our share of clinical trial costs incurred by Roche will be recorded as research and development expense and payments due from Roche for their share of clinical trial costs incurred by us will be recorded as a reducton of research and development expense.</w:t>
      </w:r>
    </w:p>
    <w:p>
      <w:pPr>
        <w:spacing w:after="0" w:line="165"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Unless earlier terminated, the joint clinical research agreement provides that it will remain in efect untl the completon of all combined therapy trials under the collaboraton, the delivery of all related trial data to both partes, and the completon of any then agreed-upon additonal analyses. The joint clinical research agreement may be terminated for cause by either party based on any uncured material breach by the other party, bankruptcy of the other party or for safety reasons. Upon terminaton by either party, the licenses granted to each party will terminate upon completon of any ongoing actvites under the joint clinical research agreement.</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Royalty Pharma</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October 2002, we established a product development and commercializaton collaboraton agreement with GlaxoSmithKline (GSK), that required us to pay a 3% royalty to GSK on the worldwide net sales of any product containing cabozantnib sold by us and our collaboraton partners. Efectve January 1, 2021, Royalty Pharma plc (Royalty Pharma) acquired from GSK all rights, ttle and interest in royaltes on net product sales containing cabozantnib for non-U.S. markets for the full term of the royalty and for the U.S. market through September 2026, afer which tme U.S. royaltes will revert back to GSK. Royalty fees earned by Royalty Pharma in connecton with our sales of cabozantnib are included in cost of goods sold and as a reducton of collaboraton services revenues for sales by our collaboraton partners. Such royalty fees earned by Royalty Pharma were $75.5 million, $68.0 million and $58.2 million during the years ended December 31, 2024, 2023 and 2022, respectvely.</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Collaboratons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Genentech Collaboraton</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We have out-licensed to Genentech under a worldwide collaboraton agreement, the development and commercializaton of cobimetnib, under the brand name COTELLIC. The terms of the collaboraton agreement require that we share in the profts and losses received or incurred in connecton with the commercializaton of COTELLIC in the U.S. 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color w:val="auto"/>
        </w:rPr>
        <w:t>additon to our proft share in the U.S., we are enttled to low double-digit royaltes on net sales of COTELLIC outside the U.S.</w:t>
      </w:r>
    </w:p>
    <w:p>
      <w:pPr>
        <w:spacing w:after="0" w:line="163" w:lineRule="exact"/>
        <w:rPr>
          <w:sz w:val="20"/>
          <w:szCs w:val="20"/>
          <w:color w:val="auto"/>
        </w:rPr>
      </w:pPr>
    </w:p>
    <w:p>
      <w:pPr>
        <w:ind w:right="180" w:firstLine="648"/>
        <w:spacing w:after="0" w:line="235" w:lineRule="auto"/>
        <w:rPr>
          <w:sz w:val="20"/>
          <w:szCs w:val="20"/>
          <w:color w:val="auto"/>
        </w:rPr>
      </w:pPr>
      <w:r>
        <w:rPr>
          <w:rFonts w:ascii="Calibri" w:cs="Calibri" w:eastAsia="Calibri" w:hAnsi="Calibri"/>
          <w:sz w:val="18"/>
          <w:szCs w:val="18"/>
          <w:color w:val="auto"/>
        </w:rPr>
        <w:t>During the years ended December 31, 2024, 2023 and 2022, we recognized $13.6 million, $16.9 million and $12.5 million, in revenues from profts and losses on U.S commercializaton and royaltes on ex-U.S. sales under the collaboraton agreement with Genentech and are included within license revenues on our Consolidated Statements of Income.</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Merck Collaboraton</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October 2024, we entered into a clinical development collaboraton with MSD Internatonal Business GmbH, known as Merck within the United States and Canada (Merck), to evaluate zanzalintnib in combinaton with KEYTRUDA® (pembrolizumab) in SCCHN through our ongoing STELLAR-305 phase 3 pivotal trial, as well as in combinaton with WELIREG® (belzutfan), Merck’s oral hypoxia-inducible factor-2α inhibitor, in a phase 1/2 trial and two phase 3 pivotal trials for the treatment of patents with renal cell carcinoma. Under the terms of the collaboraton, Merck will supply KEYTRUDA for our ongoing phase 3 STELLAR-305 trial in SCCHN. In additon, Merck will sponsor a phase 1/2 trial and two phase 3 pivotal trials in RCC; Merck will fund one of these phase 3 studies, and we will co-fund the phase 1/2 trial and the other phase 3 study, as well as supply zanzalintnib and cabozantnib. We maintain all global commercial and marketng rights to zanzalintnib. We determined the contract is within the scope of Topic 808 as it involves joint operatng actvites where both partes have actve partcipaton in the arrangement and are exposed to signifcant risks and rewards. Payments between us and Merck under this arrangement are not subject to other accountng literature. Payments due to Merck for our share of clinical trial costs incurred by Merck will be recorded as research and development expenses within the Consolidated Statements of Income.</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Collaboratons, In-Licensing Arrangements and Other Business Development Actvites</w:t>
      </w:r>
    </w:p>
    <w:p>
      <w:pPr>
        <w:spacing w:after="0" w:line="163"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We enter into collaboratve arrangements with other pharmaceutcal or biotechnology companies to develop and commercialize oncology assets or other intellectual property. Our research collaboratons and in-licensing arrangements are intended to enhance our early-stage pipeline and expand our ability to discover, develop and commercialize novel therapies with the goal of providing new treatment optons for cancer patents and their physicians. Our research collaboratons, in-licensing arrangements and other strategic transactons generally include upfront payments for the purchase or in-licensing of intellectual property, development, regulatory and commercial milestone payments and royalty payments, in each case contngent upon the occurrence of certain future events linked to the success of the asset in development. Certain of our research collaboratons provide us exclusive optons that give us the right to license programs or acquire the intellectual property developed under the research collaboratons for further discovery and development. When we decide to exercise the optons, we are required to pay an exercise fee and then assume the responsibilites for all subsequent development, manufacturing and commercializaton.</w:t>
      </w:r>
    </w:p>
    <w:p>
      <w:pPr>
        <w:spacing w:after="0" w:line="170"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As part of the 2024 Restructuring Plan (as defned below), we have terminated certain of our in-licensing collaboraton arrangements, including Aurigene Oncology, Ltd., BioInvent Internatonal AB, Cybrexa Therapeutcs LLC, NBE-Therapeutcs AG and STORM Therapeutcs LTD. The terminaton of these agreements was efectve in April 2024. See “Note 13. Restructuring” for additonal informaton. During the year ended December 31, 2024, we also discontnued certain programs including the development of in-process research and development technology assets acquired from GamaMabs Pharma SA, and we terminated a separate license agreement with Catalent, previously entered into in November 2022, for three target programs.</w:t>
      </w:r>
    </w:p>
    <w:p>
      <w:pPr>
        <w:spacing w:after="0" w:line="166" w:lineRule="exact"/>
        <w:rPr>
          <w:sz w:val="20"/>
          <w:szCs w:val="20"/>
          <w:color w:val="auto"/>
        </w:rPr>
      </w:pPr>
    </w:p>
    <w:p>
      <w:pPr>
        <w:jc w:val="both"/>
        <w:ind w:right="320" w:firstLine="648"/>
        <w:spacing w:after="0" w:line="235" w:lineRule="auto"/>
        <w:rPr>
          <w:sz w:val="20"/>
          <w:szCs w:val="20"/>
          <w:color w:val="auto"/>
        </w:rPr>
      </w:pPr>
      <w:r>
        <w:rPr>
          <w:rFonts w:ascii="Calibri" w:cs="Calibri" w:eastAsia="Calibri" w:hAnsi="Calibri"/>
          <w:sz w:val="18"/>
          <w:szCs w:val="18"/>
          <w:color w:val="auto"/>
        </w:rPr>
        <w:t>During the years ended December 31, 2024, 2023 and 2022, we recognized $69.2 million, $173.0 million and $203.9 million, respectvely, within research and development expenses on the Consolidated Statements of Income, primarily related to upfront payments for the purchase or in-licensing of intellectual property, research and development funding and development milestone payments related to costs of intellectual property that have not yet reached technological feasibility and other fees.</w:t>
      </w:r>
    </w:p>
    <w:p>
      <w:pPr>
        <w:spacing w:after="0" w:line="165"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As of December 31, 2024, in conjuncton with these collaboratve in-licensing arrangements and asset purchase agreements, we are subject to potental future development milestone payments of up to $441.5 million, regulatory milestone payments of up to $278.0 million, and commercial milestone payments of up to $2.4 billion, each in the aggregate per product or target, as well as royaltes on future net sales of products.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5. CASH AND MARKETABLE SECURITIES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Cash Equivalents and Marketable Securites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Cash, cash equivalents and marketable securites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7"/>
          </w:tcPr>
          <w:p>
            <w:pPr>
              <w:ind w:left="460"/>
              <w:spacing w:after="0"/>
              <w:rPr>
                <w:sz w:val="20"/>
                <w:szCs w:val="20"/>
                <w:color w:val="auto"/>
              </w:rPr>
            </w:pPr>
            <w:r>
              <w:rPr>
                <w:rFonts w:ascii="Calibri" w:cs="Calibri" w:eastAsia="Calibri" w:hAnsi="Calibri"/>
                <w:sz w:val="16"/>
                <w:szCs w:val="16"/>
                <w:b w:val="1"/>
                <w:bCs w:val="1"/>
                <w:color w:val="auto"/>
              </w:rPr>
              <w:t>December 31, 2024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4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51"/>
        </w:trPr>
        <w:tc>
          <w:tcPr>
            <w:tcW w:w="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jc w:val="center"/>
              <w:spacing w:after="0" w:line="150" w:lineRule="exact"/>
              <w:rPr>
                <w:sz w:val="20"/>
                <w:szCs w:val="20"/>
                <w:color w:val="auto"/>
              </w:rPr>
            </w:pPr>
            <w:r>
              <w:rPr>
                <w:rFonts w:ascii="Calibri" w:cs="Calibri" w:eastAsia="Calibri" w:hAnsi="Calibri"/>
                <w:sz w:val="16"/>
                <w:szCs w:val="16"/>
                <w:b w:val="1"/>
                <w:bCs w:val="1"/>
                <w:color w:val="auto"/>
              </w:rPr>
              <w:t>Gross 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jc w:val="center"/>
              <w:ind w:right="20"/>
              <w:spacing w:after="0" w:line="150" w:lineRule="exact"/>
              <w:rPr>
                <w:sz w:val="20"/>
                <w:szCs w:val="20"/>
                <w:color w:val="auto"/>
              </w:rPr>
            </w:pPr>
            <w:r>
              <w:rPr>
                <w:rFonts w:ascii="Calibri" w:cs="Calibri" w:eastAsia="Calibri" w:hAnsi="Calibri"/>
                <w:sz w:val="16"/>
                <w:szCs w:val="16"/>
                <w:b w:val="1"/>
                <w:bCs w:val="1"/>
                <w:color w:val="auto"/>
                <w:w w:val="99"/>
              </w:rPr>
              <w:t>Gross 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Amortzed Cost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rPr>
              <w:t>Gains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rPr>
              <w:t>Losses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20"/>
              <w:spacing w:after="0" w:line="193" w:lineRule="exact"/>
              <w:rPr>
                <w:sz w:val="20"/>
                <w:szCs w:val="20"/>
                <w:color w:val="auto"/>
              </w:rPr>
            </w:pPr>
            <w:r>
              <w:rPr>
                <w:rFonts w:ascii="Calibri" w:cs="Calibri" w:eastAsia="Calibri" w:hAnsi="Calibri"/>
                <w:sz w:val="16"/>
                <w:szCs w:val="16"/>
                <w:b w:val="1"/>
                <w:bCs w:val="1"/>
                <w:color w:val="auto"/>
              </w:rPr>
              <w:t>Fair Value</w:t>
            </w:r>
          </w:p>
        </w:tc>
      </w:tr>
      <w:tr>
        <w:trPr>
          <w:trHeight w:val="28"/>
        </w:trPr>
        <w:tc>
          <w:tcPr>
            <w:tcW w:w="4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52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Debt securites available-for-sale: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520" w:type="dxa"/>
            <w:vAlign w:val="bottom"/>
          </w:tcPr>
          <w:p>
            <w:pPr>
              <w:ind w:left="200"/>
              <w:spacing w:after="0" w:line="215" w:lineRule="exact"/>
              <w:rPr>
                <w:sz w:val="20"/>
                <w:szCs w:val="20"/>
                <w:color w:val="auto"/>
              </w:rPr>
            </w:pPr>
            <w:r>
              <w:rPr>
                <w:rFonts w:ascii="Calibri" w:cs="Calibri" w:eastAsia="Calibri" w:hAnsi="Calibri"/>
                <w:sz w:val="18"/>
                <w:szCs w:val="18"/>
                <w:color w:val="auto"/>
              </w:rPr>
              <w:t>Commercial paper</w:t>
            </w:r>
          </w:p>
        </w:tc>
        <w:tc>
          <w:tcPr>
            <w:tcW w:w="1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172,891</w:t>
            </w:r>
          </w:p>
        </w:tc>
        <w:tc>
          <w:tcPr>
            <w:tcW w:w="40" w:type="dxa"/>
            <w:vAlign w:val="bottom"/>
          </w:tcPr>
          <w:p>
            <w:pPr>
              <w:spacing w:after="0"/>
              <w:rPr>
                <w:sz w:val="19"/>
                <w:szCs w:val="19"/>
                <w:color w:val="auto"/>
              </w:rPr>
            </w:pPr>
          </w:p>
        </w:tc>
        <w:tc>
          <w:tcPr>
            <w:tcW w:w="360" w:type="dxa"/>
            <w:vAlign w:val="bottom"/>
            <w:gridSpan w:val="3"/>
          </w:tcPr>
          <w:p>
            <w:pPr>
              <w:jc w:val="right"/>
              <w:ind w:right="76"/>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3"/>
          </w:tcPr>
          <w:p>
            <w:pPr>
              <w:jc w:val="right"/>
              <w:ind w:right="76"/>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gridSpan w:val="2"/>
          </w:tcPr>
          <w:p>
            <w:pPr>
              <w:ind w:left="84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gridSpan w:val="3"/>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172,891</w:t>
            </w: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5520" w:type="dxa"/>
            <w:vAlign w:val="bottom"/>
            <w:shd w:val="clear" w:color="auto" w:fill="CCEEFF"/>
          </w:tcPr>
          <w:p>
            <w:pPr>
              <w:ind w:left="200"/>
              <w:spacing w:after="0"/>
              <w:rPr>
                <w:sz w:val="20"/>
                <w:szCs w:val="20"/>
                <w:color w:val="auto"/>
              </w:rPr>
            </w:pPr>
            <w:r>
              <w:rPr>
                <w:rFonts w:ascii="Calibri" w:cs="Calibri" w:eastAsia="Calibri" w:hAnsi="Calibri"/>
                <w:sz w:val="18"/>
                <w:szCs w:val="18"/>
                <w:color w:val="auto"/>
              </w:rPr>
              <w:t>Corporate bonds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1,012,035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(2,167)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1,011,366</w:t>
            </w:r>
          </w:p>
        </w:tc>
        <w:tc>
          <w:tcPr>
            <w:tcW w:w="20" w:type="dxa"/>
            <w:vAlign w:val="bottom"/>
            <w:shd w:val="clear" w:color="auto" w:fill="CCEEFF"/>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5520" w:type="dxa"/>
            <w:vAlign w:val="bottom"/>
          </w:tcPr>
          <w:p>
            <w:pPr>
              <w:ind w:left="200"/>
              <w:spacing w:after="0" w:line="215" w:lineRule="exact"/>
              <w:rPr>
                <w:sz w:val="20"/>
                <w:szCs w:val="20"/>
                <w:color w:val="auto"/>
              </w:rPr>
            </w:pPr>
            <w:r>
              <w:rPr>
                <w:rFonts w:ascii="Calibri" w:cs="Calibri" w:eastAsia="Calibri" w:hAnsi="Calibri"/>
                <w:sz w:val="18"/>
                <w:szCs w:val="18"/>
                <w:color w:val="auto"/>
              </w:rPr>
              <w:t>U.S. Treasury and government-sponsored enterprises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339,126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338,393</w:t>
            </w: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5520" w:type="dxa"/>
            <w:vAlign w:val="bottom"/>
            <w:shd w:val="clear" w:color="auto" w:fill="CCEEFF"/>
          </w:tcPr>
          <w:p>
            <w:pPr>
              <w:ind w:left="160"/>
              <w:spacing w:after="0"/>
              <w:rPr>
                <w:sz w:val="20"/>
                <w:szCs w:val="20"/>
                <w:color w:val="auto"/>
              </w:rPr>
            </w:pPr>
            <w:r>
              <w:rPr>
                <w:rFonts w:ascii="Calibri" w:cs="Calibri" w:eastAsia="Calibri" w:hAnsi="Calibri"/>
                <w:sz w:val="18"/>
                <w:szCs w:val="18"/>
                <w:color w:val="auto"/>
              </w:rPr>
              <w:t>Municipal bonds</w:t>
            </w: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2,990</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ind w:left="840"/>
              <w:spacing w:after="0"/>
              <w:rPr>
                <w:sz w:val="20"/>
                <w:szCs w:val="20"/>
                <w:color w:val="auto"/>
              </w:rPr>
            </w:pPr>
            <w:r>
              <w:rPr>
                <w:rFonts w:ascii="Calibri" w:cs="Calibri" w:eastAsia="Calibri" w:hAnsi="Calibri"/>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3,001</w:t>
            </w:r>
          </w:p>
        </w:tc>
        <w:tc>
          <w:tcPr>
            <w:tcW w:w="20" w:type="dxa"/>
            <w:vAlign w:val="bottom"/>
            <w:tcBorders>
              <w:bottom w:val="single" w:sz="8" w:color="auto"/>
            </w:tcBorders>
            <w:shd w:val="clear" w:color="auto" w:fill="CCEEFF"/>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5520" w:type="dxa"/>
            <w:vAlign w:val="bottom"/>
          </w:tcPr>
          <w:p>
            <w:pPr>
              <w:ind w:left="460"/>
              <w:spacing w:after="0" w:line="199" w:lineRule="exact"/>
              <w:rPr>
                <w:sz w:val="20"/>
                <w:szCs w:val="20"/>
                <w:color w:val="auto"/>
              </w:rPr>
            </w:pPr>
            <w:r>
              <w:rPr>
                <w:rFonts w:ascii="Calibri" w:cs="Calibri" w:eastAsia="Calibri" w:hAnsi="Calibri"/>
                <w:sz w:val="18"/>
                <w:szCs w:val="18"/>
                <w:color w:val="auto"/>
              </w:rPr>
              <w:t>Total debt securites available-for-sale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1,527,042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1,735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(3,126)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1,525,651</w:t>
            </w:r>
          </w:p>
        </w:tc>
        <w:tc>
          <w:tcPr>
            <w:tcW w:w="2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Calibri" w:cs="Calibri" w:eastAsia="Calibri" w:hAnsi="Calibri"/>
                <w:sz w:val="18"/>
                <w:szCs w:val="18"/>
                <w:color w:val="auto"/>
              </w:rPr>
              <w:t>Money market funds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145,690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840"/>
              <w:spacing w:after="0"/>
              <w:rPr>
                <w:sz w:val="20"/>
                <w:szCs w:val="20"/>
                <w:color w:val="auto"/>
              </w:rPr>
            </w:pPr>
            <w:r>
              <w:rPr>
                <w:rFonts w:ascii="Calibri" w:cs="Calibri" w:eastAsia="Calibri" w:hAnsi="Calibri"/>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145,690</w:t>
            </w:r>
          </w:p>
        </w:tc>
        <w:tc>
          <w:tcPr>
            <w:tcW w:w="20" w:type="dxa"/>
            <w:vAlign w:val="bottom"/>
            <w:shd w:val="clear" w:color="auto" w:fill="CCEEFF"/>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552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Certfcates of deposit</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77,226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840"/>
              <w:spacing w:after="0" w:line="215" w:lineRule="exact"/>
              <w:rPr>
                <w:sz w:val="20"/>
                <w:szCs w:val="20"/>
                <w:color w:val="auto"/>
              </w:rPr>
            </w:pPr>
            <w:r>
              <w:rPr>
                <w:rFonts w:ascii="Calibri" w:cs="Calibri" w:eastAsia="Calibri" w:hAnsi="Calibri"/>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77,226</w:t>
            </w:r>
          </w:p>
        </w:tc>
        <w:tc>
          <w:tcPr>
            <w:tcW w:w="20" w:type="dxa"/>
            <w:vAlign w:val="bottom"/>
            <w:tcBorders>
              <w:bottom w:val="single" w:sz="8" w:color="auto"/>
            </w:tcBorders>
          </w:tcPr>
          <w:p>
            <w:pPr>
              <w:spacing w:after="0"/>
              <w:rPr>
                <w:sz w:val="19"/>
                <w:szCs w:val="19"/>
                <w:color w:val="auto"/>
              </w:rPr>
            </w:pPr>
          </w:p>
        </w:tc>
      </w:tr>
      <w:tr>
        <w:trPr>
          <w:trHeight w:val="255"/>
        </w:trPr>
        <w:tc>
          <w:tcPr>
            <w:tcW w:w="4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color w:val="auto"/>
              </w:rPr>
              <w:t>Total cash, cash equivalents and marketable securites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1,749,958</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1,735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(3,126)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1,748,567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7"/>
          </w:tcPr>
          <w:p>
            <w:pPr>
              <w:ind w:left="440"/>
              <w:spacing w:after="0"/>
              <w:rPr>
                <w:sz w:val="20"/>
                <w:szCs w:val="20"/>
                <w:color w:val="auto"/>
              </w:rPr>
            </w:pPr>
            <w:r>
              <w:rPr>
                <w:rFonts w:ascii="Calibri" w:cs="Calibri" w:eastAsia="Calibri" w:hAnsi="Calibri"/>
                <w:sz w:val="16"/>
                <w:szCs w:val="16"/>
                <w:b w:val="1"/>
                <w:bCs w:val="1"/>
                <w:color w:val="auto"/>
              </w:rPr>
              <w:t>December 31,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4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51"/>
        </w:trPr>
        <w:tc>
          <w:tcPr>
            <w:tcW w:w="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jc w:val="center"/>
              <w:ind w:right="40"/>
              <w:spacing w:after="0" w:line="150" w:lineRule="exact"/>
              <w:rPr>
                <w:sz w:val="20"/>
                <w:szCs w:val="20"/>
                <w:color w:val="auto"/>
              </w:rPr>
            </w:pPr>
            <w:r>
              <w:rPr>
                <w:rFonts w:ascii="Calibri" w:cs="Calibri" w:eastAsia="Calibri" w:hAnsi="Calibri"/>
                <w:sz w:val="16"/>
                <w:szCs w:val="16"/>
                <w:b w:val="1"/>
                <w:bCs w:val="1"/>
                <w:color w:val="auto"/>
              </w:rPr>
              <w:t>Gross 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jc w:val="center"/>
              <w:ind w:right="60"/>
              <w:spacing w:after="0" w:line="150" w:lineRule="exact"/>
              <w:rPr>
                <w:sz w:val="20"/>
                <w:szCs w:val="20"/>
                <w:color w:val="auto"/>
              </w:rPr>
            </w:pPr>
            <w:r>
              <w:rPr>
                <w:rFonts w:ascii="Calibri" w:cs="Calibri" w:eastAsia="Calibri" w:hAnsi="Calibri"/>
                <w:sz w:val="16"/>
                <w:szCs w:val="16"/>
                <w:b w:val="1"/>
                <w:bCs w:val="1"/>
                <w:color w:val="auto"/>
                <w:w w:val="99"/>
              </w:rPr>
              <w:t>Gross 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3" w:lineRule="exact"/>
              <w:rPr>
                <w:sz w:val="20"/>
                <w:szCs w:val="20"/>
                <w:color w:val="auto"/>
              </w:rPr>
            </w:pPr>
            <w:r>
              <w:rPr>
                <w:rFonts w:ascii="Calibri" w:cs="Calibri" w:eastAsia="Calibri" w:hAnsi="Calibri"/>
                <w:sz w:val="16"/>
                <w:szCs w:val="16"/>
                <w:b w:val="1"/>
                <w:bCs w:val="1"/>
                <w:color w:val="auto"/>
              </w:rPr>
              <w:t>Amortzed Cost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20"/>
              <w:spacing w:after="0" w:line="193" w:lineRule="exact"/>
              <w:rPr>
                <w:sz w:val="20"/>
                <w:szCs w:val="20"/>
                <w:color w:val="auto"/>
              </w:rPr>
            </w:pPr>
            <w:r>
              <w:rPr>
                <w:rFonts w:ascii="Calibri" w:cs="Calibri" w:eastAsia="Calibri" w:hAnsi="Calibri"/>
                <w:sz w:val="16"/>
                <w:szCs w:val="16"/>
                <w:b w:val="1"/>
                <w:bCs w:val="1"/>
                <w:color w:val="auto"/>
              </w:rPr>
              <w:t>Gains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320"/>
              <w:spacing w:after="0" w:line="193" w:lineRule="exact"/>
              <w:rPr>
                <w:sz w:val="20"/>
                <w:szCs w:val="20"/>
                <w:color w:val="auto"/>
              </w:rPr>
            </w:pPr>
            <w:r>
              <w:rPr>
                <w:rFonts w:ascii="Calibri" w:cs="Calibri" w:eastAsia="Calibri" w:hAnsi="Calibri"/>
                <w:sz w:val="16"/>
                <w:szCs w:val="16"/>
                <w:b w:val="1"/>
                <w:bCs w:val="1"/>
                <w:color w:val="auto"/>
              </w:rPr>
              <w:t>Losses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00"/>
              <w:spacing w:after="0" w:line="193" w:lineRule="exact"/>
              <w:rPr>
                <w:sz w:val="20"/>
                <w:szCs w:val="20"/>
                <w:color w:val="auto"/>
              </w:rPr>
            </w:pPr>
            <w:r>
              <w:rPr>
                <w:rFonts w:ascii="Calibri" w:cs="Calibri" w:eastAsia="Calibri" w:hAnsi="Calibri"/>
                <w:sz w:val="16"/>
                <w:szCs w:val="16"/>
                <w:b w:val="1"/>
                <w:bCs w:val="1"/>
                <w:color w:val="auto"/>
              </w:rPr>
              <w:t>Fair Value</w:t>
            </w:r>
          </w:p>
        </w:tc>
      </w:tr>
      <w:tr>
        <w:trPr>
          <w:trHeight w:val="28"/>
        </w:trPr>
        <w:tc>
          <w:tcPr>
            <w:tcW w:w="55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560" w:type="dxa"/>
            <w:vAlign w:val="bottom"/>
            <w:gridSpan w:val="2"/>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Debt securites available-for-sale: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520" w:type="dxa"/>
            <w:vAlign w:val="bottom"/>
          </w:tcPr>
          <w:p>
            <w:pPr>
              <w:ind w:left="180"/>
              <w:spacing w:after="0" w:line="215" w:lineRule="exact"/>
              <w:rPr>
                <w:sz w:val="20"/>
                <w:szCs w:val="20"/>
                <w:color w:val="auto"/>
              </w:rPr>
            </w:pPr>
            <w:r>
              <w:rPr>
                <w:rFonts w:ascii="Calibri" w:cs="Calibri" w:eastAsia="Calibri" w:hAnsi="Calibri"/>
                <w:sz w:val="18"/>
                <w:szCs w:val="18"/>
                <w:color w:val="auto"/>
              </w:rPr>
              <w:t>Commercial paper</w:t>
            </w:r>
          </w:p>
        </w:tc>
        <w:tc>
          <w:tcPr>
            <w:tcW w:w="1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214,016</w:t>
            </w:r>
          </w:p>
        </w:tc>
        <w:tc>
          <w:tcPr>
            <w:tcW w:w="40" w:type="dxa"/>
            <w:vAlign w:val="bottom"/>
          </w:tcPr>
          <w:p>
            <w:pPr>
              <w:spacing w:after="0"/>
              <w:rPr>
                <w:sz w:val="19"/>
                <w:szCs w:val="19"/>
                <w:color w:val="auto"/>
              </w:rPr>
            </w:pPr>
          </w:p>
        </w:tc>
        <w:tc>
          <w:tcPr>
            <w:tcW w:w="360" w:type="dxa"/>
            <w:vAlign w:val="bottom"/>
            <w:gridSpan w:val="3"/>
          </w:tcPr>
          <w:p>
            <w:pPr>
              <w:jc w:val="right"/>
              <w:ind w:right="96"/>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gridSpan w:val="3"/>
          </w:tcPr>
          <w:p>
            <w:pPr>
              <w:jc w:val="right"/>
              <w:ind w:right="96"/>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gridSpan w:val="3"/>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214,016</w:t>
            </w:r>
          </w:p>
        </w:tc>
        <w:tc>
          <w:tcPr>
            <w:tcW w:w="20" w:type="dxa"/>
            <w:vAlign w:val="bottom"/>
          </w:tcPr>
          <w:p>
            <w:pPr>
              <w:spacing w:after="0"/>
              <w:rPr>
                <w:sz w:val="19"/>
                <w:szCs w:val="19"/>
                <w:color w:val="auto"/>
              </w:rPr>
            </w:pPr>
          </w:p>
        </w:tc>
      </w:tr>
      <w:tr>
        <w:trPr>
          <w:trHeight w:val="237"/>
        </w:trPr>
        <w:tc>
          <w:tcPr>
            <w:tcW w:w="40" w:type="dxa"/>
            <w:vAlign w:val="bottom"/>
            <w:shd w:val="clear" w:color="auto" w:fill="CCEEFF"/>
          </w:tcPr>
          <w:p>
            <w:pPr>
              <w:spacing w:after="0"/>
              <w:rPr>
                <w:sz w:val="20"/>
                <w:szCs w:val="20"/>
                <w:color w:val="auto"/>
              </w:rPr>
            </w:pPr>
          </w:p>
        </w:tc>
        <w:tc>
          <w:tcPr>
            <w:tcW w:w="552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Corporate bonds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870,870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1,652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(4,277)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868,245</w:t>
            </w:r>
          </w:p>
        </w:tc>
        <w:tc>
          <w:tcPr>
            <w:tcW w:w="20" w:type="dxa"/>
            <w:vAlign w:val="bottom"/>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5520" w:type="dxa"/>
            <w:vAlign w:val="bottom"/>
          </w:tcPr>
          <w:p>
            <w:pPr>
              <w:ind w:left="180"/>
              <w:spacing w:after="0" w:line="215" w:lineRule="exact"/>
              <w:rPr>
                <w:sz w:val="20"/>
                <w:szCs w:val="20"/>
                <w:color w:val="auto"/>
              </w:rPr>
            </w:pPr>
            <w:r>
              <w:rPr>
                <w:rFonts w:ascii="Calibri" w:cs="Calibri" w:eastAsia="Calibri" w:hAnsi="Calibri"/>
                <w:sz w:val="18"/>
                <w:szCs w:val="18"/>
                <w:color w:val="auto"/>
              </w:rPr>
              <w:t>U.S. Treasury and government-sponsored enterprises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409,157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(2,250)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407,321</w:t>
            </w:r>
          </w:p>
        </w:tc>
        <w:tc>
          <w:tcPr>
            <w:tcW w:w="20" w:type="dxa"/>
            <w:vAlign w:val="bottom"/>
          </w:tcPr>
          <w:p>
            <w:pPr>
              <w:spacing w:after="0"/>
              <w:rPr>
                <w:sz w:val="19"/>
                <w:szCs w:val="19"/>
                <w:color w:val="auto"/>
              </w:rPr>
            </w:pPr>
          </w:p>
        </w:tc>
      </w:tr>
      <w:tr>
        <w:trPr>
          <w:trHeight w:val="237"/>
        </w:trPr>
        <w:tc>
          <w:tcPr>
            <w:tcW w:w="40" w:type="dxa"/>
            <w:vAlign w:val="bottom"/>
            <w:shd w:val="clear" w:color="auto" w:fill="CCEEFF"/>
          </w:tcPr>
          <w:p>
            <w:pPr>
              <w:spacing w:after="0"/>
              <w:rPr>
                <w:sz w:val="20"/>
                <w:szCs w:val="20"/>
                <w:color w:val="auto"/>
              </w:rPr>
            </w:pPr>
          </w:p>
        </w:tc>
        <w:tc>
          <w:tcPr>
            <w:tcW w:w="5520" w:type="dxa"/>
            <w:vAlign w:val="bottom"/>
            <w:shd w:val="clear" w:color="auto" w:fill="CCEEFF"/>
          </w:tcPr>
          <w:p>
            <w:pPr>
              <w:ind w:left="180"/>
              <w:spacing w:after="0"/>
              <w:rPr>
                <w:sz w:val="20"/>
                <w:szCs w:val="20"/>
                <w:color w:val="auto"/>
              </w:rPr>
            </w:pPr>
            <w:r>
              <w:rPr>
                <w:rFonts w:ascii="Calibri" w:cs="Calibri" w:eastAsia="Calibri" w:hAnsi="Calibri"/>
                <w:sz w:val="18"/>
                <w:szCs w:val="18"/>
                <w:color w:val="auto"/>
              </w:rPr>
              <w:t>Municipal bonds</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7,880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7,841</w:t>
            </w:r>
          </w:p>
        </w:tc>
        <w:tc>
          <w:tcPr>
            <w:tcW w:w="20" w:type="dxa"/>
            <w:vAlign w:val="bottom"/>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5520" w:type="dxa"/>
            <w:vAlign w:val="bottom"/>
          </w:tcPr>
          <w:p>
            <w:pPr>
              <w:ind w:left="440"/>
              <w:spacing w:after="0" w:line="199" w:lineRule="exact"/>
              <w:rPr>
                <w:sz w:val="20"/>
                <w:szCs w:val="20"/>
                <w:color w:val="auto"/>
              </w:rPr>
            </w:pPr>
            <w:r>
              <w:rPr>
                <w:rFonts w:ascii="Calibri" w:cs="Calibri" w:eastAsia="Calibri" w:hAnsi="Calibri"/>
                <w:sz w:val="18"/>
                <w:szCs w:val="18"/>
                <w:color w:val="auto"/>
              </w:rPr>
              <w:t>Total debt securites available-for-sale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1,501,923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(6,576)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1,497,423</w:t>
            </w:r>
          </w:p>
        </w:tc>
        <w:tc>
          <w:tcPr>
            <w:tcW w:w="20" w:type="dxa"/>
            <w:vAlign w:val="bottom"/>
          </w:tcPr>
          <w:p>
            <w:pPr>
              <w:spacing w:after="0"/>
              <w:rPr>
                <w:sz w:val="18"/>
                <w:szCs w:val="18"/>
                <w:color w:val="auto"/>
              </w:rPr>
            </w:pPr>
          </w:p>
        </w:tc>
      </w:tr>
      <w:tr>
        <w:trPr>
          <w:trHeight w:val="237"/>
        </w:trPr>
        <w:tc>
          <w:tcPr>
            <w:tcW w:w="556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Money market funds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154,287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154,287</w:t>
            </w:r>
          </w:p>
        </w:tc>
        <w:tc>
          <w:tcPr>
            <w:tcW w:w="20" w:type="dxa"/>
            <w:vAlign w:val="bottom"/>
          </w:tcPr>
          <w:p>
            <w:pPr>
              <w:spacing w:after="0"/>
              <w:rPr>
                <w:sz w:val="20"/>
                <w:szCs w:val="20"/>
                <w:color w:val="auto"/>
              </w:rPr>
            </w:pPr>
          </w:p>
        </w:tc>
      </w:tr>
      <w:tr>
        <w:trPr>
          <w:trHeight w:val="223"/>
        </w:trPr>
        <w:tc>
          <w:tcPr>
            <w:tcW w:w="55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Certfcates of deposit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72,309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72,309</w:t>
            </w:r>
          </w:p>
        </w:tc>
        <w:tc>
          <w:tcPr>
            <w:tcW w:w="20" w:type="dxa"/>
            <w:vAlign w:val="bottom"/>
          </w:tcPr>
          <w:p>
            <w:pPr>
              <w:spacing w:after="0"/>
              <w:rPr>
                <w:sz w:val="19"/>
                <w:szCs w:val="19"/>
                <w:color w:val="auto"/>
              </w:rPr>
            </w:pPr>
          </w:p>
        </w:tc>
      </w:tr>
      <w:tr>
        <w:trPr>
          <w:trHeight w:val="25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5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Calibri" w:cs="Calibri" w:eastAsia="Calibri" w:hAnsi="Calibri"/>
                <w:sz w:val="18"/>
                <w:szCs w:val="18"/>
                <w:color w:val="auto"/>
              </w:rPr>
              <w:t>Total cash, cash equivalents and marketable securites</w:t>
            </w:r>
          </w:p>
        </w:tc>
        <w:tc>
          <w:tcPr>
            <w:tcW w:w="160" w:type="dxa"/>
            <w:vAlign w:val="bottom"/>
            <w:tcBorders>
              <w:top w:val="single" w:sz="8" w:color="auto"/>
              <w:bottom w:val="single" w:sz="8" w:color="auto"/>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1,728,519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96"/>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6"/>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(6,576)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1,724,019</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340" w:firstLine="648"/>
        <w:spacing w:after="0" w:line="235" w:lineRule="auto"/>
        <w:rPr>
          <w:sz w:val="20"/>
          <w:szCs w:val="20"/>
          <w:color w:val="auto"/>
        </w:rPr>
      </w:pPr>
      <w:r>
        <w:rPr>
          <w:rFonts w:ascii="Calibri" w:cs="Calibri" w:eastAsia="Calibri" w:hAnsi="Calibri"/>
          <w:sz w:val="18"/>
          <w:szCs w:val="18"/>
          <w:color w:val="auto"/>
        </w:rPr>
        <w:t>Interest receivable was $14.9 million and $13.1 million as of December 31, 2024 and 2023, respectvely, and is included in prepaid expenses and other current assets in the accompanying Consolidated Balance Sheets.</w:t>
      </w:r>
    </w:p>
    <w:p>
      <w:pPr>
        <w:spacing w:after="0" w:line="15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Realized gains and losses on the sales of marketable securites were immaterial during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We manage credit risk associated with our marketable securites portolio through our investment policy, which limits purchases to high-quality issuers and the amount of our portolio that can be invested in a single issuer. The fair value and gross unrealized losses on debt securites available-for-sale in an unrealized loss positon were as follows (in thousands):</w:t>
      </w:r>
    </w:p>
    <w:p>
      <w:pPr>
        <w:sectPr>
          <w:pgSz w:w="11900" w:h="16838" w:orient="portrait"/>
          <w:cols w:equalWidth="0" w:num="1">
            <w:col w:w="11220"/>
          </w:cols>
          <w:pgMar w:left="320" w:top="2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Corporate bonds</w:t>
      </w:r>
    </w:p>
    <w:p>
      <w:pPr>
        <w:spacing w:after="0" w:line="15" w:lineRule="exact"/>
        <w:rPr>
          <w:sz w:val="20"/>
          <w:szCs w:val="20"/>
          <w:color w:val="auto"/>
        </w:rPr>
      </w:pPr>
    </w:p>
    <w:p>
      <w:pPr>
        <w:ind w:left="60" w:right="40"/>
        <w:spacing w:after="0" w:line="225" w:lineRule="auto"/>
        <w:rPr>
          <w:sz w:val="20"/>
          <w:szCs w:val="20"/>
          <w:color w:val="auto"/>
        </w:rPr>
      </w:pPr>
      <w:r>
        <w:rPr>
          <w:rFonts w:ascii="Calibri" w:cs="Calibri" w:eastAsia="Calibri" w:hAnsi="Calibri"/>
          <w:sz w:val="17"/>
          <w:szCs w:val="17"/>
          <w:color w:val="auto"/>
        </w:rPr>
        <w:t>U.S. Treasury and government-sponsored enterprises</w:t>
      </w:r>
    </w:p>
    <w:p>
      <w:pPr>
        <w:spacing w:after="0" w:line="65"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Corporate bonds</w:t>
      </w:r>
    </w:p>
    <w:p>
      <w:pPr>
        <w:spacing w:after="0" w:line="15" w:lineRule="exact"/>
        <w:rPr>
          <w:sz w:val="20"/>
          <w:szCs w:val="20"/>
          <w:color w:val="auto"/>
        </w:rPr>
      </w:pPr>
    </w:p>
    <w:p>
      <w:pPr>
        <w:ind w:left="80"/>
        <w:spacing w:after="0" w:line="225" w:lineRule="auto"/>
        <w:rPr>
          <w:sz w:val="20"/>
          <w:szCs w:val="20"/>
          <w:color w:val="auto"/>
        </w:rPr>
      </w:pPr>
      <w:r>
        <w:rPr>
          <w:rFonts w:ascii="Calibri" w:cs="Calibri" w:eastAsia="Calibri" w:hAnsi="Calibri"/>
          <w:sz w:val="17"/>
          <w:szCs w:val="17"/>
          <w:color w:val="auto"/>
        </w:rPr>
        <w:t>U.S. Treasury and government-sponsored enterprises</w:t>
      </w:r>
    </w:p>
    <w:p>
      <w:pPr>
        <w:spacing w:after="0" w:line="25"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Municipal bonds</w:t>
      </w:r>
    </w:p>
    <w:p>
      <w:pPr>
        <w:spacing w:after="0" w:line="5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580"/>
        <w:spacing w:after="0"/>
        <w:rPr>
          <w:sz w:val="20"/>
          <w:szCs w:val="20"/>
          <w:color w:val="auto"/>
        </w:rPr>
      </w:pPr>
      <w:r>
        <w:rPr>
          <w:rFonts w:ascii="Calibri" w:cs="Calibri" w:eastAsia="Calibri" w:hAnsi="Calibri"/>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53403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40" w:type="dxa"/>
            <w:vAlign w:val="bottom"/>
            <w:gridSpan w:val="8"/>
          </w:tcPr>
          <w:p>
            <w:pPr>
              <w:ind w:left="40"/>
              <w:spacing w:after="0"/>
              <w:rPr>
                <w:sz w:val="20"/>
                <w:szCs w:val="20"/>
                <w:color w:val="auto"/>
              </w:rPr>
            </w:pPr>
            <w:r>
              <w:rPr>
                <w:rFonts w:ascii="Calibri" w:cs="Calibri" w:eastAsia="Calibri" w:hAnsi="Calibri"/>
                <w:sz w:val="16"/>
                <w:szCs w:val="16"/>
                <w:b w:val="1"/>
                <w:bCs w:val="1"/>
                <w:color w:val="auto"/>
              </w:rPr>
              <w:t>In an Unrealized Loss Positon Less than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7"/>
            <w:vMerge w:val="restart"/>
          </w:tcPr>
          <w:p>
            <w:pPr>
              <w:ind w:left="100"/>
              <w:spacing w:after="0"/>
              <w:rPr>
                <w:sz w:val="20"/>
                <w:szCs w:val="20"/>
                <w:color w:val="auto"/>
              </w:rPr>
            </w:pPr>
            <w:r>
              <w:rPr>
                <w:rFonts w:ascii="Calibri" w:cs="Calibri" w:eastAsia="Calibri" w:hAnsi="Calibri"/>
                <w:sz w:val="16"/>
                <w:szCs w:val="16"/>
                <w:b w:val="1"/>
                <w:bCs w:val="1"/>
                <w:color w:val="auto"/>
              </w:rPr>
              <w:t>In an Unrealized Loss Positon 12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5"/>
            <w:vMerge w:val="restart"/>
          </w:tcPr>
          <w:p>
            <w:pPr>
              <w:jc w:val="right"/>
              <w:spacing w:after="0" w:line="193" w:lineRule="exact"/>
              <w:rPr>
                <w:sz w:val="20"/>
                <w:szCs w:val="20"/>
                <w:color w:val="auto"/>
              </w:rPr>
            </w:pPr>
            <w:r>
              <w:rPr>
                <w:rFonts w:ascii="Calibri" w:cs="Calibri" w:eastAsia="Calibri" w:hAnsi="Calibri"/>
                <w:sz w:val="16"/>
                <w:szCs w:val="16"/>
                <w:b w:val="1"/>
                <w:bCs w:val="1"/>
                <w:color w:val="auto"/>
              </w:rPr>
              <w:t>12 Months</w:t>
            </w: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spacing w:after="0" w:line="193" w:lineRule="exact"/>
              <w:rPr>
                <w:sz w:val="20"/>
                <w:szCs w:val="20"/>
                <w:color w:val="auto"/>
              </w:rPr>
            </w:pPr>
            <w:r>
              <w:rPr>
                <w:rFonts w:ascii="Calibri" w:cs="Calibri" w:eastAsia="Calibri" w:hAnsi="Calibri"/>
                <w:sz w:val="16"/>
                <w:szCs w:val="16"/>
                <w:b w:val="1"/>
                <w:bCs w:val="1"/>
                <w:color w:val="auto"/>
              </w:rPr>
              <w:t>Months or Greater</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5"/>
          </w:tcPr>
          <w:p>
            <w:pPr>
              <w:jc w:val="right"/>
              <w:ind w:right="75"/>
              <w:spacing w:after="0" w:line="193" w:lineRule="exact"/>
              <w:rPr>
                <w:sz w:val="20"/>
                <w:szCs w:val="20"/>
                <w:color w:val="auto"/>
              </w:rPr>
            </w:pPr>
            <w:r>
              <w:rPr>
                <w:rFonts w:ascii="Calibri" w:cs="Calibri" w:eastAsia="Calibri" w:hAnsi="Calibri"/>
                <w:sz w:val="16"/>
                <w:szCs w:val="16"/>
                <w:b w:val="1"/>
                <w:bCs w:val="1"/>
                <w:color w:val="auto"/>
              </w:rPr>
              <w:t>Total</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right"/>
              <w:ind w:right="100"/>
              <w:spacing w:after="0" w:line="150" w:lineRule="exact"/>
              <w:rPr>
                <w:sz w:val="20"/>
                <w:szCs w:val="20"/>
                <w:color w:val="auto"/>
              </w:rPr>
            </w:pPr>
            <w:r>
              <w:rPr>
                <w:rFonts w:ascii="Calibri" w:cs="Calibri" w:eastAsia="Calibri" w:hAnsi="Calibri"/>
                <w:sz w:val="16"/>
                <w:szCs w:val="16"/>
                <w:b w:val="1"/>
                <w:bCs w:val="1"/>
                <w:color w:val="auto"/>
              </w:rPr>
              <w:t>Gross 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jc w:val="center"/>
              <w:spacing w:after="0" w:line="150" w:lineRule="exact"/>
              <w:rPr>
                <w:sz w:val="20"/>
                <w:szCs w:val="20"/>
                <w:color w:val="auto"/>
              </w:rPr>
            </w:pPr>
            <w:r>
              <w:rPr>
                <w:rFonts w:ascii="Calibri" w:cs="Calibri" w:eastAsia="Calibri" w:hAnsi="Calibri"/>
                <w:sz w:val="16"/>
                <w:szCs w:val="16"/>
                <w:b w:val="1"/>
                <w:bCs w:val="1"/>
                <w:color w:val="auto"/>
                <w:w w:val="99"/>
              </w:rPr>
              <w:t>Gross 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jc w:val="right"/>
              <w:ind w:right="100"/>
              <w:spacing w:after="0" w:line="150" w:lineRule="exact"/>
              <w:rPr>
                <w:sz w:val="20"/>
                <w:szCs w:val="20"/>
                <w:color w:val="auto"/>
              </w:rPr>
            </w:pPr>
            <w:r>
              <w:rPr>
                <w:rFonts w:ascii="Calibri" w:cs="Calibri" w:eastAsia="Calibri" w:hAnsi="Calibri"/>
                <w:sz w:val="16"/>
                <w:szCs w:val="16"/>
                <w:b w:val="1"/>
                <w:bCs w:val="1"/>
                <w:color w:val="auto"/>
              </w:rPr>
              <w:t>Gross Unrealized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40"/>
              <w:spacing w:after="0" w:line="193" w:lineRule="exact"/>
              <w:rPr>
                <w:sz w:val="20"/>
                <w:szCs w:val="20"/>
                <w:color w:val="auto"/>
              </w:rPr>
            </w:pPr>
            <w:r>
              <w:rPr>
                <w:rFonts w:ascii="Calibri" w:cs="Calibri" w:eastAsia="Calibri" w:hAnsi="Calibri"/>
                <w:sz w:val="16"/>
                <w:szCs w:val="16"/>
                <w:b w:val="1"/>
                <w:bCs w:val="1"/>
                <w:color w:val="auto"/>
              </w:rPr>
              <w:t>Fair 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tcPr>
          <w:p>
            <w:pPr>
              <w:ind w:left="80"/>
              <w:spacing w:after="0" w:line="193" w:lineRule="exact"/>
              <w:rPr>
                <w:sz w:val="20"/>
                <w:szCs w:val="20"/>
                <w:color w:val="auto"/>
              </w:rPr>
            </w:pPr>
            <w:r>
              <w:rPr>
                <w:rFonts w:ascii="Calibri" w:cs="Calibri" w:eastAsia="Calibri" w:hAnsi="Calibri"/>
                <w:sz w:val="16"/>
                <w:szCs w:val="16"/>
                <w:b w:val="1"/>
                <w:bCs w:val="1"/>
                <w:color w:val="auto"/>
              </w:rPr>
              <w:t>Losses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160"/>
              <w:spacing w:after="0" w:line="193" w:lineRule="exact"/>
              <w:rPr>
                <w:sz w:val="20"/>
                <w:szCs w:val="20"/>
                <w:color w:val="auto"/>
              </w:rPr>
            </w:pPr>
            <w:r>
              <w:rPr>
                <w:rFonts w:ascii="Calibri" w:cs="Calibri" w:eastAsia="Calibri" w:hAnsi="Calibri"/>
                <w:sz w:val="16"/>
                <w:szCs w:val="16"/>
                <w:b w:val="1"/>
                <w:bCs w:val="1"/>
                <w:color w:val="auto"/>
              </w:rPr>
              <w:t>Fair value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3"/>
          </w:tcPr>
          <w:p>
            <w:pPr>
              <w:jc w:val="center"/>
              <w:spacing w:after="0" w:line="193" w:lineRule="exact"/>
              <w:rPr>
                <w:sz w:val="20"/>
                <w:szCs w:val="20"/>
                <w:color w:val="auto"/>
              </w:rPr>
            </w:pPr>
            <w:r>
              <w:rPr>
                <w:rFonts w:ascii="Calibri" w:cs="Calibri" w:eastAsia="Calibri" w:hAnsi="Calibri"/>
                <w:sz w:val="16"/>
                <w:szCs w:val="16"/>
                <w:b w:val="1"/>
                <w:bCs w:val="1"/>
                <w:color w:val="auto"/>
              </w:rPr>
              <w:t>Losses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40"/>
              <w:spacing w:after="0" w:line="193" w:lineRule="exact"/>
              <w:rPr>
                <w:sz w:val="20"/>
                <w:szCs w:val="20"/>
                <w:color w:val="auto"/>
              </w:rPr>
            </w:pPr>
            <w:r>
              <w:rPr>
                <w:rFonts w:ascii="Calibri" w:cs="Calibri" w:eastAsia="Calibri" w:hAnsi="Calibri"/>
                <w:sz w:val="16"/>
                <w:szCs w:val="16"/>
                <w:b w:val="1"/>
                <w:bCs w:val="1"/>
                <w:color w:val="auto"/>
              </w:rPr>
              <w:t>Fair 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460"/>
              <w:spacing w:after="0" w:line="193" w:lineRule="exact"/>
              <w:rPr>
                <w:sz w:val="20"/>
                <w:szCs w:val="20"/>
                <w:color w:val="auto"/>
              </w:rPr>
            </w:pPr>
            <w:r>
              <w:rPr>
                <w:rFonts w:ascii="Calibri" w:cs="Calibri" w:eastAsia="Calibri" w:hAnsi="Calibri"/>
                <w:sz w:val="16"/>
                <w:szCs w:val="16"/>
                <w:b w:val="1"/>
                <w:bCs w:val="1"/>
                <w:color w:val="auto"/>
              </w:rPr>
              <w:t>Losses</w:t>
            </w:r>
          </w:p>
        </w:tc>
        <w:tc>
          <w:tcPr>
            <w:tcW w:w="0" w:type="dxa"/>
            <w:vAlign w:val="bottom"/>
          </w:tcPr>
          <w:p>
            <w:pPr>
              <w:spacing w:after="0"/>
              <w:rPr>
                <w:sz w:val="1"/>
                <w:szCs w:val="1"/>
                <w:color w:val="auto"/>
              </w:rPr>
            </w:pPr>
          </w:p>
        </w:tc>
      </w:tr>
      <w:tr>
        <w:trPr>
          <w:trHeight w:val="28"/>
        </w:trPr>
        <w:tc>
          <w:tcPr>
            <w:tcW w:w="2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 w:type="dxa"/>
            <w:vAlign w:val="bottom"/>
            <w:tcBorders>
              <w:top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370,065</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175"/>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tcBorders>
            <w:gridSpan w:val="2"/>
          </w:tcPr>
          <w:p>
            <w:pPr>
              <w:jc w:val="right"/>
              <w:ind w:right="20"/>
              <w:spacing w:after="0" w:line="208" w:lineRule="exact"/>
              <w:rPr>
                <w:sz w:val="20"/>
                <w:szCs w:val="20"/>
                <w:color w:val="auto"/>
              </w:rPr>
            </w:pPr>
            <w:r>
              <w:rPr>
                <w:rFonts w:ascii="Calibri" w:cs="Calibri" w:eastAsia="Calibri" w:hAnsi="Calibri"/>
                <w:sz w:val="18"/>
                <w:szCs w:val="18"/>
                <w:color w:val="auto"/>
              </w:rPr>
              <w:t>(1,630)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160,887</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tcBorders>
          </w:tcPr>
          <w:p>
            <w:pPr>
              <w:jc w:val="right"/>
              <w:ind w:right="476"/>
              <w:spacing w:after="0" w:line="208" w:lineRule="exact"/>
              <w:rPr>
                <w:sz w:val="20"/>
                <w:szCs w:val="20"/>
                <w:color w:val="auto"/>
              </w:rPr>
            </w:pPr>
            <w:r>
              <w:rPr>
                <w:rFonts w:ascii="Calibri" w:cs="Calibri" w:eastAsia="Calibri" w:hAnsi="Calibri"/>
                <w:sz w:val="18"/>
                <w:szCs w:val="18"/>
                <w:color w:val="auto"/>
                <w:w w:val="87"/>
              </w:rPr>
              <w:t>$</w:t>
            </w:r>
          </w:p>
        </w:tc>
        <w:tc>
          <w:tcPr>
            <w:tcW w:w="660" w:type="dxa"/>
            <w:vAlign w:val="bottom"/>
            <w:tcBorders>
              <w:top w:val="single" w:sz="8" w:color="auto"/>
            </w:tcBorders>
            <w:gridSpan w:val="2"/>
          </w:tcPr>
          <w:p>
            <w:pPr>
              <w:jc w:val="right"/>
              <w:ind w:right="20"/>
              <w:spacing w:after="0" w:line="208" w:lineRule="exact"/>
              <w:rPr>
                <w:sz w:val="20"/>
                <w:szCs w:val="20"/>
                <w:color w:val="auto"/>
              </w:rPr>
            </w:pPr>
            <w:r>
              <w:rPr>
                <w:rFonts w:ascii="Calibri" w:cs="Calibri" w:eastAsia="Calibri" w:hAnsi="Calibri"/>
                <w:sz w:val="18"/>
                <w:szCs w:val="18"/>
                <w:color w:val="auto"/>
              </w:rPr>
              <w:t>(537)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530,952</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75"/>
              <w:spacing w:after="0" w:line="208"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tcBorders>
            <w:gridSpan w:val="2"/>
          </w:tcPr>
          <w:p>
            <w:pPr>
              <w:jc w:val="right"/>
              <w:ind w:right="40"/>
              <w:spacing w:after="0" w:line="208" w:lineRule="exact"/>
              <w:rPr>
                <w:sz w:val="20"/>
                <w:szCs w:val="20"/>
                <w:color w:val="auto"/>
              </w:rPr>
            </w:pPr>
            <w:r>
              <w:rPr>
                <w:rFonts w:ascii="Calibri" w:cs="Calibri" w:eastAsia="Calibri" w:hAnsi="Calibri"/>
                <w:sz w:val="18"/>
                <w:szCs w:val="18"/>
                <w:color w:val="auto"/>
              </w:rPr>
              <w:t>(2,167)</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125,224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(755)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56,984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(204)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182,208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(959)</w:t>
            </w:r>
          </w:p>
        </w:tc>
        <w:tc>
          <w:tcPr>
            <w:tcW w:w="0" w:type="dxa"/>
            <w:vAlign w:val="bottom"/>
          </w:tcPr>
          <w:p>
            <w:pPr>
              <w:spacing w:after="0"/>
              <w:rPr>
                <w:sz w:val="1"/>
                <w:szCs w:val="1"/>
                <w:color w:val="auto"/>
              </w:rPr>
            </w:pPr>
          </w:p>
        </w:tc>
      </w:tr>
      <w:tr>
        <w:trPr>
          <w:trHeight w:val="23"/>
        </w:trPr>
        <w:tc>
          <w:tcPr>
            <w:tcW w:w="2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495,289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5"/>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(2,385)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217,871</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6"/>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top w:val="single" w:sz="8" w:color="auto"/>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(741)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713,160</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5"/>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bottom w:val="single" w:sz="8" w:color="auto"/>
            </w:tcBorders>
            <w:gridSpan w:val="2"/>
          </w:tcPr>
          <w:p>
            <w:pPr>
              <w:jc w:val="right"/>
              <w:ind w:right="40"/>
              <w:spacing w:after="0" w:line="215" w:lineRule="exact"/>
              <w:rPr>
                <w:sz w:val="20"/>
                <w:szCs w:val="20"/>
                <w:color w:val="auto"/>
              </w:rPr>
            </w:pPr>
            <w:r>
              <w:rPr>
                <w:rFonts w:ascii="Calibri" w:cs="Calibri" w:eastAsia="Calibri" w:hAnsi="Calibri"/>
                <w:sz w:val="18"/>
                <w:szCs w:val="18"/>
                <w:color w:val="auto"/>
              </w:rPr>
              <w:t>(3,126)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jc w:val="center"/>
              <w:ind w:left="335"/>
              <w:spacing w:after="0"/>
              <w:rPr>
                <w:sz w:val="20"/>
                <w:szCs w:val="20"/>
                <w:color w:val="auto"/>
              </w:rPr>
            </w:pPr>
            <w:r>
              <w:rPr>
                <w:rFonts w:ascii="Calibri" w:cs="Calibri" w:eastAsia="Calibri" w:hAnsi="Calibri"/>
                <w:sz w:val="16"/>
                <w:szCs w:val="16"/>
                <w:b w:val="1"/>
                <w:bCs w:val="1"/>
                <w:color w:val="auto"/>
                <w:w w:val="99"/>
              </w:rPr>
              <w:t>December 31, 2023</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8"/>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2740" w:type="dxa"/>
            <w:vAlign w:val="bottom"/>
            <w:gridSpan w:val="8"/>
          </w:tcPr>
          <w:p>
            <w:pPr>
              <w:ind w:left="20"/>
              <w:spacing w:after="0"/>
              <w:rPr>
                <w:sz w:val="20"/>
                <w:szCs w:val="20"/>
                <w:color w:val="auto"/>
              </w:rPr>
            </w:pPr>
            <w:r>
              <w:rPr>
                <w:rFonts w:ascii="Calibri" w:cs="Calibri" w:eastAsia="Calibri" w:hAnsi="Calibri"/>
                <w:sz w:val="16"/>
                <w:szCs w:val="16"/>
                <w:b w:val="1"/>
                <w:bCs w:val="1"/>
                <w:color w:val="auto"/>
              </w:rPr>
              <w:t>In an Unrealized Loss Positon Less than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7"/>
            <w:vMerge w:val="restart"/>
          </w:tcPr>
          <w:p>
            <w:pPr>
              <w:jc w:val="center"/>
              <w:ind w:right="240"/>
              <w:spacing w:after="0"/>
              <w:rPr>
                <w:sz w:val="20"/>
                <w:szCs w:val="20"/>
                <w:color w:val="auto"/>
              </w:rPr>
            </w:pPr>
            <w:r>
              <w:rPr>
                <w:rFonts w:ascii="Calibri" w:cs="Calibri" w:eastAsia="Calibri" w:hAnsi="Calibri"/>
                <w:sz w:val="16"/>
                <w:szCs w:val="16"/>
                <w:b w:val="1"/>
                <w:bCs w:val="1"/>
                <w:color w:val="auto"/>
              </w:rPr>
              <w:t>In an Unrealized Loss Positon 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5"/>
            <w:vMerge w:val="restart"/>
          </w:tcPr>
          <w:p>
            <w:pPr>
              <w:jc w:val="right"/>
              <w:spacing w:after="0" w:line="193" w:lineRule="exact"/>
              <w:rPr>
                <w:sz w:val="20"/>
                <w:szCs w:val="20"/>
                <w:color w:val="auto"/>
              </w:rPr>
            </w:pPr>
            <w:r>
              <w:rPr>
                <w:rFonts w:ascii="Calibri" w:cs="Calibri" w:eastAsia="Calibri" w:hAnsi="Calibri"/>
                <w:sz w:val="16"/>
                <w:szCs w:val="16"/>
                <w:b w:val="1"/>
                <w:bCs w:val="1"/>
                <w:color w:val="auto"/>
              </w:rPr>
              <w:t>12 Months</w:t>
            </w: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center"/>
              <w:ind w:left="335"/>
              <w:spacing w:after="0" w:line="193" w:lineRule="exact"/>
              <w:rPr>
                <w:sz w:val="20"/>
                <w:szCs w:val="20"/>
                <w:color w:val="auto"/>
              </w:rPr>
            </w:pPr>
            <w:r>
              <w:rPr>
                <w:rFonts w:ascii="Calibri" w:cs="Calibri" w:eastAsia="Calibri" w:hAnsi="Calibri"/>
                <w:sz w:val="16"/>
                <w:szCs w:val="16"/>
                <w:b w:val="1"/>
                <w:bCs w:val="1"/>
                <w:color w:val="auto"/>
                <w:w w:val="99"/>
              </w:rPr>
              <w:t>Months or Greater</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5"/>
          </w:tcPr>
          <w:p>
            <w:pPr>
              <w:jc w:val="right"/>
              <w:ind w:right="95"/>
              <w:spacing w:after="0" w:line="193" w:lineRule="exact"/>
              <w:rPr>
                <w:sz w:val="20"/>
                <w:szCs w:val="20"/>
                <w:color w:val="auto"/>
              </w:rPr>
            </w:pPr>
            <w:r>
              <w:rPr>
                <w:rFonts w:ascii="Calibri" w:cs="Calibri" w:eastAsia="Calibri" w:hAnsi="Calibri"/>
                <w:sz w:val="16"/>
                <w:szCs w:val="16"/>
                <w:b w:val="1"/>
                <w:bCs w:val="1"/>
                <w:color w:val="auto"/>
              </w:rPr>
              <w:t>Total</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spacing w:after="0" w:line="150" w:lineRule="exact"/>
              <w:rPr>
                <w:sz w:val="20"/>
                <w:szCs w:val="20"/>
                <w:color w:val="auto"/>
              </w:rPr>
            </w:pPr>
            <w:r>
              <w:rPr>
                <w:rFonts w:ascii="Calibri" w:cs="Calibri" w:eastAsia="Calibri" w:hAnsi="Calibri"/>
                <w:sz w:val="16"/>
                <w:szCs w:val="16"/>
                <w:b w:val="1"/>
                <w:bCs w:val="1"/>
                <w:color w:val="auto"/>
              </w:rPr>
              <w:t>Gross 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spacing w:after="0" w:line="150" w:lineRule="exact"/>
              <w:rPr>
                <w:sz w:val="20"/>
                <w:szCs w:val="20"/>
                <w:color w:val="auto"/>
              </w:rPr>
            </w:pPr>
            <w:r>
              <w:rPr>
                <w:rFonts w:ascii="Calibri" w:cs="Calibri" w:eastAsia="Calibri" w:hAnsi="Calibri"/>
                <w:sz w:val="16"/>
                <w:szCs w:val="16"/>
                <w:b w:val="1"/>
                <w:bCs w:val="1"/>
                <w:color w:val="auto"/>
              </w:rPr>
              <w:t>Gross Unrealized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spacing w:after="0" w:line="150" w:lineRule="exact"/>
              <w:rPr>
                <w:sz w:val="20"/>
                <w:szCs w:val="20"/>
                <w:color w:val="auto"/>
              </w:rPr>
            </w:pPr>
            <w:r>
              <w:rPr>
                <w:rFonts w:ascii="Calibri" w:cs="Calibri" w:eastAsia="Calibri" w:hAnsi="Calibri"/>
                <w:sz w:val="16"/>
                <w:szCs w:val="16"/>
                <w:b w:val="1"/>
                <w:bCs w:val="1"/>
                <w:color w:val="auto"/>
              </w:rPr>
              <w:t>Gross Unrealized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00"/>
              <w:spacing w:after="0" w:line="193" w:lineRule="exact"/>
              <w:rPr>
                <w:sz w:val="20"/>
                <w:szCs w:val="20"/>
                <w:color w:val="auto"/>
              </w:rPr>
            </w:pPr>
            <w:r>
              <w:rPr>
                <w:rFonts w:ascii="Calibri" w:cs="Calibri" w:eastAsia="Calibri" w:hAnsi="Calibri"/>
                <w:sz w:val="16"/>
                <w:szCs w:val="16"/>
                <w:b w:val="1"/>
                <w:bCs w:val="1"/>
                <w:color w:val="auto"/>
              </w:rPr>
              <w:t>Fair 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tcPr>
          <w:p>
            <w:pPr>
              <w:jc w:val="center"/>
              <w:ind w:right="400"/>
              <w:spacing w:after="0" w:line="193" w:lineRule="exact"/>
              <w:rPr>
                <w:sz w:val="20"/>
                <w:szCs w:val="20"/>
                <w:color w:val="auto"/>
              </w:rPr>
            </w:pPr>
            <w:r>
              <w:rPr>
                <w:rFonts w:ascii="Calibri" w:cs="Calibri" w:eastAsia="Calibri" w:hAnsi="Calibri"/>
                <w:sz w:val="16"/>
                <w:szCs w:val="16"/>
                <w:b w:val="1"/>
                <w:bCs w:val="1"/>
                <w:color w:val="auto"/>
              </w:rPr>
              <w:t>Losses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120"/>
              <w:spacing w:after="0" w:line="193" w:lineRule="exact"/>
              <w:rPr>
                <w:sz w:val="20"/>
                <w:szCs w:val="20"/>
                <w:color w:val="auto"/>
              </w:rPr>
            </w:pPr>
            <w:r>
              <w:rPr>
                <w:rFonts w:ascii="Calibri" w:cs="Calibri" w:eastAsia="Calibri" w:hAnsi="Calibri"/>
                <w:sz w:val="16"/>
                <w:szCs w:val="16"/>
                <w:b w:val="1"/>
                <w:bCs w:val="1"/>
                <w:color w:val="auto"/>
              </w:rPr>
              <w:t>Fair value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3"/>
          </w:tcPr>
          <w:p>
            <w:pPr>
              <w:jc w:val="center"/>
              <w:ind w:right="60"/>
              <w:spacing w:after="0" w:line="193" w:lineRule="exact"/>
              <w:rPr>
                <w:sz w:val="20"/>
                <w:szCs w:val="20"/>
                <w:color w:val="auto"/>
              </w:rPr>
            </w:pPr>
            <w:r>
              <w:rPr>
                <w:rFonts w:ascii="Calibri" w:cs="Calibri" w:eastAsia="Calibri" w:hAnsi="Calibri"/>
                <w:sz w:val="16"/>
                <w:szCs w:val="16"/>
                <w:b w:val="1"/>
                <w:bCs w:val="1"/>
                <w:color w:val="auto"/>
                <w:w w:val="98"/>
              </w:rPr>
              <w:t>Losses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00"/>
              <w:spacing w:after="0" w:line="193" w:lineRule="exact"/>
              <w:rPr>
                <w:sz w:val="20"/>
                <w:szCs w:val="20"/>
                <w:color w:val="auto"/>
              </w:rPr>
            </w:pPr>
            <w:r>
              <w:rPr>
                <w:rFonts w:ascii="Calibri" w:cs="Calibri" w:eastAsia="Calibri" w:hAnsi="Calibri"/>
                <w:sz w:val="16"/>
                <w:szCs w:val="16"/>
                <w:b w:val="1"/>
                <w:bCs w:val="1"/>
                <w:color w:val="auto"/>
              </w:rPr>
              <w:t>Fair 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480"/>
              <w:spacing w:after="0" w:line="193" w:lineRule="exact"/>
              <w:rPr>
                <w:sz w:val="20"/>
                <w:szCs w:val="20"/>
                <w:color w:val="auto"/>
              </w:rPr>
            </w:pPr>
            <w:r>
              <w:rPr>
                <w:rFonts w:ascii="Calibri" w:cs="Calibri" w:eastAsia="Calibri" w:hAnsi="Calibri"/>
                <w:sz w:val="16"/>
                <w:szCs w:val="16"/>
                <w:b w:val="1"/>
                <w:bCs w:val="1"/>
                <w:color w:val="auto"/>
              </w:rPr>
              <w:t>Losses</w:t>
            </w:r>
          </w:p>
        </w:tc>
        <w:tc>
          <w:tcPr>
            <w:tcW w:w="0" w:type="dxa"/>
            <w:vAlign w:val="bottom"/>
          </w:tcPr>
          <w:p>
            <w:pPr>
              <w:spacing w:after="0"/>
              <w:rPr>
                <w:sz w:val="1"/>
                <w:szCs w:val="1"/>
                <w:color w:val="auto"/>
              </w:rPr>
            </w:pPr>
          </w:p>
        </w:tc>
      </w:tr>
      <w:tr>
        <w:trPr>
          <w:trHeight w:val="28"/>
        </w:trPr>
        <w:tc>
          <w:tcPr>
            <w:tcW w:w="2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20" w:type="dxa"/>
            <w:vAlign w:val="bottom"/>
            <w:tcBorders>
              <w:top w:val="single" w:sz="8" w:color="auto"/>
            </w:tcBorders>
            <w:gridSpan w:val="2"/>
          </w:tcPr>
          <w:p>
            <w:pPr>
              <w:jc w:val="right"/>
              <w:ind w:right="35"/>
              <w:spacing w:after="0" w:line="208" w:lineRule="exact"/>
              <w:rPr>
                <w:sz w:val="20"/>
                <w:szCs w:val="20"/>
                <w:color w:val="auto"/>
              </w:rPr>
            </w:pPr>
            <w:r>
              <w:rPr>
                <w:rFonts w:ascii="Calibri" w:cs="Calibri" w:eastAsia="Calibri" w:hAnsi="Calibri"/>
                <w:sz w:val="18"/>
                <w:szCs w:val="18"/>
                <w:color w:val="auto"/>
                <w:w w:val="87"/>
              </w:rPr>
              <w:t>$</w:t>
            </w:r>
          </w:p>
        </w:tc>
        <w:tc>
          <w:tcPr>
            <w:tcW w:w="1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255,958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gridSpan w:val="2"/>
          </w:tcPr>
          <w:p>
            <w:pPr>
              <w:jc w:val="right"/>
              <w:ind w:right="195"/>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281,837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496"/>
              <w:spacing w:after="0" w:line="208" w:lineRule="exact"/>
              <w:rPr>
                <w:sz w:val="20"/>
                <w:szCs w:val="20"/>
                <w:color w:val="auto"/>
              </w:rPr>
            </w:pPr>
            <w:r>
              <w:rPr>
                <w:rFonts w:ascii="Calibri" w:cs="Calibri" w:eastAsia="Calibri" w:hAnsi="Calibri"/>
                <w:sz w:val="18"/>
                <w:szCs w:val="18"/>
                <w:color w:val="auto"/>
              </w:rPr>
              <w:t>$</w:t>
            </w:r>
          </w:p>
        </w:tc>
        <w:tc>
          <w:tcPr>
            <w:tcW w:w="6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(3,430)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gridSpan w:val="2"/>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537,795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95"/>
              <w:spacing w:after="0" w:line="208"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163,339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(406)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155,452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alibri" w:cs="Calibri" w:eastAsia="Calibri" w:hAnsi="Calibri"/>
                <w:sz w:val="18"/>
                <w:szCs w:val="18"/>
                <w:color w:val="auto"/>
              </w:rPr>
              <w:t>(1,844)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318,791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(2,250)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5,951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Calibri" w:cs="Calibri" w:eastAsia="Calibri" w:hAnsi="Calibri"/>
                <w:sz w:val="18"/>
                <w:szCs w:val="18"/>
                <w:color w:val="auto"/>
              </w:rPr>
              <w:t>(49)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5,951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 w:type="dxa"/>
            <w:vAlign w:val="bottom"/>
            <w:tcBorders>
              <w:top w:val="single" w:sz="8" w:color="auto"/>
              <w:bottom w:val="single" w:sz="8" w:color="auto"/>
            </w:tcBorders>
            <w:gridSpan w:val="2"/>
          </w:tcPr>
          <w:p>
            <w:pPr>
              <w:jc w:val="right"/>
              <w:ind w:right="35"/>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419,297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195"/>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443,240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496"/>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(5,323)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862,537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95"/>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-2236470</wp:posOffset>
            </wp:positionV>
            <wp:extent cx="709803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-1816735</wp:posOffset>
            </wp:positionV>
            <wp:extent cx="709803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-753745</wp:posOffset>
            </wp:positionV>
            <wp:extent cx="706374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63740" cy="154305"/>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-334010</wp:posOffset>
            </wp:positionV>
            <wp:extent cx="706374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6374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500"/>
            <w:col w:w="8440"/>
          </w:cols>
          <w:pgMar w:left="320" w:top="273" w:right="359" w:bottom="1440" w:gutter="0" w:footer="0" w:header="0"/>
          <w:type w:val="continuous"/>
        </w:sectPr>
      </w:pPr>
    </w:p>
    <w:p>
      <w:pPr>
        <w:spacing w:after="0" w:line="21"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There were 255 and 230 debt securites available-for-sale in an unrealized loss positon as of December 31, 2024 and 2023, respectvely. During the years ended December 31, 2024 and 2023, we did not record an allowance for credit losses or other impairment charges on our investment securites. Based upon our quarterly impairment review, we determined that the unrealized losses were not atributed to credit risk, but were primarily associated with changes in interest rates and market liquidity. Based on the scheduled maturites of our marketable securites, we determined that it was more likely than not that we will hold these marketable securites for a period of tme sufcient for a recovery of our cost basis.</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fair values of debt securites available-for-sale by contractual maturity were as follows (in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860" w:type="dxa"/>
            <w:vAlign w:val="bottom"/>
          </w:tcPr>
          <w:p>
            <w:pPr>
              <w:spacing w:after="0"/>
              <w:rPr>
                <w:sz w:val="16"/>
                <w:szCs w:val="16"/>
                <w:color w:val="auto"/>
              </w:rPr>
            </w:pPr>
          </w:p>
        </w:tc>
      </w:tr>
      <w:tr>
        <w:trPr>
          <w:trHeight w:val="41"/>
        </w:trPr>
        <w:tc>
          <w:tcPr>
            <w:tcW w:w="84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4"/>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2023</w:t>
            </w:r>
          </w:p>
        </w:tc>
      </w:tr>
      <w:tr>
        <w:trPr>
          <w:trHeight w:val="41"/>
        </w:trPr>
        <w:tc>
          <w:tcPr>
            <w:tcW w:w="8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3"/>
        </w:trPr>
        <w:tc>
          <w:tcPr>
            <w:tcW w:w="844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Maturing in one year or less</w:t>
            </w: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888,360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768,706</w:t>
            </w:r>
          </w:p>
        </w:tc>
      </w:tr>
      <w:tr>
        <w:trPr>
          <w:trHeight w:val="223"/>
        </w:trPr>
        <w:tc>
          <w:tcPr>
            <w:tcW w:w="844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Maturing afer one year through fve years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637,291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728,717</w:t>
            </w:r>
          </w:p>
        </w:tc>
      </w:tr>
      <w:tr>
        <w:trPr>
          <w:trHeight w:val="255"/>
        </w:trPr>
        <w:tc>
          <w:tcPr>
            <w:tcW w:w="844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color w:val="auto"/>
              </w:rPr>
              <w:t>Total debt securites available-for-sale</w:t>
            </w: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1,525,651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1,497,423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6. FAIR VALUE MEASUREMENTS</w:t>
      </w:r>
    </w:p>
    <w:p>
      <w:pPr>
        <w:spacing w:after="0" w:line="163"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Fair value refects the amounts that would be received upon sale of an asset or paid to transfer a liability in an orderly transacton between market partcipants at the measurement date. The fair value hierarchy has the following three levels:</w:t>
      </w:r>
    </w:p>
    <w:p>
      <w:pPr>
        <w:spacing w:after="0" w:line="51" w:lineRule="exact"/>
        <w:rPr>
          <w:sz w:val="20"/>
          <w:szCs w:val="20"/>
          <w:color w:val="auto"/>
        </w:rPr>
      </w:pPr>
    </w:p>
    <w:p>
      <w:pPr>
        <w:ind w:left="660" w:hanging="231"/>
        <w:spacing w:after="0"/>
        <w:tabs>
          <w:tab w:leader="none" w:pos="66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Level 1 - quoted prices (unadjusted) in actve markets for identcal assets and liabilites;</w:t>
      </w:r>
    </w:p>
    <w:p>
      <w:pPr>
        <w:spacing w:after="0" w:line="55" w:lineRule="exact"/>
        <w:rPr>
          <w:rFonts w:ascii="Calibri" w:cs="Calibri" w:eastAsia="Calibri" w:hAnsi="Calibri"/>
          <w:sz w:val="18"/>
          <w:szCs w:val="18"/>
          <w:color w:val="auto"/>
        </w:rPr>
      </w:pPr>
    </w:p>
    <w:p>
      <w:pPr>
        <w:ind w:left="660" w:right="140" w:hanging="231"/>
        <w:spacing w:after="0" w:line="235" w:lineRule="auto"/>
        <w:tabs>
          <w:tab w:leader="none" w:pos="656"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Level 2 - inputs other than level 1 that are observable either directly or indirectly, such as quoted prices in actve markets for similar instruments or on industry models using data inputs, such as interest rates and prices that can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be directly observed or corroborated in actve markets; and</w:t>
      </w:r>
    </w:p>
    <w:p>
      <w:pPr>
        <w:spacing w:after="0" w:line="50" w:lineRule="exact"/>
        <w:rPr>
          <w:sz w:val="20"/>
          <w:szCs w:val="20"/>
          <w:color w:val="auto"/>
        </w:rPr>
      </w:pPr>
    </w:p>
    <w:p>
      <w:pPr>
        <w:ind w:left="420"/>
        <w:spacing w:after="0"/>
        <w:rPr>
          <w:sz w:val="20"/>
          <w:szCs w:val="20"/>
          <w:color w:val="auto"/>
        </w:rPr>
      </w:pPr>
      <w:r>
        <w:rPr>
          <w:rFonts w:ascii="Calibri" w:cs="Calibri" w:eastAsia="Calibri" w:hAnsi="Calibri"/>
          <w:sz w:val="18"/>
          <w:szCs w:val="18"/>
          <w:color w:val="auto"/>
        </w:rPr>
        <w:t>•  Level 3 - unobservable inputs that are supported by litle or no market actvity that are signifcant to the fair value measurement.</w:t>
      </w:r>
    </w:p>
    <w:p>
      <w:pPr>
        <w:spacing w:after="0" w:line="163"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The classifcatons within the fair value hierarchy of our fnancial assets that were measured and recorded at fair value on a recurring basis were as follows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Calibri" w:cs="Calibri" w:eastAsia="Calibri" w:hAnsi="Calibri"/>
                <w:sz w:val="16"/>
                <w:szCs w:val="16"/>
                <w:b w:val="1"/>
                <w:bCs w:val="1"/>
                <w:color w:val="auto"/>
              </w:rPr>
              <w:t>December 31, 2024</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1"/>
        </w:trPr>
        <w:tc>
          <w:tcPr>
            <w:tcW w:w="20" w:type="dxa"/>
            <w:vAlign w:val="bottom"/>
          </w:tcPr>
          <w:p>
            <w:pPr>
              <w:spacing w:after="0"/>
              <w:rPr>
                <w:sz w:val="3"/>
                <w:szCs w:val="3"/>
                <w:color w:val="auto"/>
              </w:rPr>
            </w:pPr>
          </w:p>
        </w:tc>
        <w:tc>
          <w:tcPr>
            <w:tcW w:w="69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line="187" w:lineRule="exact"/>
              <w:rPr>
                <w:sz w:val="20"/>
                <w:szCs w:val="20"/>
                <w:color w:val="auto"/>
              </w:rPr>
            </w:pPr>
            <w:r>
              <w:rPr>
                <w:rFonts w:ascii="Calibri" w:cs="Calibri" w:eastAsia="Calibri" w:hAnsi="Calibri"/>
                <w:sz w:val="16"/>
                <w:szCs w:val="16"/>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80"/>
              <w:spacing w:after="0" w:line="187" w:lineRule="exact"/>
              <w:rPr>
                <w:sz w:val="20"/>
                <w:szCs w:val="20"/>
                <w:color w:val="auto"/>
              </w:rPr>
            </w:pPr>
            <w:r>
              <w:rPr>
                <w:rFonts w:ascii="Calibri" w:cs="Calibri" w:eastAsia="Calibri" w:hAnsi="Calibri"/>
                <w:sz w:val="16"/>
                <w:szCs w:val="16"/>
                <w:b w:val="1"/>
                <w:bCs w:val="1"/>
                <w:color w:val="auto"/>
              </w:rPr>
              <w:t>Level 2</w:t>
            </w:r>
          </w:p>
        </w:tc>
        <w:tc>
          <w:tcPr>
            <w:tcW w:w="320" w:type="dxa"/>
            <w:vAlign w:val="bottom"/>
          </w:tcPr>
          <w:p>
            <w:pPr>
              <w:spacing w:after="0"/>
              <w:rPr>
                <w:sz w:val="16"/>
                <w:szCs w:val="16"/>
                <w:color w:val="auto"/>
              </w:rPr>
            </w:pPr>
          </w:p>
        </w:tc>
        <w:tc>
          <w:tcPr>
            <w:tcW w:w="1020" w:type="dxa"/>
            <w:vAlign w:val="bottom"/>
          </w:tcPr>
          <w:p>
            <w:pPr>
              <w:jc w:val="right"/>
              <w:ind w:right="411"/>
              <w:spacing w:after="0" w:line="187" w:lineRule="exact"/>
              <w:rPr>
                <w:sz w:val="20"/>
                <w:szCs w:val="20"/>
                <w:color w:val="auto"/>
              </w:rPr>
            </w:pPr>
            <w:r>
              <w:rPr>
                <w:rFonts w:ascii="Calibri" w:cs="Calibri" w:eastAsia="Calibri" w:hAnsi="Calibri"/>
                <w:sz w:val="16"/>
                <w:szCs w:val="16"/>
                <w:b w:val="1"/>
                <w:bCs w:val="1"/>
                <w:color w:val="auto"/>
              </w:rPr>
              <w:t>Total</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shd w:val="clear" w:color="auto" w:fill="CCEEFF"/>
          </w:tcPr>
          <w:p>
            <w:pPr>
              <w:spacing w:after="0" w:line="199" w:lineRule="exact"/>
              <w:rPr>
                <w:sz w:val="20"/>
                <w:szCs w:val="20"/>
                <w:color w:val="auto"/>
              </w:rPr>
            </w:pPr>
            <w:r>
              <w:rPr>
                <w:rFonts w:ascii="Calibri" w:cs="Calibri" w:eastAsia="Calibri" w:hAnsi="Calibri"/>
                <w:sz w:val="18"/>
                <w:szCs w:val="18"/>
                <w:color w:val="auto"/>
              </w:rPr>
              <w:t>Commercial paper</w:t>
            </w:r>
          </w:p>
        </w:tc>
        <w:tc>
          <w:tcPr>
            <w:tcW w:w="28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172,891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172,891</w:t>
            </w:r>
          </w:p>
        </w:tc>
      </w:tr>
      <w:tr>
        <w:trPr>
          <w:trHeight w:val="222"/>
        </w:trPr>
        <w:tc>
          <w:tcPr>
            <w:tcW w:w="20" w:type="dxa"/>
            <w:vAlign w:val="bottom"/>
          </w:tcPr>
          <w:p>
            <w:pPr>
              <w:spacing w:after="0"/>
              <w:rPr>
                <w:sz w:val="19"/>
                <w:szCs w:val="19"/>
                <w:color w:val="auto"/>
              </w:rPr>
            </w:pPr>
          </w:p>
        </w:tc>
        <w:tc>
          <w:tcPr>
            <w:tcW w:w="6980" w:type="dxa"/>
            <w:vAlign w:val="bottom"/>
          </w:tcPr>
          <w:p>
            <w:pPr>
              <w:spacing w:after="0" w:line="215" w:lineRule="exact"/>
              <w:rPr>
                <w:sz w:val="20"/>
                <w:szCs w:val="20"/>
                <w:color w:val="auto"/>
              </w:rPr>
            </w:pPr>
            <w:r>
              <w:rPr>
                <w:rFonts w:ascii="Calibri" w:cs="Calibri" w:eastAsia="Calibri" w:hAnsi="Calibri"/>
                <w:sz w:val="18"/>
                <w:szCs w:val="18"/>
                <w:color w:val="auto"/>
              </w:rPr>
              <w:t>Corporate bonds</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1,011,366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1,011,366</w:t>
            </w:r>
          </w:p>
        </w:tc>
      </w:tr>
      <w:tr>
        <w:trPr>
          <w:trHeight w:val="237"/>
        </w:trPr>
        <w:tc>
          <w:tcPr>
            <w:tcW w:w="20" w:type="dxa"/>
            <w:vAlign w:val="bottom"/>
            <w:shd w:val="clear" w:color="auto" w:fill="CCEEFF"/>
          </w:tcPr>
          <w:p>
            <w:pPr>
              <w:spacing w:after="0"/>
              <w:rPr>
                <w:sz w:val="20"/>
                <w:szCs w:val="20"/>
                <w:color w:val="auto"/>
              </w:rPr>
            </w:pPr>
          </w:p>
        </w:tc>
        <w:tc>
          <w:tcPr>
            <w:tcW w:w="6980" w:type="dxa"/>
            <w:vAlign w:val="bottom"/>
            <w:shd w:val="clear" w:color="auto" w:fill="CCEEFF"/>
          </w:tcPr>
          <w:p>
            <w:pPr>
              <w:spacing w:after="0"/>
              <w:rPr>
                <w:sz w:val="20"/>
                <w:szCs w:val="20"/>
                <w:color w:val="auto"/>
              </w:rPr>
            </w:pPr>
            <w:r>
              <w:rPr>
                <w:rFonts w:ascii="Calibri" w:cs="Calibri" w:eastAsia="Calibri" w:hAnsi="Calibri"/>
                <w:sz w:val="18"/>
                <w:szCs w:val="18"/>
                <w:color w:val="auto"/>
              </w:rPr>
              <w:t>U.S. Treasury and government-sponsored enterprises</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338,393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338,393</w:t>
            </w:r>
          </w:p>
        </w:tc>
      </w:tr>
      <w:tr>
        <w:trPr>
          <w:trHeight w:val="223"/>
        </w:trPr>
        <w:tc>
          <w:tcPr>
            <w:tcW w:w="20" w:type="dxa"/>
            <w:vAlign w:val="bottom"/>
          </w:tcPr>
          <w:p>
            <w:pPr>
              <w:spacing w:after="0"/>
              <w:rPr>
                <w:sz w:val="19"/>
                <w:szCs w:val="19"/>
                <w:color w:val="auto"/>
              </w:rPr>
            </w:pPr>
          </w:p>
        </w:tc>
        <w:tc>
          <w:tcPr>
            <w:tcW w:w="6980" w:type="dxa"/>
            <w:vAlign w:val="bottom"/>
          </w:tcPr>
          <w:p>
            <w:pPr>
              <w:spacing w:after="0" w:line="215" w:lineRule="exact"/>
              <w:rPr>
                <w:sz w:val="20"/>
                <w:szCs w:val="20"/>
                <w:color w:val="auto"/>
              </w:rPr>
            </w:pPr>
            <w:r>
              <w:rPr>
                <w:rFonts w:ascii="Calibri" w:cs="Calibri" w:eastAsia="Calibri" w:hAnsi="Calibri"/>
                <w:sz w:val="18"/>
                <w:szCs w:val="18"/>
                <w:color w:val="auto"/>
              </w:rPr>
              <w:t>Municipal bonds</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3,001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3,001</w:t>
            </w:r>
          </w:p>
        </w:tc>
      </w:tr>
      <w:tr>
        <w:trPr>
          <w:trHeight w:val="230"/>
        </w:trPr>
        <w:tc>
          <w:tcPr>
            <w:tcW w:w="20" w:type="dxa"/>
            <w:vAlign w:val="bottom"/>
            <w:tcBorders>
              <w:top w:val="single" w:sz="8" w:color="CCEEFF"/>
            </w:tcBorders>
            <w:shd w:val="clear" w:color="auto" w:fill="CCEEFF"/>
          </w:tcPr>
          <w:p>
            <w:pPr>
              <w:spacing w:after="0"/>
              <w:rPr>
                <w:sz w:val="19"/>
                <w:szCs w:val="19"/>
                <w:color w:val="auto"/>
              </w:rPr>
            </w:pPr>
          </w:p>
        </w:tc>
        <w:tc>
          <w:tcPr>
            <w:tcW w:w="6980" w:type="dxa"/>
            <w:vAlign w:val="bottom"/>
            <w:tcBorders>
              <w:top w:val="single" w:sz="8" w:color="CCEEFF"/>
            </w:tcBorders>
            <w:shd w:val="clear" w:color="auto" w:fill="CCEEFF"/>
          </w:tcPr>
          <w:p>
            <w:pPr>
              <w:ind w:left="200"/>
              <w:spacing w:after="0" w:line="206" w:lineRule="exact"/>
              <w:rPr>
                <w:sz w:val="20"/>
                <w:szCs w:val="20"/>
                <w:color w:val="auto"/>
              </w:rPr>
            </w:pPr>
            <w:r>
              <w:rPr>
                <w:rFonts w:ascii="Calibri" w:cs="Calibri" w:eastAsia="Calibri" w:hAnsi="Calibri"/>
                <w:sz w:val="18"/>
                <w:szCs w:val="18"/>
                <w:color w:val="auto"/>
              </w:rPr>
              <w:t>Total debt securites available-for-sale</w:t>
            </w: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1,525,651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1,525,651</w:t>
            </w:r>
          </w:p>
        </w:tc>
      </w:tr>
      <w:tr>
        <w:trPr>
          <w:trHeight w:val="222"/>
        </w:trPr>
        <w:tc>
          <w:tcPr>
            <w:tcW w:w="20" w:type="dxa"/>
            <w:vAlign w:val="bottom"/>
          </w:tcPr>
          <w:p>
            <w:pPr>
              <w:spacing w:after="0"/>
              <w:rPr>
                <w:sz w:val="19"/>
                <w:szCs w:val="19"/>
                <w:color w:val="auto"/>
              </w:rPr>
            </w:pPr>
          </w:p>
        </w:tc>
        <w:tc>
          <w:tcPr>
            <w:tcW w:w="6980" w:type="dxa"/>
            <w:vAlign w:val="bottom"/>
          </w:tcPr>
          <w:p>
            <w:pPr>
              <w:spacing w:after="0" w:line="215" w:lineRule="exact"/>
              <w:rPr>
                <w:sz w:val="20"/>
                <w:szCs w:val="20"/>
                <w:color w:val="auto"/>
              </w:rPr>
            </w:pPr>
            <w:r>
              <w:rPr>
                <w:rFonts w:ascii="Calibri" w:cs="Calibri" w:eastAsia="Calibri" w:hAnsi="Calibri"/>
                <w:sz w:val="18"/>
                <w:szCs w:val="18"/>
                <w:color w:val="auto"/>
              </w:rPr>
              <w:t>Money market funds</w:t>
            </w:r>
          </w:p>
        </w:tc>
        <w:tc>
          <w:tcPr>
            <w:tcW w:w="2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145,690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145,690</w:t>
            </w:r>
          </w:p>
        </w:tc>
      </w:tr>
      <w:tr>
        <w:trPr>
          <w:trHeight w:val="230"/>
        </w:trPr>
        <w:tc>
          <w:tcPr>
            <w:tcW w:w="20" w:type="dxa"/>
            <w:vAlign w:val="bottom"/>
            <w:shd w:val="clear" w:color="auto" w:fill="CCEEFF"/>
          </w:tcPr>
          <w:p>
            <w:pPr>
              <w:spacing w:after="0"/>
              <w:rPr>
                <w:sz w:val="20"/>
                <w:szCs w:val="20"/>
                <w:color w:val="auto"/>
              </w:rPr>
            </w:pPr>
          </w:p>
        </w:tc>
        <w:tc>
          <w:tcPr>
            <w:tcW w:w="6980" w:type="dxa"/>
            <w:vAlign w:val="bottom"/>
            <w:shd w:val="clear" w:color="auto" w:fill="CCEEFF"/>
          </w:tcPr>
          <w:p>
            <w:pPr>
              <w:spacing w:after="0"/>
              <w:rPr>
                <w:sz w:val="20"/>
                <w:szCs w:val="20"/>
                <w:color w:val="auto"/>
              </w:rPr>
            </w:pPr>
            <w:r>
              <w:rPr>
                <w:rFonts w:ascii="Calibri" w:cs="Calibri" w:eastAsia="Calibri" w:hAnsi="Calibri"/>
                <w:sz w:val="18"/>
                <w:szCs w:val="18"/>
                <w:color w:val="auto"/>
              </w:rPr>
              <w:t>Certfcates of deposit</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77,226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77,226</w:t>
            </w:r>
          </w:p>
        </w:tc>
      </w:tr>
      <w:tr>
        <w:trPr>
          <w:trHeight w:val="229"/>
        </w:trPr>
        <w:tc>
          <w:tcPr>
            <w:tcW w:w="2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Calibri" w:cs="Calibri" w:eastAsia="Calibri" w:hAnsi="Calibri"/>
                <w:sz w:val="18"/>
                <w:szCs w:val="18"/>
                <w:color w:val="auto"/>
              </w:rPr>
              <w:t>Total fnancial assets carried at fair value</w:t>
            </w:r>
          </w:p>
        </w:tc>
        <w:tc>
          <w:tcPr>
            <w:tcW w:w="28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145,690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1,602,877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1,748,567</w:t>
            </w:r>
          </w:p>
        </w:tc>
      </w:tr>
      <w:tr>
        <w:trPr>
          <w:trHeight w:val="21"/>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Calibri" w:cs="Calibri" w:eastAsia="Calibri" w:hAnsi="Calibri"/>
                <w:sz w:val="16"/>
                <w:szCs w:val="16"/>
                <w:b w:val="1"/>
                <w:bCs w:val="1"/>
                <w:color w:val="auto"/>
              </w:rPr>
              <w:t>December 31, 2023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
        </w:trPr>
        <w:tc>
          <w:tcPr>
            <w:tcW w:w="20" w:type="dxa"/>
            <w:vAlign w:val="bottom"/>
          </w:tcPr>
          <w:p>
            <w:pPr>
              <w:spacing w:after="0"/>
              <w:rPr>
                <w:sz w:val="3"/>
                <w:szCs w:val="3"/>
                <w:color w:val="auto"/>
              </w:rPr>
            </w:pPr>
          </w:p>
        </w:tc>
        <w:tc>
          <w:tcPr>
            <w:tcW w:w="69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line="187" w:lineRule="exact"/>
              <w:rPr>
                <w:sz w:val="20"/>
                <w:szCs w:val="20"/>
                <w:color w:val="auto"/>
              </w:rPr>
            </w:pPr>
            <w:r>
              <w:rPr>
                <w:rFonts w:ascii="Calibri" w:cs="Calibri" w:eastAsia="Calibri" w:hAnsi="Calibri"/>
                <w:sz w:val="16"/>
                <w:szCs w:val="16"/>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60"/>
              <w:spacing w:after="0" w:line="187" w:lineRule="exact"/>
              <w:rPr>
                <w:sz w:val="20"/>
                <w:szCs w:val="20"/>
                <w:color w:val="auto"/>
              </w:rPr>
            </w:pPr>
            <w:r>
              <w:rPr>
                <w:rFonts w:ascii="Calibri" w:cs="Calibri" w:eastAsia="Calibri" w:hAnsi="Calibri"/>
                <w:sz w:val="16"/>
                <w:szCs w:val="16"/>
                <w:b w:val="1"/>
                <w:bCs w:val="1"/>
                <w:color w:val="auto"/>
              </w:rPr>
              <w:t>Level 2</w:t>
            </w:r>
          </w:p>
        </w:tc>
        <w:tc>
          <w:tcPr>
            <w:tcW w:w="320" w:type="dxa"/>
            <w:vAlign w:val="bottom"/>
          </w:tcPr>
          <w:p>
            <w:pPr>
              <w:spacing w:after="0"/>
              <w:rPr>
                <w:sz w:val="16"/>
                <w:szCs w:val="16"/>
                <w:color w:val="auto"/>
              </w:rPr>
            </w:pPr>
          </w:p>
        </w:tc>
        <w:tc>
          <w:tcPr>
            <w:tcW w:w="1020" w:type="dxa"/>
            <w:vAlign w:val="bottom"/>
          </w:tcPr>
          <w:p>
            <w:pPr>
              <w:jc w:val="right"/>
              <w:ind w:right="411"/>
              <w:spacing w:after="0" w:line="187" w:lineRule="exact"/>
              <w:rPr>
                <w:sz w:val="20"/>
                <w:szCs w:val="20"/>
                <w:color w:val="auto"/>
              </w:rPr>
            </w:pPr>
            <w:r>
              <w:rPr>
                <w:rFonts w:ascii="Calibri" w:cs="Calibri" w:eastAsia="Calibri" w:hAnsi="Calibri"/>
                <w:sz w:val="16"/>
                <w:szCs w:val="16"/>
                <w:b w:val="1"/>
                <w:bCs w:val="1"/>
                <w:color w:val="auto"/>
              </w:rPr>
              <w:t>Total</w:t>
            </w:r>
          </w:p>
        </w:tc>
      </w:tr>
      <w:tr>
        <w:trPr>
          <w:trHeight w:val="23"/>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top w:val="single" w:sz="8" w:color="CCEEFF"/>
            </w:tcBorders>
            <w:shd w:val="clear" w:color="auto" w:fill="CCEEFF"/>
          </w:tcPr>
          <w:p>
            <w:pPr>
              <w:spacing w:after="0" w:line="199" w:lineRule="exact"/>
              <w:rPr>
                <w:sz w:val="20"/>
                <w:szCs w:val="20"/>
                <w:color w:val="auto"/>
              </w:rPr>
            </w:pPr>
            <w:r>
              <w:rPr>
                <w:rFonts w:ascii="Calibri" w:cs="Calibri" w:eastAsia="Calibri" w:hAnsi="Calibri"/>
                <w:sz w:val="18"/>
                <w:szCs w:val="18"/>
                <w:color w:val="auto"/>
              </w:rPr>
              <w:t>Commercial paper</w:t>
            </w:r>
          </w:p>
        </w:tc>
        <w:tc>
          <w:tcPr>
            <w:tcW w:w="280" w:type="dxa"/>
            <w:vAlign w:val="bottom"/>
            <w:tcBorders>
              <w:top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214,016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214,016</w:t>
            </w:r>
          </w:p>
        </w:tc>
      </w:tr>
      <w:tr>
        <w:trPr>
          <w:trHeight w:val="222"/>
        </w:trPr>
        <w:tc>
          <w:tcPr>
            <w:tcW w:w="20" w:type="dxa"/>
            <w:vAlign w:val="bottom"/>
          </w:tcPr>
          <w:p>
            <w:pPr>
              <w:spacing w:after="0"/>
              <w:rPr>
                <w:sz w:val="19"/>
                <w:szCs w:val="19"/>
                <w:color w:val="auto"/>
              </w:rPr>
            </w:pPr>
          </w:p>
        </w:tc>
        <w:tc>
          <w:tcPr>
            <w:tcW w:w="6980" w:type="dxa"/>
            <w:vAlign w:val="bottom"/>
          </w:tcPr>
          <w:p>
            <w:pPr>
              <w:spacing w:after="0" w:line="215" w:lineRule="exact"/>
              <w:rPr>
                <w:sz w:val="20"/>
                <w:szCs w:val="20"/>
                <w:color w:val="auto"/>
              </w:rPr>
            </w:pPr>
            <w:r>
              <w:rPr>
                <w:rFonts w:ascii="Calibri" w:cs="Calibri" w:eastAsia="Calibri" w:hAnsi="Calibri"/>
                <w:sz w:val="18"/>
                <w:szCs w:val="18"/>
                <w:color w:val="auto"/>
              </w:rPr>
              <w:t>Corporate bonds</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868,245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868,245</w:t>
            </w:r>
          </w:p>
        </w:tc>
      </w:tr>
      <w:tr>
        <w:trPr>
          <w:trHeight w:val="237"/>
        </w:trPr>
        <w:tc>
          <w:tcPr>
            <w:tcW w:w="20" w:type="dxa"/>
            <w:vAlign w:val="bottom"/>
          </w:tcPr>
          <w:p>
            <w:pPr>
              <w:spacing w:after="0"/>
              <w:rPr>
                <w:sz w:val="20"/>
                <w:szCs w:val="20"/>
                <w:color w:val="auto"/>
              </w:rPr>
            </w:pPr>
          </w:p>
        </w:tc>
        <w:tc>
          <w:tcPr>
            <w:tcW w:w="6980" w:type="dxa"/>
            <w:vAlign w:val="bottom"/>
            <w:shd w:val="clear" w:color="auto" w:fill="CCEEFF"/>
          </w:tcPr>
          <w:p>
            <w:pPr>
              <w:spacing w:after="0"/>
              <w:rPr>
                <w:sz w:val="20"/>
                <w:szCs w:val="20"/>
                <w:color w:val="auto"/>
              </w:rPr>
            </w:pPr>
            <w:r>
              <w:rPr>
                <w:rFonts w:ascii="Calibri" w:cs="Calibri" w:eastAsia="Calibri" w:hAnsi="Calibri"/>
                <w:sz w:val="18"/>
                <w:szCs w:val="18"/>
                <w:color w:val="auto"/>
              </w:rPr>
              <w:t>U.S. Treasury and government-sponsored enterprises</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407,321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407,321</w:t>
            </w:r>
          </w:p>
        </w:tc>
      </w:tr>
      <w:tr>
        <w:trPr>
          <w:trHeight w:val="223"/>
        </w:trPr>
        <w:tc>
          <w:tcPr>
            <w:tcW w:w="20" w:type="dxa"/>
            <w:vAlign w:val="bottom"/>
          </w:tcPr>
          <w:p>
            <w:pPr>
              <w:spacing w:after="0"/>
              <w:rPr>
                <w:sz w:val="19"/>
                <w:szCs w:val="19"/>
                <w:color w:val="auto"/>
              </w:rPr>
            </w:pPr>
          </w:p>
        </w:tc>
        <w:tc>
          <w:tcPr>
            <w:tcW w:w="6980" w:type="dxa"/>
            <w:vAlign w:val="bottom"/>
          </w:tcPr>
          <w:p>
            <w:pPr>
              <w:spacing w:after="0" w:line="215" w:lineRule="exact"/>
              <w:rPr>
                <w:sz w:val="20"/>
                <w:szCs w:val="20"/>
                <w:color w:val="auto"/>
              </w:rPr>
            </w:pPr>
            <w:r>
              <w:rPr>
                <w:rFonts w:ascii="Calibri" w:cs="Calibri" w:eastAsia="Calibri" w:hAnsi="Calibri"/>
                <w:sz w:val="18"/>
                <w:szCs w:val="18"/>
                <w:color w:val="auto"/>
              </w:rPr>
              <w:t>Municipal bonds</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7,841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7,841</w:t>
            </w:r>
          </w:p>
        </w:tc>
      </w:tr>
      <w:tr>
        <w:trPr>
          <w:trHeight w:val="230"/>
        </w:trPr>
        <w:tc>
          <w:tcPr>
            <w:tcW w:w="20" w:type="dxa"/>
            <w:vAlign w:val="bottom"/>
          </w:tcPr>
          <w:p>
            <w:pPr>
              <w:spacing w:after="0"/>
              <w:rPr>
                <w:sz w:val="19"/>
                <w:szCs w:val="19"/>
                <w:color w:val="auto"/>
              </w:rPr>
            </w:pPr>
          </w:p>
        </w:tc>
        <w:tc>
          <w:tcPr>
            <w:tcW w:w="6980" w:type="dxa"/>
            <w:vAlign w:val="bottom"/>
            <w:tcBorders>
              <w:top w:val="single" w:sz="8" w:color="CCEEFF"/>
            </w:tcBorders>
            <w:shd w:val="clear" w:color="auto" w:fill="CCEEFF"/>
          </w:tcPr>
          <w:p>
            <w:pPr>
              <w:ind w:left="200"/>
              <w:spacing w:after="0" w:line="206" w:lineRule="exact"/>
              <w:rPr>
                <w:sz w:val="20"/>
                <w:szCs w:val="20"/>
                <w:color w:val="auto"/>
              </w:rPr>
            </w:pPr>
            <w:r>
              <w:rPr>
                <w:rFonts w:ascii="Calibri" w:cs="Calibri" w:eastAsia="Calibri" w:hAnsi="Calibri"/>
                <w:sz w:val="18"/>
                <w:szCs w:val="18"/>
                <w:color w:val="auto"/>
              </w:rPr>
              <w:t>Total debt securites available-for-sale</w:t>
            </w: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1,497,423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1,497,423</w:t>
            </w:r>
          </w:p>
        </w:tc>
      </w:tr>
      <w:tr>
        <w:trPr>
          <w:trHeight w:val="222"/>
        </w:trPr>
        <w:tc>
          <w:tcPr>
            <w:tcW w:w="20" w:type="dxa"/>
            <w:vAlign w:val="bottom"/>
          </w:tcPr>
          <w:p>
            <w:pPr>
              <w:spacing w:after="0"/>
              <w:rPr>
                <w:sz w:val="19"/>
                <w:szCs w:val="19"/>
                <w:color w:val="auto"/>
              </w:rPr>
            </w:pPr>
          </w:p>
        </w:tc>
        <w:tc>
          <w:tcPr>
            <w:tcW w:w="6980" w:type="dxa"/>
            <w:vAlign w:val="bottom"/>
          </w:tcPr>
          <w:p>
            <w:pPr>
              <w:spacing w:after="0" w:line="215" w:lineRule="exact"/>
              <w:rPr>
                <w:sz w:val="20"/>
                <w:szCs w:val="20"/>
                <w:color w:val="auto"/>
              </w:rPr>
            </w:pPr>
            <w:r>
              <w:rPr>
                <w:rFonts w:ascii="Calibri" w:cs="Calibri" w:eastAsia="Calibri" w:hAnsi="Calibri"/>
                <w:sz w:val="18"/>
                <w:szCs w:val="18"/>
                <w:color w:val="auto"/>
              </w:rPr>
              <w:t>Money market funds</w:t>
            </w:r>
          </w:p>
        </w:tc>
        <w:tc>
          <w:tcPr>
            <w:tcW w:w="2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154,287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154,287</w:t>
            </w:r>
          </w:p>
        </w:tc>
      </w:tr>
      <w:tr>
        <w:trPr>
          <w:trHeight w:val="230"/>
        </w:trPr>
        <w:tc>
          <w:tcPr>
            <w:tcW w:w="20" w:type="dxa"/>
            <w:vAlign w:val="bottom"/>
          </w:tcPr>
          <w:p>
            <w:pPr>
              <w:spacing w:after="0"/>
              <w:rPr>
                <w:sz w:val="20"/>
                <w:szCs w:val="20"/>
                <w:color w:val="auto"/>
              </w:rPr>
            </w:pPr>
          </w:p>
        </w:tc>
        <w:tc>
          <w:tcPr>
            <w:tcW w:w="6980" w:type="dxa"/>
            <w:vAlign w:val="bottom"/>
            <w:shd w:val="clear" w:color="auto" w:fill="CCEEFF"/>
          </w:tcPr>
          <w:p>
            <w:pPr>
              <w:spacing w:after="0"/>
              <w:rPr>
                <w:sz w:val="20"/>
                <w:szCs w:val="20"/>
                <w:color w:val="auto"/>
              </w:rPr>
            </w:pPr>
            <w:r>
              <w:rPr>
                <w:rFonts w:ascii="Calibri" w:cs="Calibri" w:eastAsia="Calibri" w:hAnsi="Calibri"/>
                <w:sz w:val="18"/>
                <w:szCs w:val="18"/>
                <w:color w:val="auto"/>
              </w:rPr>
              <w:t>Certfcates of deposit</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72,309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72,309</w:t>
            </w:r>
          </w:p>
        </w:tc>
      </w:tr>
      <w:tr>
        <w:trPr>
          <w:trHeight w:val="229"/>
        </w:trPr>
        <w:tc>
          <w:tcPr>
            <w:tcW w:w="2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Calibri" w:cs="Calibri" w:eastAsia="Calibri" w:hAnsi="Calibri"/>
                <w:sz w:val="18"/>
                <w:szCs w:val="18"/>
                <w:color w:val="auto"/>
              </w:rPr>
              <w:t>Total fnancial assets carried at fair value</w:t>
            </w:r>
          </w:p>
        </w:tc>
        <w:tc>
          <w:tcPr>
            <w:tcW w:w="28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154,287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1,569,732</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1,724,019</w:t>
            </w:r>
          </w:p>
        </w:tc>
      </w:tr>
      <w:tr>
        <w:trPr>
          <w:trHeight w:val="21"/>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420" w:firstLine="648"/>
        <w:spacing w:after="0" w:line="235" w:lineRule="auto"/>
        <w:rPr>
          <w:sz w:val="20"/>
          <w:szCs w:val="20"/>
          <w:color w:val="auto"/>
        </w:rPr>
      </w:pPr>
      <w:r>
        <w:rPr>
          <w:rFonts w:ascii="Calibri" w:cs="Calibri" w:eastAsia="Calibri" w:hAnsi="Calibri"/>
          <w:sz w:val="18"/>
          <w:szCs w:val="18"/>
          <w:color w:val="auto"/>
        </w:rPr>
        <w:t>When available, we value marketable securites based on quoted prices for those fnancial instruments, which is a Level 1 input. Our remaining marketable securites are valued using third-party pricing sources, which use observable market prices, interest rates and yield curves observable at commonly quoted intervals for similar assets as observable inputs for pricing, which is a Level 2 input.</w:t>
      </w:r>
    </w:p>
    <w:p>
      <w:pPr>
        <w:spacing w:after="0" w:line="165"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color w:val="auto"/>
        </w:rPr>
        <w:t>The carrying amount of our remaining fnancial assets and liabilites, which include receivables and payables, approximate their fair values due to their short-term nature.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 Foreign Currency Contracts</w:t>
      </w:r>
    </w:p>
    <w:p>
      <w:pPr>
        <w:spacing w:after="0" w:line="163"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have entered into forward foreign currency exchange contracts that are not designated as hedges for accountng purposes to hedge certain operatonal exposures for the changes in foreign currency exchange rates associated with assets or liabilites denominated in foreign currencies, primarily the Euro.</w:t>
      </w:r>
    </w:p>
    <w:p>
      <w:pPr>
        <w:spacing w:after="0" w:line="165"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As of December 31, 2024, we had one forward contract outstanding to sell €3.6 million. The forward contract with a maturity of three months is recorded at fair value and is included in other current liabilites in the Consolidated Balance Sheets. The unrealized gain on the forward contract is immaterial as of December 31, 2024. The forward contract is considered a Level 2 in the fair value hierarchy of our fair value measurements. The net realized gains (losses) we recognized on the maturity of forward contracts were immaterial for the years ended December 31, 2024, 2023, respectvely and $1.2 million for the year ended December 31, 2022. Realized and unrealized gains and losses on our forward contracts are included in other income (expense), net on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7. INVENTORY</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Inventory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5"/>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68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2"/>
              <w:spacing w:after="0"/>
              <w:rPr>
                <w:sz w:val="20"/>
                <w:szCs w:val="20"/>
                <w:color w:val="auto"/>
              </w:rPr>
            </w:pPr>
            <w:r>
              <w:rPr>
                <w:rFonts w:ascii="Calibri" w:cs="Calibri" w:eastAsia="Calibri" w:hAnsi="Calibri"/>
                <w:sz w:val="16"/>
                <w:szCs w:val="16"/>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68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860" w:type="dxa"/>
            <w:vAlign w:val="bottom"/>
            <w:shd w:val="clear" w:color="auto" w:fill="CCEEFF"/>
          </w:tcPr>
          <w:p>
            <w:pPr>
              <w:spacing w:after="0" w:line="199" w:lineRule="exact"/>
              <w:rPr>
                <w:sz w:val="20"/>
                <w:szCs w:val="20"/>
                <w:color w:val="auto"/>
              </w:rPr>
            </w:pPr>
            <w:r>
              <w:rPr>
                <w:rFonts w:ascii="Calibri" w:cs="Calibri" w:eastAsia="Calibri" w:hAnsi="Calibri"/>
                <w:sz w:val="18"/>
                <w:szCs w:val="18"/>
                <w:color w:val="auto"/>
              </w:rPr>
              <w:t>Raw materials</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7,313</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860" w:type="dxa"/>
            <w:vAlign w:val="bottom"/>
          </w:tcPr>
          <w:p>
            <w:pPr>
              <w:spacing w:after="0" w:line="215" w:lineRule="exact"/>
              <w:rPr>
                <w:sz w:val="20"/>
                <w:szCs w:val="20"/>
                <w:color w:val="auto"/>
              </w:rPr>
            </w:pPr>
            <w:r>
              <w:rPr>
                <w:rFonts w:ascii="Calibri" w:cs="Calibri" w:eastAsia="Calibri" w:hAnsi="Calibri"/>
                <w:sz w:val="18"/>
                <w:szCs w:val="18"/>
                <w:color w:val="auto"/>
              </w:rPr>
              <w:t>Work in process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60,316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59,422</w:t>
            </w: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6860" w:type="dxa"/>
            <w:vAlign w:val="bottom"/>
            <w:shd w:val="clear" w:color="auto" w:fill="CCEEFF"/>
          </w:tcPr>
          <w:p>
            <w:pPr>
              <w:spacing w:after="0"/>
              <w:rPr>
                <w:sz w:val="20"/>
                <w:szCs w:val="20"/>
                <w:color w:val="auto"/>
              </w:rPr>
            </w:pPr>
            <w:r>
              <w:rPr>
                <w:rFonts w:ascii="Calibri" w:cs="Calibri" w:eastAsia="Calibri" w:hAnsi="Calibri"/>
                <w:sz w:val="18"/>
                <w:szCs w:val="18"/>
                <w:color w:val="auto"/>
              </w:rPr>
              <w:t>Finished goods</w:t>
            </w: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8,629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9,581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860" w:type="dxa"/>
            <w:vAlign w:val="bottom"/>
          </w:tcPr>
          <w:p>
            <w:pPr>
              <w:ind w:left="440"/>
              <w:spacing w:after="0"/>
              <w:rPr>
                <w:sz w:val="20"/>
                <w:szCs w:val="20"/>
                <w:color w:val="auto"/>
              </w:rPr>
            </w:pPr>
            <w:r>
              <w:rPr>
                <w:rFonts w:ascii="Calibri" w:cs="Calibri" w:eastAsia="Calibri" w:hAnsi="Calibri"/>
                <w:sz w:val="18"/>
                <w:szCs w:val="18"/>
                <w:color w:val="auto"/>
              </w:rPr>
              <w:t>Total</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71,729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76,316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68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860" w:type="dxa"/>
            <w:vAlign w:val="bottom"/>
          </w:tcPr>
          <w:p>
            <w:pPr>
              <w:spacing w:after="0" w:line="215" w:lineRule="exact"/>
              <w:rPr>
                <w:sz w:val="20"/>
                <w:szCs w:val="20"/>
                <w:color w:val="auto"/>
              </w:rPr>
            </w:pPr>
            <w:r>
              <w:rPr>
                <w:rFonts w:ascii="Calibri" w:cs="Calibri" w:eastAsia="Calibri" w:hAnsi="Calibri"/>
                <w:sz w:val="18"/>
                <w:szCs w:val="18"/>
                <w:i w:val="1"/>
                <w:iCs w:val="1"/>
                <w:color w:val="auto"/>
              </w:rPr>
              <w:t>Balance Sheet classifcaton:</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Calibri" w:cs="Calibri" w:eastAsia="Calibri" w:hAnsi="Calibri"/>
                <w:sz w:val="18"/>
                <w:szCs w:val="18"/>
                <w:color w:val="auto"/>
              </w:rPr>
              <w:t>Current porton included in inventory</w:t>
            </w: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10"/>
              <w:spacing w:after="0"/>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22,388</w:t>
            </w:r>
          </w:p>
        </w:tc>
        <w:tc>
          <w:tcPr>
            <w:tcW w:w="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50"/>
              <w:spacing w:after="0"/>
              <w:rPr>
                <w:sz w:val="20"/>
                <w:szCs w:val="20"/>
                <w:color w:val="auto"/>
              </w:rPr>
            </w:pPr>
            <w:r>
              <w:rPr>
                <w:rFonts w:ascii="Calibri" w:cs="Calibri" w:eastAsia="Calibri" w:hAnsi="Calibri"/>
                <w:sz w:val="18"/>
                <w:szCs w:val="18"/>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17,323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860" w:type="dxa"/>
            <w:vAlign w:val="bottom"/>
            <w:tcBorders>
              <w:bottom w:val="single" w:sz="8" w:color="CCEEFF"/>
            </w:tcBorders>
          </w:tcPr>
          <w:p>
            <w:pPr>
              <w:ind w:left="200"/>
              <w:spacing w:after="0" w:line="215" w:lineRule="exact"/>
              <w:rPr>
                <w:sz w:val="20"/>
                <w:szCs w:val="20"/>
                <w:color w:val="auto"/>
              </w:rPr>
            </w:pPr>
            <w:r>
              <w:rPr>
                <w:rFonts w:ascii="Calibri" w:cs="Calibri" w:eastAsia="Calibri" w:hAnsi="Calibri"/>
                <w:sz w:val="18"/>
                <w:szCs w:val="18"/>
                <w:color w:val="auto"/>
              </w:rPr>
              <w:t>Long-term porton included in other long-term assets</w:t>
            </w:r>
          </w:p>
        </w:tc>
        <w:tc>
          <w:tcPr>
            <w:tcW w:w="1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49,341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58,993</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860" w:type="dxa"/>
            <w:vAlign w:val="bottom"/>
            <w:tcBorders>
              <w:bottom w:val="single" w:sz="8" w:color="CCEEFF"/>
            </w:tcBorders>
            <w:shd w:val="clear" w:color="auto" w:fill="CCEEFF"/>
          </w:tcPr>
          <w:p>
            <w:pPr>
              <w:ind w:left="440"/>
              <w:spacing w:after="0"/>
              <w:rPr>
                <w:sz w:val="20"/>
                <w:szCs w:val="20"/>
                <w:color w:val="auto"/>
              </w:rPr>
            </w:pPr>
            <w:r>
              <w:rPr>
                <w:rFonts w:ascii="Calibri" w:cs="Calibri" w:eastAsia="Calibri" w:hAnsi="Calibri"/>
                <w:sz w:val="18"/>
                <w:szCs w:val="18"/>
                <w:color w:val="auto"/>
              </w:rPr>
              <w:t>Total</w:t>
            </w:r>
          </w:p>
        </w:tc>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71,729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76,316</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Calibri" w:cs="Calibri" w:eastAsia="Calibri" w:hAnsi="Calibri"/>
                <w:sz w:val="18"/>
                <w:szCs w:val="18"/>
                <w:b w:val="1"/>
                <w:bCs w:val="1"/>
                <w:color w:val="auto"/>
              </w:rPr>
              <w:t>NOTE 8. PROPERTY AND EQUIPMENT</w:t>
            </w: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90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860" w:type="dxa"/>
            <w:vAlign w:val="bottom"/>
          </w:tcPr>
          <w:p>
            <w:pPr>
              <w:ind w:left="620"/>
              <w:spacing w:after="0"/>
              <w:rPr>
                <w:sz w:val="20"/>
                <w:szCs w:val="20"/>
                <w:color w:val="auto"/>
              </w:rPr>
            </w:pPr>
            <w:r>
              <w:rPr>
                <w:rFonts w:ascii="Calibri" w:cs="Calibri" w:eastAsia="Calibri" w:hAnsi="Calibri"/>
                <w:sz w:val="18"/>
                <w:szCs w:val="18"/>
                <w:color w:val="auto"/>
              </w:rPr>
              <w:t>Property and equipment consisted of the following (in thousands):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540" w:type="dxa"/>
            <w:vAlign w:val="bottom"/>
            <w:gridSpan w:val="2"/>
            <w:vMerge w:val="restart"/>
          </w:tcPr>
          <w:p>
            <w:pPr>
              <w:jc w:val="center"/>
              <w:ind w:right="120"/>
              <w:spacing w:after="0"/>
              <w:rPr>
                <w:sz w:val="20"/>
                <w:szCs w:val="20"/>
                <w:color w:val="auto"/>
              </w:rPr>
            </w:pPr>
            <w:r>
              <w:rPr>
                <w:rFonts w:ascii="Calibri" w:cs="Calibri" w:eastAsia="Calibri" w:hAnsi="Calibri"/>
                <w:sz w:val="16"/>
                <w:szCs w:val="16"/>
                <w:b w:val="1"/>
                <w:bCs w:val="1"/>
                <w:color w:val="auto"/>
              </w:rPr>
              <w:t>Estmated Useful</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5"/>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686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Calibri" w:cs="Calibri" w:eastAsia="Calibri" w:hAnsi="Calibri"/>
                <w:sz w:val="16"/>
                <w:szCs w:val="16"/>
                <w:b w:val="1"/>
                <w:bCs w:val="1"/>
                <w:color w:val="auto"/>
                <w:w w:val="97"/>
              </w:rPr>
              <w:t>Lives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431"/>
              <w:spacing w:after="0"/>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86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Leasehold improvements</w:t>
            </w:r>
          </w:p>
        </w:tc>
        <w:tc>
          <w:tcPr>
            <w:tcW w:w="146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6"/>
              </w:rPr>
              <w:t>up to 15 years</w:t>
            </w: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108,277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89,038</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860" w:type="dxa"/>
            <w:vAlign w:val="bottom"/>
          </w:tcPr>
          <w:p>
            <w:pPr>
              <w:ind w:left="20"/>
              <w:spacing w:after="0" w:line="215" w:lineRule="exact"/>
              <w:rPr>
                <w:sz w:val="20"/>
                <w:szCs w:val="20"/>
                <w:color w:val="auto"/>
              </w:rPr>
            </w:pPr>
            <w:r>
              <w:rPr>
                <w:rFonts w:ascii="Calibri" w:cs="Calibri" w:eastAsia="Calibri" w:hAnsi="Calibri"/>
                <w:sz w:val="18"/>
                <w:szCs w:val="18"/>
                <w:color w:val="auto"/>
              </w:rPr>
              <w:t>Computer equipment and sofware</w:t>
            </w:r>
          </w:p>
        </w:tc>
        <w:tc>
          <w:tcPr>
            <w:tcW w:w="154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color w:val="auto"/>
                <w:w w:val="96"/>
              </w:rPr>
              <w:t>up to 3 years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15,671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19,795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Furniture and fxtures</w:t>
            </w:r>
          </w:p>
        </w:tc>
        <w:tc>
          <w:tcPr>
            <w:tcW w:w="1540" w:type="dxa"/>
            <w:vAlign w:val="bottom"/>
            <w:gridSpan w:val="2"/>
            <w:shd w:val="clear" w:color="auto" w:fill="CCEEFF"/>
          </w:tcPr>
          <w:p>
            <w:pPr>
              <w:jc w:val="center"/>
              <w:ind w:right="100"/>
              <w:spacing w:after="0"/>
              <w:rPr>
                <w:sz w:val="20"/>
                <w:szCs w:val="20"/>
                <w:color w:val="auto"/>
              </w:rPr>
            </w:pPr>
            <w:r>
              <w:rPr>
                <w:rFonts w:ascii="Calibri" w:cs="Calibri" w:eastAsia="Calibri" w:hAnsi="Calibri"/>
                <w:sz w:val="18"/>
                <w:szCs w:val="18"/>
                <w:color w:val="auto"/>
                <w:w w:val="96"/>
              </w:rPr>
              <w:t>up to 7 years</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22,865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24,919</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860" w:type="dxa"/>
            <w:vAlign w:val="bottom"/>
          </w:tcPr>
          <w:p>
            <w:pPr>
              <w:ind w:left="20"/>
              <w:spacing w:after="0" w:line="215" w:lineRule="exact"/>
              <w:rPr>
                <w:sz w:val="20"/>
                <w:szCs w:val="20"/>
                <w:color w:val="auto"/>
              </w:rPr>
            </w:pPr>
            <w:r>
              <w:rPr>
                <w:rFonts w:ascii="Calibri" w:cs="Calibri" w:eastAsia="Calibri" w:hAnsi="Calibri"/>
                <w:sz w:val="18"/>
                <w:szCs w:val="18"/>
                <w:color w:val="auto"/>
              </w:rPr>
              <w:t>Laboratory equipment</w:t>
            </w:r>
          </w:p>
        </w:tc>
        <w:tc>
          <w:tcPr>
            <w:tcW w:w="1540" w:type="dxa"/>
            <w:vAlign w:val="bottom"/>
            <w:gridSpan w:val="2"/>
          </w:tcPr>
          <w:p>
            <w:pPr>
              <w:jc w:val="center"/>
              <w:ind w:right="120"/>
              <w:spacing w:after="0" w:line="215" w:lineRule="exact"/>
              <w:rPr>
                <w:sz w:val="20"/>
                <w:szCs w:val="20"/>
                <w:color w:val="auto"/>
              </w:rPr>
            </w:pPr>
            <w:r>
              <w:rPr>
                <w:rFonts w:ascii="Calibri" w:cs="Calibri" w:eastAsia="Calibri" w:hAnsi="Calibri"/>
                <w:sz w:val="18"/>
                <w:szCs w:val="18"/>
                <w:color w:val="auto"/>
                <w:w w:val="95"/>
              </w:rPr>
              <w:t>5 years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70,435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50,904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Constructon in progress</w:t>
            </w: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2,875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24,465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860" w:type="dxa"/>
            <w:vAlign w:val="bottom"/>
          </w:tcPr>
          <w:p>
            <w:pPr>
              <w:ind w:left="180"/>
              <w:spacing w:after="0" w:line="199" w:lineRule="exact"/>
              <w:rPr>
                <w:sz w:val="20"/>
                <w:szCs w:val="20"/>
                <w:color w:val="auto"/>
              </w:rPr>
            </w:pPr>
            <w:r>
              <w:rPr>
                <w:rFonts w:ascii="Calibri" w:cs="Calibri" w:eastAsia="Calibri" w:hAnsi="Calibri"/>
                <w:sz w:val="18"/>
                <w:szCs w:val="18"/>
                <w:color w:val="auto"/>
              </w:rPr>
              <w:t>Total property and equipment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220,123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209,121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Less: accumulated depreciaton and amortzaton</w:t>
            </w: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(100,732)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(80,390)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860" w:type="dxa"/>
            <w:vAlign w:val="bottom"/>
          </w:tcPr>
          <w:p>
            <w:pPr>
              <w:ind w:left="180"/>
              <w:spacing w:after="0"/>
              <w:rPr>
                <w:sz w:val="20"/>
                <w:szCs w:val="20"/>
                <w:color w:val="auto"/>
              </w:rPr>
            </w:pPr>
            <w:r>
              <w:rPr>
                <w:rFonts w:ascii="Calibri" w:cs="Calibri" w:eastAsia="Calibri" w:hAnsi="Calibri"/>
                <w:sz w:val="18"/>
                <w:szCs w:val="18"/>
                <w:color w:val="auto"/>
              </w:rPr>
              <w:t>Total property and equipment, net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119,391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128,731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340" w:firstLine="648"/>
        <w:spacing w:after="0" w:line="235" w:lineRule="auto"/>
        <w:rPr>
          <w:sz w:val="20"/>
          <w:szCs w:val="20"/>
          <w:color w:val="auto"/>
        </w:rPr>
      </w:pPr>
      <w:r>
        <w:rPr>
          <w:rFonts w:ascii="Calibri" w:cs="Calibri" w:eastAsia="Calibri" w:hAnsi="Calibri"/>
          <w:sz w:val="18"/>
          <w:szCs w:val="18"/>
          <w:color w:val="auto"/>
        </w:rPr>
        <w:t>Depreciaton and amortzaton expense was $28.8 million, $25.7 million and $20.9 million during the years ended December 31, 2024, 2023 and 2022, respectvely.</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9. STOCKHOLDERS’ EQUITY</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Stock-based compensaton</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We allocated the stock-based compensaton expense for our equity incentve plans and our ESPP as follows (in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30"/>
              <w:spacing w:after="0"/>
              <w:rPr>
                <w:sz w:val="20"/>
                <w:szCs w:val="20"/>
                <w:color w:val="auto"/>
              </w:rPr>
            </w:pPr>
            <w:r>
              <w:rPr>
                <w:rFonts w:ascii="Calibri" w:cs="Calibri" w:eastAsia="Calibri" w:hAnsi="Calibri"/>
                <w:sz w:val="16"/>
                <w:szCs w:val="16"/>
                <w:b w:val="1"/>
                <w:bCs w:val="1"/>
                <w:color w:val="auto"/>
              </w:rPr>
              <w:t>Year Ended December 31,</w:t>
            </w:r>
          </w:p>
        </w:tc>
        <w:tc>
          <w:tcPr>
            <w:tcW w:w="1020" w:type="dxa"/>
            <w:vAlign w:val="bottom"/>
          </w:tcPr>
          <w:p>
            <w:pPr>
              <w:spacing w:after="0"/>
              <w:rPr>
                <w:sz w:val="16"/>
                <w:szCs w:val="16"/>
                <w:color w:val="auto"/>
              </w:rPr>
            </w:pPr>
          </w:p>
        </w:tc>
      </w:tr>
      <w:tr>
        <w:trPr>
          <w:trHeight w:val="41"/>
        </w:trPr>
        <w:tc>
          <w:tcPr>
            <w:tcW w:w="70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5"/>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70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70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Research and development</w:t>
            </w: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30,670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34,320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45,350</w:t>
            </w:r>
          </w:p>
        </w:tc>
      </w:tr>
      <w:tr>
        <w:trPr>
          <w:trHeight w:val="223"/>
        </w:trPr>
        <w:tc>
          <w:tcPr>
            <w:tcW w:w="70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63,166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72,025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62,224</w:t>
            </w:r>
          </w:p>
        </w:tc>
      </w:tr>
      <w:tr>
        <w:trPr>
          <w:trHeight w:val="255"/>
        </w:trPr>
        <w:tc>
          <w:tcPr>
            <w:tcW w:w="700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8"/>
                <w:szCs w:val="18"/>
                <w:color w:val="auto"/>
              </w:rPr>
              <w:t>Total stock-based compensaton expense</w:t>
            </w: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93,836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106,345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107,574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1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6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5"/>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3"/>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6980" w:type="dxa"/>
            <w:vAlign w:val="bottom"/>
            <w:shd w:val="clear" w:color="auto" w:fill="CCEEFF"/>
          </w:tcPr>
          <w:p>
            <w:pPr>
              <w:spacing w:after="0" w:line="199" w:lineRule="exact"/>
              <w:rPr>
                <w:sz w:val="20"/>
                <w:szCs w:val="20"/>
                <w:color w:val="auto"/>
              </w:rPr>
            </w:pPr>
            <w:r>
              <w:rPr>
                <w:rFonts w:ascii="Calibri" w:cs="Calibri" w:eastAsia="Calibri" w:hAnsi="Calibri"/>
                <w:sz w:val="18"/>
                <w:szCs w:val="18"/>
                <w:color w:val="auto"/>
              </w:rPr>
              <w:t>Stock optons</w:t>
            </w: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12,790</w:t>
            </w:r>
          </w:p>
        </w:tc>
      </w:tr>
      <w:tr>
        <w:trPr>
          <w:trHeight w:val="222"/>
        </w:trPr>
        <w:tc>
          <w:tcPr>
            <w:tcW w:w="6980" w:type="dxa"/>
            <w:vAlign w:val="bottom"/>
          </w:tcPr>
          <w:p>
            <w:pPr>
              <w:spacing w:after="0" w:line="215" w:lineRule="exact"/>
              <w:rPr>
                <w:sz w:val="20"/>
                <w:szCs w:val="20"/>
                <w:color w:val="auto"/>
              </w:rPr>
            </w:pPr>
            <w:r>
              <w:rPr>
                <w:rFonts w:ascii="Calibri" w:cs="Calibri" w:eastAsia="Calibri" w:hAnsi="Calibri"/>
                <w:sz w:val="18"/>
                <w:szCs w:val="18"/>
                <w:color w:val="auto"/>
              </w:rPr>
              <w:t>Restricted stock units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81,130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70,462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69,775</w:t>
            </w:r>
          </w:p>
        </w:tc>
      </w:tr>
      <w:tr>
        <w:trPr>
          <w:trHeight w:val="237"/>
        </w:trPr>
        <w:tc>
          <w:tcPr>
            <w:tcW w:w="6980" w:type="dxa"/>
            <w:vAlign w:val="bottom"/>
            <w:shd w:val="clear" w:color="auto" w:fill="CCEEFF"/>
          </w:tcPr>
          <w:p>
            <w:pPr>
              <w:spacing w:after="0"/>
              <w:rPr>
                <w:sz w:val="20"/>
                <w:szCs w:val="20"/>
                <w:color w:val="auto"/>
              </w:rPr>
            </w:pPr>
            <w:r>
              <w:rPr>
                <w:rFonts w:ascii="Calibri" w:cs="Calibri" w:eastAsia="Calibri" w:hAnsi="Calibri"/>
                <w:sz w:val="18"/>
                <w:szCs w:val="18"/>
                <w:color w:val="auto"/>
              </w:rPr>
              <w:t>Performance stock units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3,058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23,938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21,616</w:t>
            </w:r>
          </w:p>
        </w:tc>
      </w:tr>
      <w:tr>
        <w:trPr>
          <w:trHeight w:val="223"/>
        </w:trPr>
        <w:tc>
          <w:tcPr>
            <w:tcW w:w="698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Employee stock purchase plan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3,393</w:t>
            </w:r>
          </w:p>
        </w:tc>
      </w:tr>
      <w:tr>
        <w:trPr>
          <w:trHeight w:val="255"/>
        </w:trPr>
        <w:tc>
          <w:tcPr>
            <w:tcW w:w="6980" w:type="dxa"/>
            <w:vAlign w:val="bottom"/>
            <w:tcBorders>
              <w:bottom w:val="single" w:sz="8" w:color="CCEEFF"/>
            </w:tcBorders>
            <w:shd w:val="clear" w:color="auto" w:fill="CCEEFF"/>
          </w:tcPr>
          <w:p>
            <w:pPr>
              <w:ind w:left="200"/>
              <w:spacing w:after="0"/>
              <w:rPr>
                <w:sz w:val="20"/>
                <w:szCs w:val="20"/>
                <w:color w:val="auto"/>
              </w:rPr>
            </w:pPr>
            <w:r>
              <w:rPr>
                <w:rFonts w:ascii="Calibri" w:cs="Calibri" w:eastAsia="Calibri" w:hAnsi="Calibri"/>
                <w:sz w:val="18"/>
                <w:szCs w:val="18"/>
                <w:color w:val="auto"/>
              </w:rPr>
              <w:t>Total stock-based compensaton expense</w:t>
            </w: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93,836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106,345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107,574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We have an equity incentve plan under which we granted stock optons and RSUs, including PSUs, to employees and directors. As of December 31, 2024, 28.6 million shares were available for grant under the Exelixis, Inc. 2017 Equity Incentve Plan (as amended and restated, the 2017 Plan). The share reserve is reduced by 1 share for each share issued pursuant to a stock opton and 2 shares for full value awards, including RSUs and PSUs.</w:t>
      </w:r>
    </w:p>
    <w:p>
      <w:pPr>
        <w:spacing w:after="0" w:line="165"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The Board of Directors delegated responsibility for administraton of our equity incentve plan to the Compensaton Commitee of our Board of Directors, including the authority to determine the term, exercise price and vestng requirements of each grant. Stock optons granted to our employees and directors generally have a four-year vestng term and a one-year vestng term, respectvely, an exercise price equal to the fair market value on the date of grant, and a seven-year life from the date of grant. RSUs granted to our employees and directors generally have a four-year vestng term and a one-year vestng term, respectvely. PSUs granted pursuant to our equity incentve plans vest upon specifed service conditons and the achievement of a performance target or market conditon.</w:t>
      </w:r>
    </w:p>
    <w:p>
      <w:pPr>
        <w:spacing w:after="0" w:line="167" w:lineRule="exact"/>
        <w:rPr>
          <w:sz w:val="20"/>
          <w:szCs w:val="20"/>
          <w:color w:val="auto"/>
        </w:rPr>
      </w:pPr>
    </w:p>
    <w:p>
      <w:pPr>
        <w:ind w:right="100" w:firstLine="648"/>
        <w:spacing w:after="0" w:line="235" w:lineRule="auto"/>
        <w:rPr>
          <w:sz w:val="20"/>
          <w:szCs w:val="20"/>
          <w:color w:val="auto"/>
        </w:rPr>
      </w:pPr>
      <w:r>
        <w:rPr>
          <w:rFonts w:ascii="Calibri" w:cs="Calibri" w:eastAsia="Calibri" w:hAnsi="Calibri"/>
          <w:sz w:val="18"/>
          <w:szCs w:val="18"/>
          <w:color w:val="auto"/>
        </w:rPr>
        <w:t>We have adopted a Change in Control and Severance Beneft Plan for certain executve ofcers. Eligible Change in Control and Severance Beneft Plan partcipants include employees with the ttle of vice president and above. If a partcipant’s employment is terminated without cause during a period commencing three months before and ending ffeen months following a change in control, as defned in the plan document, then the Change in Control and Severance Beneft Plan partcipant is enttled to have the vestng of all their outstanding equity awards accelerated and the exercise period for their stock optons extended to no more than one year.</w:t>
      </w:r>
    </w:p>
    <w:p>
      <w:pPr>
        <w:spacing w:after="0" w:line="166"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On May 30, 2024, at the 2024 Annual Meetng of Stockholders, our stockholders approved the amendment and restatement of the Exelixis, Inc. 2000 Employee Stock Purchase Plan (as amended and restated, the Amended ESPP). The amendment and restatement increased the share reserve by 6.0 million shares. Our Amended ESPP allows for qualifed employees (as defned in the Amended ESPP) to purchase shares of our common stock at a price equal to the lower of 85% of the closing price at the beginning of the ofering period or 85% of the closing price at the end of each six-month purchase period. As of December 31, 2024, we had 7.0 million shares available for issuance under our Amended ESPP. Pursuant to the Amended ESPP, we issued 0.7 million, 0.9 million and 0.6 million shares of common stock at an average price per share of $18.23, $14.56 and $16.63 during the years ended December 31, 2024, 2023 and 2022, respectvely. Cash received from purchases under the Amended ESPP for the years ended December 31, 2024, 2023 and 2022 was $12.1 million, $12.7 million and $10.1 million, respectvely.</w:t>
      </w:r>
    </w:p>
    <w:p>
      <w:pPr>
        <w:spacing w:after="0" w:line="169" w:lineRule="exact"/>
        <w:rPr>
          <w:sz w:val="20"/>
          <w:szCs w:val="20"/>
          <w:color w:val="auto"/>
        </w:rPr>
      </w:pPr>
    </w:p>
    <w:p>
      <w:pPr>
        <w:ind w:right="300" w:firstLine="648"/>
        <w:spacing w:after="0" w:line="235" w:lineRule="auto"/>
        <w:rPr>
          <w:sz w:val="20"/>
          <w:szCs w:val="20"/>
          <w:color w:val="auto"/>
        </w:rPr>
      </w:pPr>
      <w:r>
        <w:rPr>
          <w:rFonts w:ascii="Calibri" w:cs="Calibri" w:eastAsia="Calibri" w:hAnsi="Calibri"/>
          <w:sz w:val="18"/>
          <w:szCs w:val="18"/>
          <w:color w:val="auto"/>
        </w:rPr>
        <w:t>We used a Black-Scholes Merton opton pricing model to value stock optons and ESPP purchases. The weighted average grant-date fair value per share of stock optons and ESPP purchases were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80" w:type="dxa"/>
            <w:vAlign w:val="bottom"/>
            <w:gridSpan w:val="6"/>
          </w:tcPr>
          <w:p>
            <w:pPr>
              <w:jc w:val="right"/>
              <w:ind w:right="130"/>
              <w:spacing w:after="0"/>
              <w:rPr>
                <w:sz w:val="20"/>
                <w:szCs w:val="20"/>
                <w:color w:val="auto"/>
              </w:rPr>
            </w:pPr>
            <w:r>
              <w:rPr>
                <w:rFonts w:ascii="Calibri" w:cs="Calibri" w:eastAsia="Calibri" w:hAnsi="Calibri"/>
                <w:sz w:val="16"/>
                <w:szCs w:val="16"/>
                <w:b w:val="1"/>
                <w:bCs w:val="1"/>
                <w:color w:val="auto"/>
              </w:rPr>
              <w:t>Year Ended December 31,</w:t>
            </w:r>
          </w:p>
        </w:tc>
        <w:tc>
          <w:tcPr>
            <w:tcW w:w="1020" w:type="dxa"/>
            <w:vAlign w:val="bottom"/>
          </w:tcPr>
          <w:p>
            <w:pPr>
              <w:spacing w:after="0"/>
              <w:rPr>
                <w:sz w:val="16"/>
                <w:szCs w:val="16"/>
                <w:color w:val="auto"/>
              </w:rPr>
            </w:pPr>
          </w:p>
        </w:tc>
      </w:tr>
      <w:tr>
        <w:trPr>
          <w:trHeight w:val="41"/>
        </w:trPr>
        <w:tc>
          <w:tcPr>
            <w:tcW w:w="70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5"/>
        </w:trPr>
        <w:tc>
          <w:tcPr>
            <w:tcW w:w="70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alibri" w:cs="Calibri" w:eastAsia="Calibri" w:hAnsi="Calibri"/>
                <w:sz w:val="16"/>
                <w:szCs w:val="16"/>
                <w:b w:val="1"/>
                <w:bCs w:val="1"/>
                <w:color w:val="auto"/>
              </w:rPr>
              <w:t>2024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3"/>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70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70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Stock optons</w:t>
            </w:r>
          </w:p>
        </w:tc>
        <w:tc>
          <w:tcPr>
            <w:tcW w:w="900" w:type="dxa"/>
            <w:vAlign w:val="bottom"/>
            <w:shd w:val="clear" w:color="auto" w:fill="CCEEFF"/>
          </w:tcPr>
          <w:p>
            <w:pPr>
              <w:jc w:val="right"/>
              <w:ind w:right="693"/>
              <w:spacing w:after="0" w:line="215" w:lineRule="exact"/>
              <w:rPr>
                <w:sz w:val="20"/>
                <w:szCs w:val="20"/>
                <w:color w:val="auto"/>
              </w:rPr>
            </w:pPr>
            <w:r>
              <w:rPr>
                <w:rFonts w:ascii="Calibri" w:cs="Calibri" w:eastAsia="Calibri" w:hAnsi="Calibri"/>
                <w:sz w:val="18"/>
                <w:szCs w:val="18"/>
                <w:color w:val="auto"/>
              </w:rPr>
              <w:t>$</w:t>
            </w:r>
          </w:p>
        </w:tc>
        <w:tc>
          <w:tcPr>
            <w:tcW w:w="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8.36</w:t>
            </w:r>
          </w:p>
        </w:tc>
      </w:tr>
      <w:tr>
        <w:trPr>
          <w:trHeight w:val="215"/>
        </w:trPr>
        <w:tc>
          <w:tcPr>
            <w:tcW w:w="7000" w:type="dxa"/>
            <w:vAlign w:val="bottom"/>
          </w:tcPr>
          <w:p>
            <w:pPr>
              <w:ind w:left="20"/>
              <w:spacing w:after="0" w:line="215" w:lineRule="exact"/>
              <w:rPr>
                <w:sz w:val="20"/>
                <w:szCs w:val="20"/>
                <w:color w:val="auto"/>
              </w:rPr>
            </w:pPr>
            <w:r>
              <w:rPr>
                <w:rFonts w:ascii="Calibri" w:cs="Calibri" w:eastAsia="Calibri" w:hAnsi="Calibri"/>
                <w:sz w:val="18"/>
                <w:szCs w:val="18"/>
                <w:color w:val="auto"/>
              </w:rPr>
              <w:t>ESPP</w:t>
            </w:r>
          </w:p>
        </w:tc>
        <w:tc>
          <w:tcPr>
            <w:tcW w:w="900" w:type="dxa"/>
            <w:vAlign w:val="bottom"/>
          </w:tcPr>
          <w:p>
            <w:pPr>
              <w:jc w:val="right"/>
              <w:ind w:right="693"/>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6.39</w:t>
            </w:r>
          </w:p>
        </w:tc>
        <w:tc>
          <w:tcPr>
            <w:tcW w:w="100" w:type="dxa"/>
            <w:vAlign w:val="bottom"/>
          </w:tcPr>
          <w:p>
            <w:pPr>
              <w:spacing w:after="0"/>
              <w:rPr>
                <w:sz w:val="18"/>
                <w:szCs w:val="18"/>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4.67</w:t>
            </w:r>
          </w:p>
        </w:tc>
        <w:tc>
          <w:tcPr>
            <w:tcW w:w="80" w:type="dxa"/>
            <w:vAlign w:val="bottom"/>
          </w:tcPr>
          <w:p>
            <w:pPr>
              <w:spacing w:after="0"/>
              <w:rPr>
                <w:sz w:val="18"/>
                <w:szCs w:val="18"/>
                <w:color w:val="auto"/>
              </w:rPr>
            </w:pPr>
          </w:p>
        </w:tc>
        <w:tc>
          <w:tcPr>
            <w:tcW w:w="32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grant-date fair value of stock opton grants and ESPP purchases was estmated using the following weighted average assumptons: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3360" w:type="dxa"/>
            <w:vAlign w:val="bottom"/>
            <w:gridSpan w:val="5"/>
          </w:tcPr>
          <w:p>
            <w:pPr>
              <w:ind w:left="1380"/>
              <w:spacing w:after="0"/>
              <w:rPr>
                <w:sz w:val="20"/>
                <w:szCs w:val="20"/>
                <w:color w:val="auto"/>
              </w:rPr>
            </w:pPr>
            <w:r>
              <w:rPr>
                <w:rFonts w:ascii="Calibri" w:cs="Calibri" w:eastAsia="Calibri" w:hAnsi="Calibri"/>
                <w:sz w:val="16"/>
                <w:szCs w:val="16"/>
                <w:b w:val="1"/>
                <w:bCs w:val="1"/>
                <w:color w:val="auto"/>
              </w:rPr>
              <w:t>Year Ended December 31,</w:t>
            </w:r>
          </w:p>
        </w:tc>
        <w:tc>
          <w:tcPr>
            <w:tcW w:w="1120" w:type="dxa"/>
            <w:vAlign w:val="bottom"/>
          </w:tcPr>
          <w:p>
            <w:pPr>
              <w:spacing w:after="0"/>
              <w:rPr>
                <w:sz w:val="16"/>
                <w:szCs w:val="16"/>
                <w:color w:val="auto"/>
              </w:rPr>
            </w:pPr>
          </w:p>
        </w:tc>
      </w:tr>
      <w:tr>
        <w:trPr>
          <w:trHeight w:val="41"/>
        </w:trPr>
        <w:tc>
          <w:tcPr>
            <w:tcW w:w="67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6"/>
        </w:trPr>
        <w:tc>
          <w:tcPr>
            <w:tcW w:w="6720" w:type="dxa"/>
            <w:vAlign w:val="bottom"/>
          </w:tcPr>
          <w:p>
            <w:pPr>
              <w:spacing w:after="0"/>
              <w:rPr>
                <w:sz w:val="17"/>
                <w:szCs w:val="17"/>
                <w:color w:val="auto"/>
              </w:rPr>
            </w:pPr>
          </w:p>
        </w:tc>
        <w:tc>
          <w:tcPr>
            <w:tcW w:w="1440" w:type="dxa"/>
            <w:vAlign w:val="bottom"/>
          </w:tcPr>
          <w:p>
            <w:pPr>
              <w:jc w:val="right"/>
              <w:ind w:right="472"/>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7"/>
                <w:szCs w:val="17"/>
                <w:color w:val="auto"/>
              </w:rPr>
            </w:pPr>
          </w:p>
        </w:tc>
        <w:tc>
          <w:tcPr>
            <w:tcW w:w="1440" w:type="dxa"/>
            <w:vAlign w:val="bottom"/>
          </w:tcPr>
          <w:p>
            <w:pPr>
              <w:jc w:val="right"/>
              <w:ind w:right="471"/>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451"/>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7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9"/>
        </w:trPr>
        <w:tc>
          <w:tcPr>
            <w:tcW w:w="67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Stock optons: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2"/>
        </w:trPr>
        <w:tc>
          <w:tcPr>
            <w:tcW w:w="6720" w:type="dxa"/>
            <w:vAlign w:val="bottom"/>
          </w:tcPr>
          <w:p>
            <w:pPr>
              <w:ind w:left="220"/>
              <w:spacing w:after="0" w:line="215" w:lineRule="exact"/>
              <w:rPr>
                <w:sz w:val="20"/>
                <w:szCs w:val="20"/>
                <w:color w:val="auto"/>
              </w:rPr>
            </w:pPr>
            <w:r>
              <w:rPr>
                <w:rFonts w:ascii="Calibri" w:cs="Calibri" w:eastAsia="Calibri" w:hAnsi="Calibri"/>
                <w:sz w:val="18"/>
                <w:szCs w:val="18"/>
                <w:color w:val="auto"/>
              </w:rPr>
              <w:t>Risk-free interest rate</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4.40 %</w:t>
            </w:r>
          </w:p>
        </w:tc>
        <w:tc>
          <w:tcPr>
            <w:tcW w:w="8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4.14 %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2.35 %</w:t>
            </w:r>
          </w:p>
        </w:tc>
      </w:tr>
      <w:tr>
        <w:trPr>
          <w:trHeight w:val="237"/>
        </w:trPr>
        <w:tc>
          <w:tcPr>
            <w:tcW w:w="67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Dividend yield</w:t>
            </w:r>
          </w:p>
        </w:tc>
        <w:tc>
          <w:tcPr>
            <w:tcW w:w="152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8"/>
                <w:szCs w:val="18"/>
                <w:color w:val="auto"/>
              </w:rPr>
              <w:t>— %</w:t>
            </w:r>
          </w:p>
        </w:tc>
        <w:tc>
          <w:tcPr>
            <w:tcW w:w="1840" w:type="dxa"/>
            <w:vAlign w:val="bottom"/>
            <w:gridSpan w:val="3"/>
            <w:shd w:val="clear" w:color="auto" w:fill="CCEEFF"/>
          </w:tcPr>
          <w:p>
            <w:pPr>
              <w:jc w:val="right"/>
              <w:ind w:right="420"/>
              <w:spacing w:after="0"/>
              <w:rPr>
                <w:sz w:val="20"/>
                <w:szCs w:val="20"/>
                <w:color w:val="auto"/>
              </w:rPr>
            </w:pPr>
            <w:r>
              <w:rPr>
                <w:rFonts w:ascii="Calibri" w:cs="Calibri" w:eastAsia="Calibri" w:hAnsi="Calibri"/>
                <w:sz w:val="18"/>
                <w:szCs w:val="18"/>
                <w:color w:val="auto"/>
              </w:rPr>
              <w:t>— %</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 %</w:t>
            </w:r>
          </w:p>
        </w:tc>
      </w:tr>
      <w:tr>
        <w:trPr>
          <w:trHeight w:val="222"/>
        </w:trPr>
        <w:tc>
          <w:tcPr>
            <w:tcW w:w="6720" w:type="dxa"/>
            <w:vAlign w:val="bottom"/>
          </w:tcPr>
          <w:p>
            <w:pPr>
              <w:ind w:left="220"/>
              <w:spacing w:after="0" w:line="215" w:lineRule="exact"/>
              <w:rPr>
                <w:sz w:val="20"/>
                <w:szCs w:val="20"/>
                <w:color w:val="auto"/>
              </w:rPr>
            </w:pPr>
            <w:r>
              <w:rPr>
                <w:rFonts w:ascii="Calibri" w:cs="Calibri" w:eastAsia="Calibri" w:hAnsi="Calibri"/>
                <w:sz w:val="18"/>
                <w:szCs w:val="18"/>
                <w:color w:val="auto"/>
              </w:rPr>
              <w:t>Volatlity</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39 %</w:t>
            </w:r>
          </w:p>
        </w:tc>
        <w:tc>
          <w:tcPr>
            <w:tcW w:w="8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44 %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48 %</w:t>
            </w:r>
          </w:p>
        </w:tc>
      </w:tr>
      <w:tr>
        <w:trPr>
          <w:trHeight w:val="237"/>
        </w:trPr>
        <w:tc>
          <w:tcPr>
            <w:tcW w:w="67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Expected life</w:t>
            </w:r>
          </w:p>
        </w:tc>
        <w:tc>
          <w:tcPr>
            <w:tcW w:w="152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8"/>
                <w:szCs w:val="18"/>
                <w:color w:val="auto"/>
              </w:rPr>
              <w:t>5.6 years</w:t>
            </w:r>
          </w:p>
        </w:tc>
        <w:tc>
          <w:tcPr>
            <w:tcW w:w="1840" w:type="dxa"/>
            <w:vAlign w:val="bottom"/>
            <w:gridSpan w:val="3"/>
            <w:shd w:val="clear" w:color="auto" w:fill="CCEEFF"/>
          </w:tcPr>
          <w:p>
            <w:pPr>
              <w:jc w:val="right"/>
              <w:ind w:right="420"/>
              <w:spacing w:after="0"/>
              <w:rPr>
                <w:sz w:val="20"/>
                <w:szCs w:val="20"/>
                <w:color w:val="auto"/>
              </w:rPr>
            </w:pPr>
            <w:r>
              <w:rPr>
                <w:rFonts w:ascii="Calibri" w:cs="Calibri" w:eastAsia="Calibri" w:hAnsi="Calibri"/>
                <w:sz w:val="18"/>
                <w:szCs w:val="18"/>
                <w:color w:val="auto"/>
              </w:rPr>
              <w:t>5.6 years</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 years</w:t>
            </w:r>
          </w:p>
        </w:tc>
      </w:tr>
      <w:tr>
        <w:trPr>
          <w:trHeight w:val="222"/>
        </w:trPr>
        <w:tc>
          <w:tcPr>
            <w:tcW w:w="6720" w:type="dxa"/>
            <w:vAlign w:val="bottom"/>
          </w:tcPr>
          <w:p>
            <w:pPr>
              <w:ind w:left="20"/>
              <w:spacing w:after="0" w:line="215" w:lineRule="exact"/>
              <w:rPr>
                <w:sz w:val="20"/>
                <w:szCs w:val="20"/>
                <w:color w:val="auto"/>
              </w:rPr>
            </w:pPr>
            <w:r>
              <w:rPr>
                <w:rFonts w:ascii="Calibri" w:cs="Calibri" w:eastAsia="Calibri" w:hAnsi="Calibri"/>
                <w:sz w:val="18"/>
                <w:szCs w:val="18"/>
                <w:color w:val="auto"/>
              </w:rPr>
              <w:t>ESPP:</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67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Risk-free interest rate</w:t>
            </w: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5.15 %</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5.07 %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1.49 %</w:t>
            </w:r>
          </w:p>
        </w:tc>
      </w:tr>
      <w:tr>
        <w:trPr>
          <w:trHeight w:val="222"/>
        </w:trPr>
        <w:tc>
          <w:tcPr>
            <w:tcW w:w="6720" w:type="dxa"/>
            <w:vAlign w:val="bottom"/>
          </w:tcPr>
          <w:p>
            <w:pPr>
              <w:ind w:left="220"/>
              <w:spacing w:after="0" w:line="215" w:lineRule="exact"/>
              <w:rPr>
                <w:sz w:val="20"/>
                <w:szCs w:val="20"/>
                <w:color w:val="auto"/>
              </w:rPr>
            </w:pPr>
            <w:r>
              <w:rPr>
                <w:rFonts w:ascii="Calibri" w:cs="Calibri" w:eastAsia="Calibri" w:hAnsi="Calibri"/>
                <w:sz w:val="18"/>
                <w:szCs w:val="18"/>
                <w:color w:val="auto"/>
              </w:rPr>
              <w:t>Dividend yield</w:t>
            </w:r>
          </w:p>
        </w:tc>
        <w:tc>
          <w:tcPr>
            <w:tcW w:w="15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 %</w:t>
            </w:r>
          </w:p>
        </w:tc>
        <w:tc>
          <w:tcPr>
            <w:tcW w:w="1840" w:type="dxa"/>
            <w:vAlign w:val="bottom"/>
            <w:gridSpan w:val="3"/>
          </w:tcPr>
          <w:p>
            <w:pPr>
              <w:jc w:val="right"/>
              <w:ind w:right="420"/>
              <w:spacing w:after="0" w:line="215" w:lineRule="exact"/>
              <w:rPr>
                <w:sz w:val="20"/>
                <w:szCs w:val="20"/>
                <w:color w:val="auto"/>
              </w:rPr>
            </w:pPr>
            <w:r>
              <w:rPr>
                <w:rFonts w:ascii="Calibri" w:cs="Calibri" w:eastAsia="Calibri" w:hAnsi="Calibri"/>
                <w:sz w:val="18"/>
                <w:szCs w:val="18"/>
                <w:color w:val="auto"/>
              </w:rPr>
              <w:t>— %</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 %</w:t>
            </w:r>
          </w:p>
        </w:tc>
      </w:tr>
      <w:tr>
        <w:trPr>
          <w:trHeight w:val="237"/>
        </w:trPr>
        <w:tc>
          <w:tcPr>
            <w:tcW w:w="67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Volatlity</w:t>
            </w: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34 %</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45 %</w:t>
            </w:r>
          </w:p>
        </w:tc>
      </w:tr>
      <w:tr>
        <w:trPr>
          <w:trHeight w:val="215"/>
        </w:trPr>
        <w:tc>
          <w:tcPr>
            <w:tcW w:w="6720" w:type="dxa"/>
            <w:vAlign w:val="bottom"/>
          </w:tcPr>
          <w:p>
            <w:pPr>
              <w:ind w:left="220"/>
              <w:spacing w:after="0" w:line="215" w:lineRule="exact"/>
              <w:rPr>
                <w:sz w:val="20"/>
                <w:szCs w:val="20"/>
                <w:color w:val="auto"/>
              </w:rPr>
            </w:pPr>
            <w:r>
              <w:rPr>
                <w:rFonts w:ascii="Calibri" w:cs="Calibri" w:eastAsia="Calibri" w:hAnsi="Calibri"/>
                <w:sz w:val="18"/>
                <w:szCs w:val="18"/>
                <w:color w:val="auto"/>
              </w:rPr>
              <w:t>Expected life</w:t>
            </w:r>
          </w:p>
        </w:tc>
        <w:tc>
          <w:tcPr>
            <w:tcW w:w="15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 months</w:t>
            </w:r>
          </w:p>
        </w:tc>
        <w:tc>
          <w:tcPr>
            <w:tcW w:w="1840" w:type="dxa"/>
            <w:vAlign w:val="bottom"/>
            <w:gridSpan w:val="3"/>
          </w:tcPr>
          <w:p>
            <w:pPr>
              <w:jc w:val="right"/>
              <w:ind w:right="420"/>
              <w:spacing w:after="0" w:line="215" w:lineRule="exact"/>
              <w:rPr>
                <w:sz w:val="20"/>
                <w:szCs w:val="20"/>
                <w:color w:val="auto"/>
              </w:rPr>
            </w:pPr>
            <w:r>
              <w:rPr>
                <w:rFonts w:ascii="Calibri" w:cs="Calibri" w:eastAsia="Calibri" w:hAnsi="Calibri"/>
                <w:sz w:val="18"/>
                <w:szCs w:val="18"/>
                <w:color w:val="auto"/>
              </w:rPr>
              <w:t>6 months</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 months</w:t>
            </w:r>
          </w:p>
        </w:tc>
      </w:tr>
    </w:tbl>
    <w:p>
      <w:pPr>
        <w:spacing w:after="0" w:line="249"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considered both implied and historical volatlity in developing our estmate of expected volatlity. The assumpton for the expected life of stock optons is based on historical exercise paterns and post-vestng terminaton behavior. The risk-free interest rate is based on U.S. Treasury rates with the same or similar term as the underlying award. Our dividend rate is based on historical experience and our investors’ current expectatons.</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fair value of RSUs, including PSUs, was based on the closing price of the underlying common stock on the date of grant.</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Actvity for stock optons during the year ended December 31, 2024 was as follows (in thousands</w:t>
      </w:r>
      <w:r>
        <w:rPr>
          <w:rFonts w:ascii="Calibri" w:cs="Calibri" w:eastAsia="Calibri" w:hAnsi="Calibri"/>
          <w:sz w:val="18"/>
          <w:szCs w:val="18"/>
          <w:b w:val="1"/>
          <w:bCs w:val="1"/>
          <w:color w:val="auto"/>
        </w:rPr>
        <w:t>,</w:t>
      </w:r>
      <w:r>
        <w:rPr>
          <w:rFonts w:ascii="Calibri" w:cs="Calibri" w:eastAsia="Calibri" w:hAnsi="Calibri"/>
          <w:sz w:val="18"/>
          <w:szCs w:val="18"/>
          <w:color w:val="auto"/>
        </w:rPr>
        <w:t xml:space="preserve"> except per share amounts):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80"/>
              <w:spacing w:after="0"/>
              <w:rPr>
                <w:sz w:val="20"/>
                <w:szCs w:val="20"/>
                <w:color w:val="auto"/>
              </w:rPr>
            </w:pPr>
            <w:r>
              <w:rPr>
                <w:rFonts w:ascii="Calibri" w:cs="Calibri" w:eastAsia="Calibri" w:hAnsi="Calibri"/>
                <w:sz w:val="16"/>
                <w:szCs w:val="16"/>
                <w:b w:val="1"/>
                <w:bCs w:val="1"/>
                <w:color w:val="auto"/>
              </w:rPr>
              <w:t>Weighted Average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ind w:left="40"/>
              <w:spacing w:after="0" w:line="162" w:lineRule="exact"/>
              <w:rPr>
                <w:sz w:val="20"/>
                <w:szCs w:val="20"/>
                <w:color w:val="auto"/>
              </w:rPr>
            </w:pPr>
            <w:r>
              <w:rPr>
                <w:rFonts w:ascii="Calibri" w:cs="Calibri" w:eastAsia="Calibri" w:hAnsi="Calibri"/>
                <w:sz w:val="16"/>
                <w:szCs w:val="16"/>
                <w:b w:val="1"/>
                <w:bCs w:val="1"/>
                <w:color w:val="auto"/>
              </w:rPr>
              <w:t>Weighted Average</w:t>
            </w:r>
          </w:p>
        </w:tc>
        <w:tc>
          <w:tcPr>
            <w:tcW w:w="1480" w:type="dxa"/>
            <w:vAlign w:val="bottom"/>
            <w:gridSpan w:val="2"/>
          </w:tcPr>
          <w:p>
            <w:pPr>
              <w:jc w:val="center"/>
              <w:ind w:right="80"/>
              <w:spacing w:after="0" w:line="162" w:lineRule="exact"/>
              <w:rPr>
                <w:sz w:val="20"/>
                <w:szCs w:val="20"/>
                <w:color w:val="auto"/>
              </w:rPr>
            </w:pPr>
            <w:r>
              <w:rPr>
                <w:rFonts w:ascii="Calibri" w:cs="Calibri" w:eastAsia="Calibri" w:hAnsi="Calibri"/>
                <w:sz w:val="16"/>
                <w:szCs w:val="16"/>
                <w:b w:val="1"/>
                <w:bCs w:val="1"/>
                <w:color w:val="auto"/>
              </w:rPr>
              <w:t>Remaining</w:t>
            </w:r>
          </w:p>
        </w:tc>
        <w:tc>
          <w:tcPr>
            <w:tcW w:w="1340" w:type="dxa"/>
            <w:vAlign w:val="bottom"/>
            <w:gridSpan w:val="2"/>
          </w:tcPr>
          <w:p>
            <w:pPr>
              <w:ind w:left="40"/>
              <w:spacing w:after="0" w:line="162" w:lineRule="exact"/>
              <w:rPr>
                <w:sz w:val="20"/>
                <w:szCs w:val="20"/>
                <w:color w:val="auto"/>
              </w:rPr>
            </w:pPr>
            <w:r>
              <w:rPr>
                <w:rFonts w:ascii="Calibri" w:cs="Calibri" w:eastAsia="Calibri" w:hAnsi="Calibri"/>
                <w:sz w:val="16"/>
                <w:szCs w:val="16"/>
                <w:b w:val="1"/>
                <w:bCs w:val="1"/>
                <w:color w:val="auto"/>
              </w:rPr>
              <w:t>Aggregate Intrinsic</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16"/>
                <w:szCs w:val="16"/>
                <w:color w:val="auto"/>
              </w:rPr>
            </w:pPr>
          </w:p>
        </w:tc>
        <w:tc>
          <w:tcPr>
            <w:tcW w:w="1340" w:type="dxa"/>
            <w:vAlign w:val="bottom"/>
          </w:tcPr>
          <w:p>
            <w:pPr>
              <w:jc w:val="right"/>
              <w:ind w:right="351"/>
              <w:spacing w:after="0" w:line="193" w:lineRule="exact"/>
              <w:rPr>
                <w:sz w:val="20"/>
                <w:szCs w:val="20"/>
                <w:color w:val="auto"/>
              </w:rPr>
            </w:pPr>
            <w:r>
              <w:rPr>
                <w:rFonts w:ascii="Calibri" w:cs="Calibri" w:eastAsia="Calibri" w:hAnsi="Calibri"/>
                <w:sz w:val="16"/>
                <w:szCs w:val="16"/>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40"/>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1480" w:type="dxa"/>
            <w:vAlign w:val="bottom"/>
            <w:gridSpan w:val="2"/>
          </w:tcPr>
          <w:p>
            <w:pPr>
              <w:jc w:val="center"/>
              <w:ind w:right="80"/>
              <w:spacing w:after="0" w:line="193" w:lineRule="exact"/>
              <w:rPr>
                <w:sz w:val="20"/>
                <w:szCs w:val="20"/>
                <w:color w:val="auto"/>
              </w:rPr>
            </w:pPr>
            <w:r>
              <w:rPr>
                <w:rFonts w:ascii="Calibri" w:cs="Calibri" w:eastAsia="Calibri" w:hAnsi="Calibri"/>
                <w:sz w:val="16"/>
                <w:szCs w:val="16"/>
                <w:b w:val="1"/>
                <w:bCs w:val="1"/>
                <w:color w:val="auto"/>
              </w:rPr>
              <w:t>Contractual Term</w:t>
            </w:r>
          </w:p>
        </w:tc>
        <w:tc>
          <w:tcPr>
            <w:tcW w:w="300" w:type="dxa"/>
            <w:vAlign w:val="bottom"/>
          </w:tcPr>
          <w:p>
            <w:pPr>
              <w:spacing w:after="0"/>
              <w:rPr>
                <w:sz w:val="16"/>
                <w:szCs w:val="16"/>
                <w:color w:val="auto"/>
              </w:rPr>
            </w:pPr>
          </w:p>
        </w:tc>
        <w:tc>
          <w:tcPr>
            <w:tcW w:w="1040" w:type="dxa"/>
            <w:vAlign w:val="bottom"/>
          </w:tcPr>
          <w:p>
            <w:pPr>
              <w:jc w:val="right"/>
              <w:ind w:right="392"/>
              <w:spacing w:after="0" w:line="193" w:lineRule="exact"/>
              <w:rPr>
                <w:sz w:val="20"/>
                <w:szCs w:val="20"/>
                <w:color w:val="auto"/>
              </w:rPr>
            </w:pPr>
            <w:r>
              <w:rPr>
                <w:rFonts w:ascii="Calibri" w:cs="Calibri" w:eastAsia="Calibri" w:hAnsi="Calibri"/>
                <w:sz w:val="16"/>
                <w:szCs w:val="16"/>
                <w:b w:val="1"/>
                <w:bCs w:val="1"/>
                <w:color w:val="auto"/>
              </w:rPr>
              <w:t>Value</w:t>
            </w:r>
          </w:p>
        </w:tc>
        <w:tc>
          <w:tcPr>
            <w:tcW w:w="0" w:type="dxa"/>
            <w:vAlign w:val="bottom"/>
          </w:tcPr>
          <w:p>
            <w:pPr>
              <w:spacing w:after="0"/>
              <w:rPr>
                <w:sz w:val="1"/>
                <w:szCs w:val="1"/>
                <w:color w:val="auto"/>
              </w:rPr>
            </w:pPr>
          </w:p>
        </w:tc>
      </w:tr>
      <w:tr>
        <w:trPr>
          <w:trHeight w:val="28"/>
        </w:trPr>
        <w:tc>
          <w:tcPr>
            <w:tcW w:w="5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Stock optons outstanding at December 31, 2023</w:t>
            </w: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21.24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740"/>
              <w:spacing w:after="0" w:line="215" w:lineRule="exact"/>
              <w:rPr>
                <w:sz w:val="20"/>
                <w:szCs w:val="20"/>
                <w:color w:val="auto"/>
              </w:rPr>
            </w:pPr>
            <w:r>
              <w:rPr>
                <w:rFonts w:ascii="Calibri" w:cs="Calibri" w:eastAsia="Calibri" w:hAnsi="Calibri"/>
                <w:sz w:val="18"/>
                <w:szCs w:val="18"/>
                <w:color w:val="auto"/>
                <w:w w:val="97"/>
              </w:rPr>
              <w:t>2.7 years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24,115</w:t>
            </w:r>
          </w:p>
        </w:tc>
        <w:tc>
          <w:tcPr>
            <w:tcW w:w="0" w:type="dxa"/>
            <w:vAlign w:val="bottom"/>
          </w:tcPr>
          <w:p>
            <w:pPr>
              <w:spacing w:after="0"/>
              <w:rPr>
                <w:sz w:val="1"/>
                <w:szCs w:val="1"/>
                <w:color w:val="auto"/>
              </w:rPr>
            </w:pPr>
          </w:p>
        </w:tc>
      </w:tr>
      <w:tr>
        <w:trPr>
          <w:trHeight w:val="222"/>
        </w:trPr>
        <w:tc>
          <w:tcPr>
            <w:tcW w:w="5520" w:type="dxa"/>
            <w:vAlign w:val="bottom"/>
          </w:tcPr>
          <w:p>
            <w:pPr>
              <w:ind w:left="220"/>
              <w:spacing w:after="0" w:line="215" w:lineRule="exact"/>
              <w:rPr>
                <w:sz w:val="20"/>
                <w:szCs w:val="20"/>
                <w:color w:val="auto"/>
              </w:rPr>
            </w:pPr>
            <w:r>
              <w:rPr>
                <w:rFonts w:ascii="Calibri" w:cs="Calibri" w:eastAsia="Calibri" w:hAnsi="Calibri"/>
                <w:sz w:val="18"/>
                <w:szCs w:val="18"/>
                <w:color w:val="auto"/>
              </w:rPr>
              <w:t>Granted</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124</w:t>
            </w:r>
          </w:p>
        </w:tc>
        <w:tc>
          <w:tcPr>
            <w:tcW w:w="2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22.46</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(3,051)</w:t>
            </w:r>
          </w:p>
        </w:tc>
        <w:tc>
          <w:tcPr>
            <w:tcW w:w="260" w:type="dxa"/>
            <w:vAlign w:val="bottom"/>
            <w:gridSpan w:val="2"/>
            <w:shd w:val="clear" w:color="auto" w:fill="CCEEFF"/>
          </w:tcPr>
          <w:p>
            <w:pPr>
              <w:ind w:left="120"/>
              <w:spacing w:after="0"/>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21.78</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Cancelled</w:t>
            </w: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(665)</w:t>
            </w:r>
          </w:p>
        </w:tc>
        <w:tc>
          <w:tcPr>
            <w:tcW w:w="260" w:type="dxa"/>
            <w:vAlign w:val="bottom"/>
            <w:tcBorders>
              <w:bottom w:val="single" w:sz="8" w:color="CCEEFF"/>
            </w:tcBorders>
            <w:gridSpan w:val="2"/>
          </w:tcPr>
          <w:p>
            <w:pPr>
              <w:ind w:left="12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23.22</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52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Stock optons outstanding at December 31, 2024</w:t>
            </w:r>
          </w:p>
        </w:tc>
        <w:tc>
          <w:tcPr>
            <w:tcW w:w="1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4,616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20.64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740"/>
              <w:spacing w:after="0"/>
              <w:rPr>
                <w:sz w:val="20"/>
                <w:szCs w:val="20"/>
                <w:color w:val="auto"/>
              </w:rPr>
            </w:pPr>
            <w:r>
              <w:rPr>
                <w:rFonts w:ascii="Calibri" w:cs="Calibri" w:eastAsia="Calibri" w:hAnsi="Calibri"/>
                <w:sz w:val="18"/>
                <w:szCs w:val="18"/>
                <w:color w:val="auto"/>
              </w:rPr>
              <w:t>2.5 years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61,551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line="215" w:lineRule="exact"/>
              <w:rPr>
                <w:sz w:val="20"/>
                <w:szCs w:val="20"/>
                <w:color w:val="auto"/>
              </w:rPr>
            </w:pPr>
            <w:r>
              <w:rPr>
                <w:rFonts w:ascii="Calibri" w:cs="Calibri" w:eastAsia="Calibri" w:hAnsi="Calibri"/>
                <w:sz w:val="18"/>
                <w:szCs w:val="18"/>
                <w:color w:val="auto"/>
              </w:rPr>
              <w:t>Stock optons exercisable at December 31, 2024</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204" w:lineRule="exact"/>
              <w:rPr>
                <w:sz w:val="20"/>
                <w:szCs w:val="20"/>
                <w:color w:val="auto"/>
              </w:rPr>
            </w:pPr>
            <w:r>
              <w:rPr>
                <w:rFonts w:ascii="Calibri" w:cs="Calibri" w:eastAsia="Calibri" w:hAnsi="Calibri"/>
                <w:sz w:val="18"/>
                <w:szCs w:val="18"/>
                <w:color w:val="auto"/>
              </w:rPr>
              <w:t>4,106</w:t>
            </w:r>
          </w:p>
        </w:tc>
        <w:tc>
          <w:tcPr>
            <w:tcW w:w="260" w:type="dxa"/>
            <w:vAlign w:val="bottom"/>
            <w:gridSpan w:val="2"/>
          </w:tcPr>
          <w:p>
            <w:pPr>
              <w:ind w:left="120"/>
              <w:spacing w:after="0" w:line="204"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04" w:lineRule="exact"/>
              <w:rPr>
                <w:sz w:val="20"/>
                <w:szCs w:val="20"/>
                <w:color w:val="auto"/>
              </w:rPr>
            </w:pPr>
            <w:r>
              <w:rPr>
                <w:rFonts w:ascii="Calibri" w:cs="Calibri" w:eastAsia="Calibri" w:hAnsi="Calibri"/>
                <w:sz w:val="18"/>
                <w:szCs w:val="18"/>
                <w:color w:val="auto"/>
              </w:rPr>
              <w:t>20.58</w:t>
            </w:r>
          </w:p>
        </w:tc>
        <w:tc>
          <w:tcPr>
            <w:tcW w:w="80" w:type="dxa"/>
            <w:vAlign w:val="bottom"/>
          </w:tcPr>
          <w:p>
            <w:pPr>
              <w:spacing w:after="0"/>
              <w:rPr>
                <w:sz w:val="17"/>
                <w:szCs w:val="17"/>
                <w:color w:val="auto"/>
              </w:rPr>
            </w:pPr>
          </w:p>
        </w:tc>
        <w:tc>
          <w:tcPr>
            <w:tcW w:w="1480" w:type="dxa"/>
            <w:vAlign w:val="bottom"/>
            <w:gridSpan w:val="2"/>
          </w:tcPr>
          <w:p>
            <w:pPr>
              <w:ind w:left="740"/>
              <w:spacing w:after="0" w:line="204" w:lineRule="exact"/>
              <w:rPr>
                <w:sz w:val="20"/>
                <w:szCs w:val="20"/>
                <w:color w:val="auto"/>
              </w:rPr>
            </w:pPr>
            <w:r>
              <w:rPr>
                <w:rFonts w:ascii="Calibri" w:cs="Calibri" w:eastAsia="Calibri" w:hAnsi="Calibri"/>
                <w:sz w:val="18"/>
                <w:szCs w:val="18"/>
                <w:color w:val="auto"/>
              </w:rPr>
              <w:t>2.2 years</w:t>
            </w:r>
          </w:p>
        </w:tc>
        <w:tc>
          <w:tcPr>
            <w:tcW w:w="300" w:type="dxa"/>
            <w:vAlign w:val="bottom"/>
          </w:tcPr>
          <w:p>
            <w:pPr>
              <w:ind w:left="20"/>
              <w:spacing w:after="0" w:line="204"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line="204" w:lineRule="exact"/>
              <w:rPr>
                <w:sz w:val="20"/>
                <w:szCs w:val="20"/>
                <w:color w:val="auto"/>
              </w:rPr>
            </w:pPr>
            <w:r>
              <w:rPr>
                <w:rFonts w:ascii="Calibri" w:cs="Calibri" w:eastAsia="Calibri" w:hAnsi="Calibri"/>
                <w:sz w:val="18"/>
                <w:szCs w:val="18"/>
                <w:color w:val="auto"/>
              </w:rPr>
              <w:t>54,974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As of December 31, 2024, there was $3.9 million of unrecognized compensaton expense related to our unvested stock optons. The compensaton expense for the unvested stock optons will be recognized over a weighted-average period of 1.6 years.</w:t>
      </w:r>
    </w:p>
    <w:p>
      <w:pPr>
        <w:spacing w:after="0" w:line="164"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The aggregate intrinsic value in the table above represents the total intrinsic value (the diference between our closing stock price on the last trading day of fscal year 2024 and the exercise prices, multplied by the number of in-the-money stock optons) that would have been received by the stock opton holders had all stock opton holders exercised their stock optons on December 31, 2024. The total intrinsic value of stock optons exercised during the years ended December 31, 2024, 2023 and 2022 was $16.7 million, $16.7 million and $36.5 million, respectvely. Cash received from stock opton exercises during the years ended December 31, 2024, 2023 and 2022 was $49.6 million, $20.8 million and $13.9 million, respectvely.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Actvity for RSUs during the year ended December 31, 2024 was as follows (in thousands, except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Calibri" w:cs="Calibri" w:eastAsia="Calibri" w:hAnsi="Calibri"/>
                <w:sz w:val="16"/>
                <w:szCs w:val="16"/>
                <w:b w:val="1"/>
                <w:bCs w:val="1"/>
                <w:color w:val="auto"/>
              </w:rPr>
              <w:t>Weighted Average</w:t>
            </w:r>
          </w:p>
        </w:tc>
        <w:tc>
          <w:tcPr>
            <w:tcW w:w="1420" w:type="dxa"/>
            <w:vAlign w:val="bottom"/>
            <w:gridSpan w:val="2"/>
          </w:tcPr>
          <w:p>
            <w:pPr>
              <w:jc w:val="center"/>
              <w:ind w:right="100"/>
              <w:spacing w:after="0"/>
              <w:rPr>
                <w:sz w:val="20"/>
                <w:szCs w:val="20"/>
                <w:color w:val="auto"/>
              </w:rPr>
            </w:pPr>
            <w:r>
              <w:rPr>
                <w:rFonts w:ascii="Calibri" w:cs="Calibri" w:eastAsia="Calibri" w:hAnsi="Calibri"/>
                <w:sz w:val="16"/>
                <w:szCs w:val="16"/>
                <w:b w:val="1"/>
                <w:bCs w:val="1"/>
                <w:color w:val="auto"/>
              </w:rPr>
              <w:t>Weighted Average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Calibri" w:cs="Calibri" w:eastAsia="Calibri" w:hAnsi="Calibri"/>
                <w:sz w:val="16"/>
                <w:szCs w:val="16"/>
                <w:b w:val="1"/>
                <w:bCs w:val="1"/>
                <w:color w:val="auto"/>
              </w:rPr>
              <w:t>Grant Date</w:t>
            </w:r>
          </w:p>
        </w:tc>
        <w:tc>
          <w:tcPr>
            <w:tcW w:w="142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b w:val="1"/>
                <w:bCs w:val="1"/>
                <w:color w:val="auto"/>
              </w:rPr>
              <w:t>Remaining</w:t>
            </w:r>
          </w:p>
        </w:tc>
        <w:tc>
          <w:tcPr>
            <w:tcW w:w="1340" w:type="dxa"/>
            <w:vAlign w:val="bottom"/>
            <w:gridSpan w:val="2"/>
          </w:tcPr>
          <w:p>
            <w:pPr>
              <w:ind w:left="40"/>
              <w:spacing w:after="0" w:line="162" w:lineRule="exact"/>
              <w:rPr>
                <w:sz w:val="20"/>
                <w:szCs w:val="20"/>
                <w:color w:val="auto"/>
              </w:rPr>
            </w:pPr>
            <w:r>
              <w:rPr>
                <w:rFonts w:ascii="Calibri" w:cs="Calibri" w:eastAsia="Calibri" w:hAnsi="Calibri"/>
                <w:sz w:val="16"/>
                <w:szCs w:val="16"/>
                <w:b w:val="1"/>
                <w:bCs w:val="1"/>
                <w:color w:val="auto"/>
              </w:rPr>
              <w:t>Aggregate Intrinsic</w:t>
            </w:r>
          </w:p>
        </w:tc>
      </w:tr>
      <w:tr>
        <w:trPr>
          <w:trHeight w:val="193"/>
        </w:trPr>
        <w:tc>
          <w:tcPr>
            <w:tcW w:w="5620" w:type="dxa"/>
            <w:vAlign w:val="bottom"/>
          </w:tcPr>
          <w:p>
            <w:pPr>
              <w:spacing w:after="0"/>
              <w:rPr>
                <w:sz w:val="16"/>
                <w:szCs w:val="16"/>
                <w:color w:val="auto"/>
              </w:rPr>
            </w:pPr>
          </w:p>
        </w:tc>
        <w:tc>
          <w:tcPr>
            <w:tcW w:w="1320" w:type="dxa"/>
            <w:vAlign w:val="bottom"/>
          </w:tcPr>
          <w:p>
            <w:pPr>
              <w:jc w:val="right"/>
              <w:ind w:right="352"/>
              <w:spacing w:after="0" w:line="193" w:lineRule="exact"/>
              <w:rPr>
                <w:sz w:val="20"/>
                <w:szCs w:val="20"/>
                <w:color w:val="auto"/>
              </w:rPr>
            </w:pPr>
            <w:r>
              <w:rPr>
                <w:rFonts w:ascii="Calibri" w:cs="Calibri" w:eastAsia="Calibri" w:hAnsi="Calibri"/>
                <w:sz w:val="16"/>
                <w:szCs w:val="16"/>
                <w:b w:val="1"/>
                <w:bCs w:val="1"/>
                <w:color w:val="auto"/>
              </w:rPr>
              <w:t>Shares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line="193" w:lineRule="exact"/>
              <w:rPr>
                <w:sz w:val="20"/>
                <w:szCs w:val="20"/>
                <w:color w:val="auto"/>
              </w:rPr>
            </w:pPr>
            <w:r>
              <w:rPr>
                <w:rFonts w:ascii="Calibri" w:cs="Calibri" w:eastAsia="Calibri" w:hAnsi="Calibri"/>
                <w:sz w:val="16"/>
                <w:szCs w:val="16"/>
                <w:b w:val="1"/>
                <w:bCs w:val="1"/>
                <w:color w:val="auto"/>
                <w:w w:val="99"/>
              </w:rPr>
              <w:t>Fair Value</w:t>
            </w:r>
          </w:p>
        </w:tc>
        <w:tc>
          <w:tcPr>
            <w:tcW w:w="142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b w:val="1"/>
                <w:bCs w:val="1"/>
                <w:color w:val="auto"/>
              </w:rPr>
              <w:t>Contractual Term</w:t>
            </w:r>
          </w:p>
        </w:tc>
        <w:tc>
          <w:tcPr>
            <w:tcW w:w="300" w:type="dxa"/>
            <w:vAlign w:val="bottom"/>
          </w:tcPr>
          <w:p>
            <w:pPr>
              <w:spacing w:after="0"/>
              <w:rPr>
                <w:sz w:val="16"/>
                <w:szCs w:val="16"/>
                <w:color w:val="auto"/>
              </w:rPr>
            </w:pPr>
          </w:p>
        </w:tc>
        <w:tc>
          <w:tcPr>
            <w:tcW w:w="1040" w:type="dxa"/>
            <w:vAlign w:val="bottom"/>
          </w:tcPr>
          <w:p>
            <w:pPr>
              <w:jc w:val="right"/>
              <w:ind w:right="393"/>
              <w:spacing w:after="0" w:line="193" w:lineRule="exact"/>
              <w:rPr>
                <w:sz w:val="20"/>
                <w:szCs w:val="20"/>
                <w:color w:val="auto"/>
              </w:rPr>
            </w:pPr>
            <w:r>
              <w:rPr>
                <w:rFonts w:ascii="Calibri" w:cs="Calibri" w:eastAsia="Calibri" w:hAnsi="Calibri"/>
                <w:sz w:val="16"/>
                <w:szCs w:val="16"/>
                <w:b w:val="1"/>
                <w:bCs w:val="1"/>
                <w:color w:val="auto"/>
              </w:rPr>
              <w:t>Value</w:t>
            </w:r>
          </w:p>
        </w:tc>
      </w:tr>
      <w:tr>
        <w:trPr>
          <w:trHeight w:val="28"/>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RSUs outstanding at December 31, 2023</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22.72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680"/>
              <w:spacing w:after="0" w:line="215" w:lineRule="exact"/>
              <w:rPr>
                <w:sz w:val="20"/>
                <w:szCs w:val="20"/>
                <w:color w:val="auto"/>
              </w:rPr>
            </w:pPr>
            <w:r>
              <w:rPr>
                <w:rFonts w:ascii="Calibri" w:cs="Calibri" w:eastAsia="Calibri" w:hAnsi="Calibri"/>
                <w:sz w:val="18"/>
                <w:szCs w:val="18"/>
                <w:color w:val="auto"/>
                <w:w w:val="93"/>
              </w:rPr>
              <w:t>1.7 years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284,856</w:t>
            </w:r>
          </w:p>
        </w:tc>
      </w:tr>
      <w:tr>
        <w:trPr>
          <w:trHeight w:val="222"/>
        </w:trPr>
        <w:tc>
          <w:tcPr>
            <w:tcW w:w="5620" w:type="dxa"/>
            <w:vAlign w:val="bottom"/>
          </w:tcPr>
          <w:p>
            <w:pPr>
              <w:ind w:left="220"/>
              <w:spacing w:after="0" w:line="215" w:lineRule="exact"/>
              <w:rPr>
                <w:sz w:val="20"/>
                <w:szCs w:val="20"/>
                <w:color w:val="auto"/>
              </w:rPr>
            </w:pPr>
            <w:r>
              <w:rPr>
                <w:rFonts w:ascii="Calibri" w:cs="Calibri" w:eastAsia="Calibri" w:hAnsi="Calibri"/>
                <w:sz w:val="18"/>
                <w:szCs w:val="18"/>
                <w:color w:val="auto"/>
              </w:rPr>
              <w:t>Awarded</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5,974</w:t>
            </w:r>
          </w:p>
        </w:tc>
        <w:tc>
          <w:tcPr>
            <w:tcW w:w="30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21.74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562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Vested and released</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(2,845)</w:t>
            </w:r>
          </w:p>
        </w:tc>
        <w:tc>
          <w:tcPr>
            <w:tcW w:w="300" w:type="dxa"/>
            <w:vAlign w:val="bottom"/>
            <w:gridSpan w:val="2"/>
            <w:shd w:val="clear" w:color="auto" w:fill="CCEEFF"/>
          </w:tcPr>
          <w:p>
            <w:pPr>
              <w:ind w:left="120"/>
              <w:spacing w:after="0"/>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20.71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3"/>
        </w:trPr>
        <w:tc>
          <w:tcPr>
            <w:tcW w:w="562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Forfeited</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(2,063)</w:t>
            </w:r>
          </w:p>
        </w:tc>
        <w:tc>
          <w:tcPr>
            <w:tcW w:w="300" w:type="dxa"/>
            <w:vAlign w:val="bottom"/>
            <w:tcBorders>
              <w:bottom w:val="single" w:sz="8" w:color="CCEEFF"/>
            </w:tcBorders>
            <w:gridSpan w:val="2"/>
          </w:tcPr>
          <w:p>
            <w:pPr>
              <w:ind w:left="1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21.86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55"/>
        </w:trPr>
        <w:tc>
          <w:tcPr>
            <w:tcW w:w="5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RSUs outstanding at December 31, 2024</w:t>
            </w:r>
          </w:p>
        </w:tc>
        <w:tc>
          <w:tcPr>
            <w:tcW w:w="13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12,940</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680"/>
              <w:spacing w:after="0"/>
              <w:rPr>
                <w:sz w:val="20"/>
                <w:szCs w:val="20"/>
                <w:color w:val="auto"/>
              </w:rPr>
            </w:pPr>
            <w:r>
              <w:rPr>
                <w:rFonts w:ascii="Calibri" w:cs="Calibri" w:eastAsia="Calibri" w:hAnsi="Calibri"/>
                <w:sz w:val="18"/>
                <w:szCs w:val="18"/>
                <w:color w:val="auto"/>
              </w:rPr>
              <w:t>1.5 years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439,580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ind w:right="220" w:firstLine="648"/>
        <w:spacing w:after="0" w:line="235" w:lineRule="auto"/>
        <w:rPr>
          <w:sz w:val="20"/>
          <w:szCs w:val="20"/>
          <w:color w:val="auto"/>
        </w:rPr>
      </w:pPr>
      <w:r>
        <w:rPr>
          <w:rFonts w:ascii="Calibri" w:cs="Calibri" w:eastAsia="Calibri" w:hAnsi="Calibri"/>
          <w:sz w:val="18"/>
          <w:szCs w:val="18"/>
          <w:color w:val="auto"/>
        </w:rPr>
        <w:t>As of December 31, 2024, there was $161.1 million of unrecognized compensaton expense related to our unvested RSUs which will be recognized over a weighted-average period of 2.2 years.</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Actvity for PSUs during the year ended December 31, 2024 was as follows (in thousands</w:t>
      </w:r>
      <w:r>
        <w:rPr>
          <w:rFonts w:ascii="Calibri" w:cs="Calibri" w:eastAsia="Calibri" w:hAnsi="Calibri"/>
          <w:sz w:val="18"/>
          <w:szCs w:val="18"/>
          <w:b w:val="1"/>
          <w:bCs w:val="1"/>
          <w:color w:val="auto"/>
        </w:rPr>
        <w:t>,</w:t>
      </w:r>
      <w:r>
        <w:rPr>
          <w:rFonts w:ascii="Calibri" w:cs="Calibri" w:eastAsia="Calibri" w:hAnsi="Calibri"/>
          <w:sz w:val="18"/>
          <w:szCs w:val="18"/>
          <w:color w:val="auto"/>
        </w:rPr>
        <w:t xml:space="preserve"> except per share amounts):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Calibri" w:cs="Calibri" w:eastAsia="Calibri" w:hAnsi="Calibri"/>
                <w:sz w:val="16"/>
                <w:szCs w:val="16"/>
                <w:b w:val="1"/>
                <w:bCs w:val="1"/>
                <w:color w:val="auto"/>
              </w:rPr>
              <w:t>Weighted Average</w:t>
            </w:r>
          </w:p>
        </w:tc>
        <w:tc>
          <w:tcPr>
            <w:tcW w:w="1440" w:type="dxa"/>
            <w:vAlign w:val="bottom"/>
            <w:gridSpan w:val="2"/>
          </w:tcPr>
          <w:p>
            <w:pPr>
              <w:jc w:val="center"/>
              <w:ind w:right="100"/>
              <w:spacing w:after="0"/>
              <w:rPr>
                <w:sz w:val="20"/>
                <w:szCs w:val="20"/>
                <w:color w:val="auto"/>
              </w:rPr>
            </w:pPr>
            <w:r>
              <w:rPr>
                <w:rFonts w:ascii="Calibri" w:cs="Calibri" w:eastAsia="Calibri" w:hAnsi="Calibri"/>
                <w:sz w:val="16"/>
                <w:szCs w:val="16"/>
                <w:b w:val="1"/>
                <w:bCs w:val="1"/>
                <w:color w:val="auto"/>
              </w:rPr>
              <w:t>Weighted Average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62"/>
        </w:trPr>
        <w:tc>
          <w:tcPr>
            <w:tcW w:w="5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Calibri" w:cs="Calibri" w:eastAsia="Calibri" w:hAnsi="Calibri"/>
                <w:sz w:val="16"/>
                <w:szCs w:val="16"/>
                <w:b w:val="1"/>
                <w:bCs w:val="1"/>
                <w:color w:val="auto"/>
                <w:w w:val="98"/>
              </w:rPr>
              <w:t>Grant Date</w:t>
            </w:r>
          </w:p>
        </w:tc>
        <w:tc>
          <w:tcPr>
            <w:tcW w:w="1440" w:type="dxa"/>
            <w:vAlign w:val="bottom"/>
            <w:gridSpan w:val="2"/>
          </w:tcPr>
          <w:p>
            <w:pPr>
              <w:jc w:val="center"/>
              <w:ind w:right="80"/>
              <w:spacing w:after="0" w:line="162" w:lineRule="exact"/>
              <w:rPr>
                <w:sz w:val="20"/>
                <w:szCs w:val="20"/>
                <w:color w:val="auto"/>
              </w:rPr>
            </w:pPr>
            <w:r>
              <w:rPr>
                <w:rFonts w:ascii="Calibri" w:cs="Calibri" w:eastAsia="Calibri" w:hAnsi="Calibri"/>
                <w:sz w:val="16"/>
                <w:szCs w:val="16"/>
                <w:b w:val="1"/>
                <w:bCs w:val="1"/>
                <w:color w:val="auto"/>
              </w:rPr>
              <w:t>Remaining</w:t>
            </w:r>
          </w:p>
        </w:tc>
        <w:tc>
          <w:tcPr>
            <w:tcW w:w="1340" w:type="dxa"/>
            <w:vAlign w:val="bottom"/>
            <w:gridSpan w:val="2"/>
          </w:tcPr>
          <w:p>
            <w:pPr>
              <w:ind w:left="40"/>
              <w:spacing w:after="0" w:line="162" w:lineRule="exact"/>
              <w:rPr>
                <w:sz w:val="20"/>
                <w:szCs w:val="20"/>
                <w:color w:val="auto"/>
              </w:rPr>
            </w:pPr>
            <w:r>
              <w:rPr>
                <w:rFonts w:ascii="Calibri" w:cs="Calibri" w:eastAsia="Calibri" w:hAnsi="Calibri"/>
                <w:sz w:val="16"/>
                <w:szCs w:val="16"/>
                <w:b w:val="1"/>
                <w:bCs w:val="1"/>
                <w:color w:val="auto"/>
              </w:rPr>
              <w:t>Aggregate Intrinsic</w:t>
            </w:r>
          </w:p>
        </w:tc>
      </w:tr>
      <w:tr>
        <w:trPr>
          <w:trHeight w:val="193"/>
        </w:trPr>
        <w:tc>
          <w:tcPr>
            <w:tcW w:w="5540" w:type="dxa"/>
            <w:vAlign w:val="bottom"/>
          </w:tcPr>
          <w:p>
            <w:pPr>
              <w:spacing w:after="0"/>
              <w:rPr>
                <w:sz w:val="16"/>
                <w:szCs w:val="16"/>
                <w:color w:val="auto"/>
              </w:rPr>
            </w:pPr>
          </w:p>
        </w:tc>
        <w:tc>
          <w:tcPr>
            <w:tcW w:w="1340" w:type="dxa"/>
            <w:vAlign w:val="bottom"/>
          </w:tcPr>
          <w:p>
            <w:pPr>
              <w:jc w:val="right"/>
              <w:ind w:right="352"/>
              <w:spacing w:after="0" w:line="193" w:lineRule="exact"/>
              <w:rPr>
                <w:sz w:val="20"/>
                <w:szCs w:val="20"/>
                <w:color w:val="auto"/>
              </w:rPr>
            </w:pPr>
            <w:r>
              <w:rPr>
                <w:rFonts w:ascii="Calibri" w:cs="Calibri" w:eastAsia="Calibri" w:hAnsi="Calibri"/>
                <w:sz w:val="16"/>
                <w:szCs w:val="16"/>
                <w:b w:val="1"/>
                <w:bCs w:val="1"/>
                <w:color w:val="auto"/>
              </w:rPr>
              <w:t>Shares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w w:val="99"/>
              </w:rPr>
              <w:t>Fair Value</w:t>
            </w:r>
          </w:p>
        </w:tc>
        <w:tc>
          <w:tcPr>
            <w:tcW w:w="144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b w:val="1"/>
                <w:bCs w:val="1"/>
                <w:color w:val="auto"/>
              </w:rPr>
              <w:t>Contractual Term</w:t>
            </w:r>
          </w:p>
        </w:tc>
        <w:tc>
          <w:tcPr>
            <w:tcW w:w="300" w:type="dxa"/>
            <w:vAlign w:val="bottom"/>
          </w:tcPr>
          <w:p>
            <w:pPr>
              <w:spacing w:after="0"/>
              <w:rPr>
                <w:sz w:val="16"/>
                <w:szCs w:val="16"/>
                <w:color w:val="auto"/>
              </w:rPr>
            </w:pPr>
          </w:p>
        </w:tc>
        <w:tc>
          <w:tcPr>
            <w:tcW w:w="1040" w:type="dxa"/>
            <w:vAlign w:val="bottom"/>
          </w:tcPr>
          <w:p>
            <w:pPr>
              <w:jc w:val="right"/>
              <w:ind w:right="393"/>
              <w:spacing w:after="0" w:line="193" w:lineRule="exact"/>
              <w:rPr>
                <w:sz w:val="20"/>
                <w:szCs w:val="20"/>
                <w:color w:val="auto"/>
              </w:rPr>
            </w:pPr>
            <w:r>
              <w:rPr>
                <w:rFonts w:ascii="Calibri" w:cs="Calibri" w:eastAsia="Calibri" w:hAnsi="Calibri"/>
                <w:sz w:val="16"/>
                <w:szCs w:val="16"/>
                <w:b w:val="1"/>
                <w:bCs w:val="1"/>
                <w:color w:val="auto"/>
              </w:rPr>
              <w:t>Value</w:t>
            </w:r>
          </w:p>
        </w:tc>
      </w:tr>
      <w:tr>
        <w:trPr>
          <w:trHeight w:val="28"/>
        </w:trPr>
        <w:tc>
          <w:tcPr>
            <w:tcW w:w="5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5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PSUs outstanding at December 31, 2023</w:t>
            </w: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23.60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ind w:left="680"/>
              <w:spacing w:after="0" w:line="215" w:lineRule="exact"/>
              <w:rPr>
                <w:sz w:val="20"/>
                <w:szCs w:val="20"/>
                <w:color w:val="auto"/>
              </w:rPr>
            </w:pPr>
            <w:r>
              <w:rPr>
                <w:rFonts w:ascii="Calibri" w:cs="Calibri" w:eastAsia="Calibri" w:hAnsi="Calibri"/>
                <w:sz w:val="18"/>
                <w:szCs w:val="18"/>
                <w:color w:val="auto"/>
                <w:w w:val="97"/>
              </w:rPr>
              <w:t>1.3 years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93,351</w:t>
            </w:r>
          </w:p>
        </w:tc>
      </w:tr>
      <w:tr>
        <w:trPr>
          <w:trHeight w:val="222"/>
        </w:trPr>
        <w:tc>
          <w:tcPr>
            <w:tcW w:w="5540" w:type="dxa"/>
            <w:vAlign w:val="bottom"/>
          </w:tcPr>
          <w:p>
            <w:pPr>
              <w:ind w:left="220"/>
              <w:spacing w:after="0" w:line="215" w:lineRule="exact"/>
              <w:rPr>
                <w:sz w:val="20"/>
                <w:szCs w:val="20"/>
                <w:color w:val="auto"/>
              </w:rPr>
            </w:pPr>
            <w:r>
              <w:rPr>
                <w:rFonts w:ascii="Calibri" w:cs="Calibri" w:eastAsia="Calibri" w:hAnsi="Calibri"/>
                <w:sz w:val="18"/>
                <w:szCs w:val="18"/>
                <w:color w:val="auto"/>
              </w:rPr>
              <w:t>Awarded</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192</w:t>
            </w:r>
          </w:p>
        </w:tc>
        <w:tc>
          <w:tcPr>
            <w:tcW w:w="30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24.54</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7"/>
        </w:trPr>
        <w:tc>
          <w:tcPr>
            <w:tcW w:w="55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Vested and released</w:t>
            </w: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(901)</w:t>
            </w:r>
          </w:p>
        </w:tc>
        <w:tc>
          <w:tcPr>
            <w:tcW w:w="300" w:type="dxa"/>
            <w:vAlign w:val="bottom"/>
            <w:gridSpan w:val="2"/>
            <w:shd w:val="clear" w:color="auto" w:fill="CCEEFF"/>
          </w:tcPr>
          <w:p>
            <w:pPr>
              <w:ind w:left="120"/>
              <w:spacing w:after="0"/>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23.87</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3"/>
        </w:trPr>
        <w:tc>
          <w:tcPr>
            <w:tcW w:w="554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Forfeited</w:t>
            </w: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(2,733)</w:t>
            </w:r>
          </w:p>
        </w:tc>
        <w:tc>
          <w:tcPr>
            <w:tcW w:w="300" w:type="dxa"/>
            <w:vAlign w:val="bottom"/>
            <w:tcBorders>
              <w:bottom w:val="single" w:sz="8" w:color="CCEEFF"/>
            </w:tcBorders>
            <w:gridSpan w:val="2"/>
          </w:tcPr>
          <w:p>
            <w:pPr>
              <w:ind w:left="12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CEEFF"/>
            </w:tcBorders>
          </w:tcPr>
          <w:p>
            <w:pPr>
              <w:jc w:val="right"/>
              <w:spacing w:after="0" w:line="215" w:lineRule="exact"/>
              <w:rPr>
                <w:sz w:val="20"/>
                <w:szCs w:val="20"/>
                <w:color w:val="auto"/>
              </w:rPr>
            </w:pPr>
            <w:r>
              <w:rPr>
                <w:rFonts w:ascii="Calibri" w:cs="Calibri" w:eastAsia="Calibri" w:hAnsi="Calibri"/>
                <w:sz w:val="18"/>
                <w:szCs w:val="18"/>
                <w:color w:val="auto"/>
              </w:rPr>
              <w:t>23.42</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54"/>
        </w:trPr>
        <w:tc>
          <w:tcPr>
            <w:tcW w:w="5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PSUs outstanding at December 31, 2024</w:t>
            </w:r>
          </w:p>
        </w:tc>
        <w:tc>
          <w:tcPr>
            <w:tcW w:w="1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449</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24.54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680"/>
              <w:spacing w:after="0"/>
              <w:rPr>
                <w:sz w:val="20"/>
                <w:szCs w:val="20"/>
                <w:color w:val="auto"/>
              </w:rPr>
            </w:pPr>
            <w:r>
              <w:rPr>
                <w:rFonts w:ascii="Calibri" w:cs="Calibri" w:eastAsia="Calibri" w:hAnsi="Calibri"/>
                <w:sz w:val="18"/>
                <w:szCs w:val="18"/>
                <w:color w:val="auto"/>
              </w:rPr>
              <w:t>0.1 years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15,257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February 2024, we awarded to certain employees an aggregate of 1.3 million RSUs (the target number) that are subject to a total shareholder return (TSR) market conditon (the 2024 TSR-based RSUs). The TSR market conditon is based on our relatve TSR percentle rank compared to companies in the Nasdaq Biotechnology Index during the performance period, which is December 30, 2023 through January 1, 2027. Depending on the results relatve to the TSR market conditon, the holders of the 2024 TSR-based RSUs may earn up to 175% of the target number of shares. 50% of the shares earned pursuant to the 2024 TSR-based RSU awards will vest shortly afer the end of the performance period, and the remainder will vest approximately one year later, subject to an employee’s contnuous service. These 2024 TSR-based RSUs will be forfeited if the market conditon at or above a threshold level is not achieved at the end of the performance period on January 1, 2027.</w:t>
      </w:r>
    </w:p>
    <w:p>
      <w:pPr>
        <w:spacing w:after="0" w:line="168"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In April 2023, we awarded to certain employees an aggregate of 0.8 million RSUs (the target amount) that are subject to a TSR market conditon (the 2023 TSR-based RSUs). The TSR market conditon is based on our relatve TSR percentle rank compared to companies in the Nasdaq Biotechnology Index during the performance period, which is December 31, 2022 through January 2, 2026. Depending on the results relatve to the TSR market conditon, the holders of the 2023 TSR-based RSUs may earn up to 175% of the target number of shares. 50% of the shares earned pursuant to the 2023 TSR-based RSU awards will vest shortly afer the end of the performance period, and the remainder will vest approximately one year later, subject to an employee’s contnuous service. These 2023 TSR-based RSUs will be forfeited if the market conditon at or above a threshold level is not achieved at the end of the performance period on January 2, 2026.</w:t>
      </w:r>
    </w:p>
    <w:p>
      <w:pPr>
        <w:spacing w:after="0" w:line="168"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In March 2022, we awarded to certain employees an aggregate of 1.0 million RSUs (the target amount) that are subject to a TSR market conditon (the 2022 TSR-based RSUs). The TSR market conditon is based on our relatve TSR percentle rank compared to companies in the Nasdaq Biotechnology Index during the performance period, which is January 1, 2022 through January 3, 2025. Depending on the results relatve to the TSR market conditon, the holders of the 2022 TSR-based RSUs may earn up to 175% of the target number of shares. At the end of fscal year 2024 (end of the performance period), the TSR market conditon was achieved at 175% level, resultng in 1.5 million shares earned (175% of the 2022 TSR-based RSUs target amount, net of forfeitures). 50% percent of the shares earned subject to the market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0"/>
        <w:spacing w:after="0" w:line="235" w:lineRule="auto"/>
        <w:rPr>
          <w:sz w:val="20"/>
          <w:szCs w:val="20"/>
          <w:color w:val="auto"/>
        </w:rPr>
      </w:pPr>
      <w:r>
        <w:rPr>
          <w:rFonts w:ascii="Calibri" w:cs="Calibri" w:eastAsia="Calibri" w:hAnsi="Calibri"/>
          <w:sz w:val="18"/>
          <w:szCs w:val="18"/>
          <w:color w:val="auto"/>
        </w:rPr>
        <w:t>conditons vested shortly afer the end of the performance period, and the remainder will vest approximately one year later, subject to an employee’s contnuous service.</w:t>
      </w:r>
    </w:p>
    <w:p>
      <w:pPr>
        <w:spacing w:after="0" w:line="164"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In March 2021, we awarded to certain employees an aggregate of 1.0 million PSUs (the 2021 target amount), subject to a performance and a market conditon (the 2021 PSUs). Pursuant to the terms of 2021 PSUs, the holders of the awards may earn up to 200% of the 2021 PSUs target amount, depending on the level of achievement of the performance conditon related to certain net product revenues and a TSR market conditon. The TSR market conditon for the 2021 PSUs was based on our relatve TSR percentle rank compared to companies in the Nasdaq Biotechnology Index during the performance period, which was from January 2, 2021 through December 29, 2023. The performance conditon of net product revenues relatve to the 2021 PSUs was achieved at target level in the frst quarter of 2023, representng 100% of the 2021 PSUs target amount. At the end of fscal year 2023 (end of the performance period), the TSR market conditon was achieved at 125% level, resultng in 1.0 million shares earned (125% of the 2021 PSUs target amount, net of forfeitures). 50% percent of the shares earned subject to the performance and market conditons vested shortly afer the end of the performance period, and the remainder will vest approximately one year, later subject to an employee’s contnuous service.</w:t>
      </w:r>
    </w:p>
    <w:p>
      <w:pPr>
        <w:spacing w:after="0" w:line="170" w:lineRule="exact"/>
        <w:rPr>
          <w:sz w:val="20"/>
          <w:szCs w:val="20"/>
          <w:color w:val="auto"/>
        </w:rPr>
      </w:pPr>
    </w:p>
    <w:p>
      <w:pPr>
        <w:jc w:val="both"/>
        <w:ind w:right="80" w:firstLine="648"/>
        <w:spacing w:after="0" w:line="235" w:lineRule="auto"/>
        <w:rPr>
          <w:sz w:val="20"/>
          <w:szCs w:val="20"/>
          <w:color w:val="auto"/>
        </w:rPr>
      </w:pPr>
      <w:r>
        <w:rPr>
          <w:rFonts w:ascii="Calibri" w:cs="Calibri" w:eastAsia="Calibri" w:hAnsi="Calibri"/>
          <w:sz w:val="18"/>
          <w:szCs w:val="18"/>
          <w:color w:val="auto"/>
        </w:rPr>
        <w:t>We used a Monte Carlo simulaton model and the following weighted-average assumptons to determine the weighted-average grant date fair value of $20.19 per share for the 2024 TSR-based RSUs, $26.05 per share for the 2023 TSR-based RSUs, $33.17 per share for the 2022 TSR-based RSUs, and $24.54 per share for the 2021 PSUs: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Calibri" w:cs="Calibri" w:eastAsia="Calibri" w:hAnsi="Calibri"/>
                <w:sz w:val="16"/>
                <w:szCs w:val="16"/>
                <w:b w:val="1"/>
                <w:bCs w:val="1"/>
                <w:color w:val="auto"/>
              </w:rPr>
              <w:t>2024 TSR-Based</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Calibri" w:cs="Calibri" w:eastAsia="Calibri" w:hAnsi="Calibri"/>
                <w:sz w:val="16"/>
                <w:szCs w:val="16"/>
                <w:b w:val="1"/>
                <w:bCs w:val="1"/>
                <w:color w:val="auto"/>
              </w:rPr>
              <w:t>2023 TSR-Based</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Calibri" w:cs="Calibri" w:eastAsia="Calibri" w:hAnsi="Calibri"/>
                <w:sz w:val="16"/>
                <w:szCs w:val="16"/>
                <w:b w:val="1"/>
                <w:bCs w:val="1"/>
                <w:color w:val="auto"/>
              </w:rPr>
              <w:t>2022 TSR-Based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7"/>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20"/>
              <w:spacing w:after="0" w:line="193" w:lineRule="exact"/>
              <w:rPr>
                <w:sz w:val="20"/>
                <w:szCs w:val="20"/>
                <w:color w:val="auto"/>
              </w:rPr>
            </w:pPr>
            <w:r>
              <w:rPr>
                <w:rFonts w:ascii="Calibri" w:cs="Calibri" w:eastAsia="Calibri" w:hAnsi="Calibri"/>
                <w:sz w:val="16"/>
                <w:szCs w:val="16"/>
                <w:b w:val="1"/>
                <w:bCs w:val="1"/>
                <w:color w:val="auto"/>
              </w:rPr>
              <w:t>RSUs</w:t>
            </w:r>
          </w:p>
        </w:tc>
        <w:tc>
          <w:tcPr>
            <w:tcW w:w="140" w:type="dxa"/>
            <w:vAlign w:val="bottom"/>
          </w:tcPr>
          <w:p>
            <w:pPr>
              <w:spacing w:after="0"/>
              <w:rPr>
                <w:sz w:val="18"/>
                <w:szCs w:val="18"/>
                <w:color w:val="auto"/>
              </w:rPr>
            </w:pPr>
          </w:p>
        </w:tc>
        <w:tc>
          <w:tcPr>
            <w:tcW w:w="1360" w:type="dxa"/>
            <w:vAlign w:val="bottom"/>
            <w:gridSpan w:val="2"/>
          </w:tcPr>
          <w:p>
            <w:pPr>
              <w:jc w:val="center"/>
              <w:ind w:right="220"/>
              <w:spacing w:after="0" w:line="193" w:lineRule="exact"/>
              <w:rPr>
                <w:sz w:val="20"/>
                <w:szCs w:val="20"/>
                <w:color w:val="auto"/>
              </w:rPr>
            </w:pPr>
            <w:r>
              <w:rPr>
                <w:rFonts w:ascii="Calibri" w:cs="Calibri" w:eastAsia="Calibri" w:hAnsi="Calibri"/>
                <w:sz w:val="16"/>
                <w:szCs w:val="16"/>
                <w:b w:val="1"/>
                <w:bCs w:val="1"/>
                <w:color w:val="auto"/>
              </w:rPr>
              <w:t>RSUs</w:t>
            </w:r>
          </w:p>
        </w:tc>
        <w:tc>
          <w:tcPr>
            <w:tcW w:w="140" w:type="dxa"/>
            <w:vAlign w:val="bottom"/>
          </w:tcPr>
          <w:p>
            <w:pPr>
              <w:spacing w:after="0"/>
              <w:rPr>
                <w:sz w:val="18"/>
                <w:szCs w:val="18"/>
                <w:color w:val="auto"/>
              </w:rPr>
            </w:pPr>
          </w:p>
        </w:tc>
        <w:tc>
          <w:tcPr>
            <w:tcW w:w="1360" w:type="dxa"/>
            <w:vAlign w:val="bottom"/>
            <w:gridSpan w:val="2"/>
          </w:tcPr>
          <w:p>
            <w:pPr>
              <w:jc w:val="center"/>
              <w:ind w:right="220"/>
              <w:spacing w:after="0" w:line="193" w:lineRule="exact"/>
              <w:rPr>
                <w:sz w:val="20"/>
                <w:szCs w:val="20"/>
                <w:color w:val="auto"/>
              </w:rPr>
            </w:pPr>
            <w:r>
              <w:rPr>
                <w:rFonts w:ascii="Calibri" w:cs="Calibri" w:eastAsia="Calibri" w:hAnsi="Calibri"/>
                <w:sz w:val="16"/>
                <w:szCs w:val="16"/>
                <w:b w:val="1"/>
                <w:bCs w:val="1"/>
                <w:color w:val="auto"/>
              </w:rPr>
              <w:t>RSUs</w:t>
            </w:r>
          </w:p>
        </w:tc>
        <w:tc>
          <w:tcPr>
            <w:tcW w:w="240" w:type="dxa"/>
            <w:vAlign w:val="bottom"/>
          </w:tcPr>
          <w:p>
            <w:pPr>
              <w:spacing w:after="0"/>
              <w:rPr>
                <w:sz w:val="18"/>
                <w:szCs w:val="18"/>
                <w:color w:val="auto"/>
              </w:rPr>
            </w:pPr>
          </w:p>
        </w:tc>
        <w:tc>
          <w:tcPr>
            <w:tcW w:w="1180" w:type="dxa"/>
            <w:vAlign w:val="bottom"/>
          </w:tcPr>
          <w:p>
            <w:pPr>
              <w:jc w:val="right"/>
              <w:ind w:right="272"/>
              <w:spacing w:after="0"/>
              <w:rPr>
                <w:sz w:val="20"/>
                <w:szCs w:val="20"/>
                <w:color w:val="auto"/>
              </w:rPr>
            </w:pPr>
            <w:r>
              <w:rPr>
                <w:rFonts w:ascii="Calibri" w:cs="Calibri" w:eastAsia="Calibri" w:hAnsi="Calibri"/>
                <w:sz w:val="16"/>
                <w:szCs w:val="16"/>
                <w:b w:val="1"/>
                <w:bCs w:val="1"/>
                <w:color w:val="auto"/>
              </w:rPr>
              <w:t>2021 PSUs</w:t>
            </w:r>
          </w:p>
        </w:tc>
      </w:tr>
      <w:tr>
        <w:trPr>
          <w:trHeight w:val="41"/>
        </w:trPr>
        <w:tc>
          <w:tcPr>
            <w:tcW w:w="5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0"/>
        </w:trPr>
        <w:tc>
          <w:tcPr>
            <w:tcW w:w="5320" w:type="dxa"/>
            <w:vAlign w:val="bottom"/>
            <w:tcBorders>
              <w:bottom w:val="single" w:sz="8" w:color="CCEEFF"/>
            </w:tcBorders>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Fair value of Exelixis common stock on grant date</w:t>
            </w:r>
          </w:p>
        </w:tc>
        <w:tc>
          <w:tcPr>
            <w:tcW w:w="1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CCEEFF"/>
            </w:tcBorders>
            <w:shd w:val="clear" w:color="auto" w:fill="CCEEFF"/>
          </w:tcPr>
          <w:p>
            <w:pPr>
              <w:jc w:val="right"/>
              <w:ind w:right="113"/>
              <w:spacing w:after="0" w:line="215" w:lineRule="exact"/>
              <w:rPr>
                <w:sz w:val="20"/>
                <w:szCs w:val="20"/>
                <w:color w:val="auto"/>
              </w:rPr>
            </w:pPr>
            <w:r>
              <w:rPr>
                <w:rFonts w:ascii="Calibri" w:cs="Calibri" w:eastAsia="Calibri" w:hAnsi="Calibri"/>
                <w:sz w:val="18"/>
                <w:szCs w:val="18"/>
                <w:color w:val="auto"/>
              </w:rPr>
              <w:t>21.71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CCEEFF"/>
            </w:tcBorders>
            <w:shd w:val="clear" w:color="auto" w:fill="CCEEFF"/>
          </w:tcPr>
          <w:p>
            <w:pPr>
              <w:jc w:val="right"/>
              <w:ind w:right="93"/>
              <w:spacing w:after="0" w:line="215" w:lineRule="exact"/>
              <w:rPr>
                <w:sz w:val="20"/>
                <w:szCs w:val="20"/>
                <w:color w:val="auto"/>
              </w:rPr>
            </w:pPr>
            <w:r>
              <w:rPr>
                <w:rFonts w:ascii="Calibri" w:cs="Calibri" w:eastAsia="Calibri" w:hAnsi="Calibri"/>
                <w:sz w:val="18"/>
                <w:szCs w:val="18"/>
                <w:color w:val="auto"/>
              </w:rPr>
              <w:t>19.48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CCEEFF"/>
            </w:tcBorders>
            <w:shd w:val="clear" w:color="auto" w:fill="CCEEFF"/>
          </w:tcPr>
          <w:p>
            <w:pPr>
              <w:jc w:val="right"/>
              <w:ind w:right="93"/>
              <w:spacing w:after="0" w:line="215" w:lineRule="exact"/>
              <w:rPr>
                <w:sz w:val="20"/>
                <w:szCs w:val="20"/>
                <w:color w:val="auto"/>
              </w:rPr>
            </w:pPr>
            <w:r>
              <w:rPr>
                <w:rFonts w:ascii="Calibri" w:cs="Calibri" w:eastAsia="Calibri" w:hAnsi="Calibri"/>
                <w:sz w:val="18"/>
                <w:szCs w:val="18"/>
                <w:color w:val="auto"/>
              </w:rPr>
              <w:t>20.70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Calibri" w:cs="Calibri" w:eastAsia="Calibri" w:hAnsi="Calibri"/>
                <w:sz w:val="18"/>
                <w:szCs w:val="18"/>
                <w:color w:val="auto"/>
              </w:rPr>
              <w:t>21.31</w:t>
            </w:r>
          </w:p>
        </w:tc>
      </w:tr>
      <w:tr>
        <w:trPr>
          <w:trHeight w:val="233"/>
        </w:trPr>
        <w:tc>
          <w:tcPr>
            <w:tcW w:w="5320" w:type="dxa"/>
            <w:vAlign w:val="bottom"/>
          </w:tcPr>
          <w:p>
            <w:pPr>
              <w:ind w:left="20"/>
              <w:spacing w:after="0"/>
              <w:rPr>
                <w:sz w:val="20"/>
                <w:szCs w:val="20"/>
                <w:color w:val="auto"/>
              </w:rPr>
            </w:pPr>
            <w:r>
              <w:rPr>
                <w:rFonts w:ascii="Calibri" w:cs="Calibri" w:eastAsia="Calibri" w:hAnsi="Calibri"/>
                <w:sz w:val="18"/>
                <w:szCs w:val="18"/>
                <w:color w:val="auto"/>
              </w:rPr>
              <w:t>Expected volatlity</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36.68 %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40.26 %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46.85 %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49.21 %</w:t>
            </w:r>
          </w:p>
        </w:tc>
      </w:tr>
      <w:tr>
        <w:trPr>
          <w:trHeight w:val="23"/>
        </w:trPr>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Risk-free interest rate</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4.42 %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3.75 %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1.59 %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0.29 %</w:t>
            </w:r>
          </w:p>
        </w:tc>
      </w:tr>
      <w:tr>
        <w:trPr>
          <w:trHeight w:val="233"/>
        </w:trPr>
        <w:tc>
          <w:tcPr>
            <w:tcW w:w="5320" w:type="dxa"/>
            <w:vAlign w:val="bottom"/>
          </w:tcPr>
          <w:p>
            <w:pPr>
              <w:ind w:left="20"/>
              <w:spacing w:after="0"/>
              <w:rPr>
                <w:sz w:val="20"/>
                <w:szCs w:val="20"/>
                <w:color w:val="auto"/>
              </w:rPr>
            </w:pPr>
            <w:r>
              <w:rPr>
                <w:rFonts w:ascii="Calibri" w:cs="Calibri" w:eastAsia="Calibri" w:hAnsi="Calibri"/>
                <w:sz w:val="18"/>
                <w:szCs w:val="18"/>
                <w:color w:val="auto"/>
              </w:rPr>
              <w:t>Dividend yield</w:t>
            </w: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Calibri" w:cs="Calibri" w:eastAsia="Calibri" w:hAnsi="Calibri"/>
                <w:sz w:val="18"/>
                <w:szCs w:val="18"/>
                <w:color w:val="auto"/>
              </w:rPr>
              <w:t>— %</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 %</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 %</w:t>
            </w:r>
          </w:p>
        </w:tc>
      </w:tr>
    </w:tbl>
    <w:p>
      <w:pPr>
        <w:spacing w:after="0" w:line="258" w:lineRule="exact"/>
        <w:rPr>
          <w:sz w:val="20"/>
          <w:szCs w:val="20"/>
          <w:color w:val="auto"/>
        </w:rPr>
      </w:pPr>
    </w:p>
    <w:p>
      <w:pPr>
        <w:ind w:right="320" w:firstLine="648"/>
        <w:spacing w:after="0" w:line="235" w:lineRule="auto"/>
        <w:rPr>
          <w:sz w:val="20"/>
          <w:szCs w:val="20"/>
          <w:color w:val="auto"/>
        </w:rPr>
      </w:pPr>
      <w:r>
        <w:rPr>
          <w:rFonts w:ascii="Calibri" w:cs="Calibri" w:eastAsia="Calibri" w:hAnsi="Calibri"/>
          <w:sz w:val="18"/>
          <w:szCs w:val="18"/>
          <w:color w:val="auto"/>
        </w:rPr>
        <w:t>The Monte Carlo simulaton model assumed correlatons of returns of the stock prices of Exelixis common stock and the common stock of a peer group of companies and historical stock price volatlity of the peer group of companies. The valuaton model also used terms based on the length of the performance period and compound annual growth rate goals for TSR based on the provisions of the awards.</w:t>
      </w:r>
    </w:p>
    <w:p>
      <w:pPr>
        <w:spacing w:after="0" w:line="165"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During the year ended December 31, 2020, we awarded 2.3 million PSUs (the target amount) that will vest upon the achievement of performance targets related to (i) clinical trial positve top-line results and (ii) product approvals by the FDA (the 2020 PSUs). Pursuant to the terms of the 2020 PSUs, employees may earn up to 200% of the target amount depending on the volume and tming of achievement of the performance targets. The 2020 PSUs will be forfeited if the performance targets are not met by December 31, 2024. In the third quarter of 2021, we achieved a performance conditon for a product approval by the FDA relatve to the 2020 PSUs, representng 25% of the target amount. In the third quarter of 2022, we achieved a performance conditon for positve top-line results by the FDA relatve to the 2020 PSUs, representng 25% of the target amount, and in the third quarter of 2023, we achieved additonal performance conditons for positve top-line results by the FDA relatve to the 2020 PSUs, representng an additonal 50% of the target amount. At the end of the performance period, on December 31, 2024, shares assigned to the performance conditons previously achieved were fully vested and there was no unrecognized compensaton expense for the performance conditons achieved. There were 1.6 million shares forfeited for performance conditons that were not achieved by the end of the performance period.</w:t>
      </w:r>
    </w:p>
    <w:p>
      <w:pPr>
        <w:spacing w:after="0" w:line="170"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Expense recogniton for PSUs commences when it is determined that atainment of the performance target is probable. As of December 31, 2024, all of the outstanding PSUs relate to awards for which we achieved the performance target. As of December 31, 2024, the remaining unrecognized compensaton expense for the PSUs achieved was $0.3 million, which will be recognized over a weighted-average period of 0.1 years.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Exelixis, Inc. 401(k) Plan (the 401(k) Plan)</w:t>
      </w:r>
    </w:p>
    <w:p>
      <w:pPr>
        <w:spacing w:after="0" w:line="163" w:lineRule="exact"/>
        <w:rPr>
          <w:sz w:val="20"/>
          <w:szCs w:val="20"/>
          <w:color w:val="auto"/>
        </w:rPr>
      </w:pPr>
    </w:p>
    <w:p>
      <w:pPr>
        <w:ind w:right="260" w:firstLine="648"/>
        <w:spacing w:after="0" w:line="258" w:lineRule="auto"/>
        <w:rPr>
          <w:sz w:val="20"/>
          <w:szCs w:val="20"/>
          <w:color w:val="auto"/>
        </w:rPr>
      </w:pPr>
      <w:r>
        <w:rPr>
          <w:rFonts w:ascii="Calibri" w:cs="Calibri" w:eastAsia="Calibri" w:hAnsi="Calibri"/>
          <w:sz w:val="17"/>
          <w:szCs w:val="17"/>
          <w:color w:val="auto"/>
        </w:rPr>
        <w:t>We sponsor the 401(k) Plan under which we make matching cash contributons to our employees’ 401(k) accounts. We recorded compensaton expense of $15.0 million, $13.9 million and $11.7 million for the years ended December 31, 2024, 2023 and 2022, respectvely, for matching contributons.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Common Stock Repurchases</w:t>
      </w:r>
    </w:p>
    <w:p>
      <w:pPr>
        <w:spacing w:after="0" w:line="163" w:lineRule="exact"/>
        <w:rPr>
          <w:sz w:val="20"/>
          <w:szCs w:val="20"/>
          <w:color w:val="auto"/>
        </w:rPr>
      </w:pPr>
    </w:p>
    <w:p>
      <w:pPr>
        <w:ind w:right="80" w:firstLine="648"/>
        <w:spacing w:after="0" w:line="249" w:lineRule="auto"/>
        <w:rPr>
          <w:sz w:val="20"/>
          <w:szCs w:val="20"/>
          <w:color w:val="auto"/>
        </w:rPr>
      </w:pPr>
      <w:r>
        <w:rPr>
          <w:rFonts w:ascii="Calibri" w:cs="Calibri" w:eastAsia="Calibri" w:hAnsi="Calibri"/>
          <w:sz w:val="17"/>
          <w:szCs w:val="17"/>
          <w:color w:val="auto"/>
        </w:rPr>
        <w:t>In January 2024, our Board of Directors authorized a stock repurchase program to acquire up to $450.0 million of our outstanding common stock before the end of 2024. As of June 30, 2024, we completed the repurchase of 20.3 million shares of common stock for an aggregate purchase price of $450.0 million pursuant to our stock repurchase program. In August 2024, our Board of Directors authorized a stock repurchase program to acquire up to</w:t>
      </w:r>
    </w:p>
    <w:p>
      <w:pPr>
        <w:spacing w:after="0" w:line="2" w:lineRule="exact"/>
        <w:rPr>
          <w:sz w:val="20"/>
          <w:szCs w:val="20"/>
          <w:color w:val="auto"/>
        </w:rPr>
      </w:pPr>
    </w:p>
    <w:p>
      <w:pPr>
        <w:jc w:val="both"/>
        <w:ind w:right="60"/>
        <w:spacing w:after="0" w:line="235" w:lineRule="auto"/>
        <w:rPr>
          <w:sz w:val="20"/>
          <w:szCs w:val="20"/>
          <w:color w:val="auto"/>
        </w:rPr>
      </w:pPr>
      <w:r>
        <w:rPr>
          <w:rFonts w:ascii="Calibri" w:cs="Calibri" w:eastAsia="Calibri" w:hAnsi="Calibri"/>
          <w:sz w:val="18"/>
          <w:szCs w:val="18"/>
          <w:color w:val="auto"/>
        </w:rPr>
        <w:t>$500.0 million of our outstanding common stock before the end of 2025. Under this program, as of December 31, 2024, we repurchased 6.1 million shares of common stock for an aggregate purchase price of $205.6 million. As of December 31, 2024, approximately $294.4 million remained available for future stock repurchases before the end of 2025.</w:t>
      </w:r>
    </w:p>
    <w:p>
      <w:pPr>
        <w:spacing w:after="0" w:line="165"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Stock repurchases under the program may be made from tme to tme through a variety of methods, which may include open market purchases, in block trades, Rule 10b5-1 trading plans, accelerated share repurchase transactons, exchange transactons, or any combinaton of such methods. The tming and amount of any stock repurchases under the stock repurchase program will be based on a variety of factors, including ongoing assessments of the capital needs of the business, alternatve investment opportunites, the market price of our common stock and general market conditons. The program does not obligate us to acquire any partcular amount of our common stock, and the stock repurchase program may be modifed, suspended or discontnued at any tme without prior notce.</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10. PROVISION FOR INCOME TAXES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Our income before income taxes is derived solely from within the U.S. Our provision for income taxes was as follows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3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6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6"/>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9"/>
        </w:trPr>
        <w:tc>
          <w:tcPr>
            <w:tcW w:w="69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Current: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2"/>
        </w:trPr>
        <w:tc>
          <w:tcPr>
            <w:tcW w:w="6980" w:type="dxa"/>
            <w:vAlign w:val="bottom"/>
          </w:tcPr>
          <w:p>
            <w:pPr>
              <w:ind w:left="220"/>
              <w:spacing w:after="0" w:line="215" w:lineRule="exact"/>
              <w:rPr>
                <w:sz w:val="20"/>
                <w:szCs w:val="20"/>
                <w:color w:val="auto"/>
              </w:rPr>
            </w:pPr>
            <w:r>
              <w:rPr>
                <w:rFonts w:ascii="Calibri" w:cs="Calibri" w:eastAsia="Calibri" w:hAnsi="Calibri"/>
                <w:sz w:val="18"/>
                <w:szCs w:val="18"/>
                <w:color w:val="auto"/>
              </w:rPr>
              <w:t>Federal</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201,890</w:t>
            </w:r>
          </w:p>
        </w:tc>
        <w:tc>
          <w:tcPr>
            <w:tcW w:w="8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167,954</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100,525</w:t>
            </w:r>
          </w:p>
        </w:tc>
      </w:tr>
      <w:tr>
        <w:trPr>
          <w:trHeight w:val="237"/>
        </w:trPr>
        <w:tc>
          <w:tcPr>
            <w:tcW w:w="698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State</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17,941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15,011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11,903</w:t>
            </w:r>
          </w:p>
        </w:tc>
      </w:tr>
      <w:tr>
        <w:trPr>
          <w:trHeight w:val="217"/>
        </w:trPr>
        <w:tc>
          <w:tcPr>
            <w:tcW w:w="6980" w:type="dxa"/>
            <w:vAlign w:val="bottom"/>
            <w:tcBorders>
              <w:bottom w:val="single" w:sz="8" w:color="CCEEFF"/>
            </w:tcBorders>
          </w:tcPr>
          <w:p>
            <w:pPr>
              <w:ind w:left="460"/>
              <w:spacing w:after="0" w:line="199" w:lineRule="exact"/>
              <w:rPr>
                <w:sz w:val="20"/>
                <w:szCs w:val="20"/>
                <w:color w:val="auto"/>
              </w:rPr>
            </w:pPr>
            <w:r>
              <w:rPr>
                <w:rFonts w:ascii="Calibri" w:cs="Calibri" w:eastAsia="Calibri" w:hAnsi="Calibri"/>
                <w:sz w:val="18"/>
                <w:szCs w:val="18"/>
                <w:color w:val="auto"/>
              </w:rPr>
              <w:t>Total current tax expense</w:t>
            </w: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219,831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182,965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112,428</w:t>
            </w:r>
          </w:p>
        </w:tc>
      </w:tr>
      <w:tr>
        <w:trPr>
          <w:trHeight w:val="216"/>
        </w:trPr>
        <w:tc>
          <w:tcPr>
            <w:tcW w:w="69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Deferred: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2"/>
        </w:trPr>
        <w:tc>
          <w:tcPr>
            <w:tcW w:w="6980" w:type="dxa"/>
            <w:vAlign w:val="bottom"/>
          </w:tcPr>
          <w:p>
            <w:pPr>
              <w:ind w:left="220"/>
              <w:spacing w:after="0" w:line="215" w:lineRule="exact"/>
              <w:rPr>
                <w:sz w:val="20"/>
                <w:szCs w:val="20"/>
                <w:color w:val="auto"/>
              </w:rPr>
            </w:pPr>
            <w:r>
              <w:rPr>
                <w:rFonts w:ascii="Calibri" w:cs="Calibri" w:eastAsia="Calibri" w:hAnsi="Calibri"/>
                <w:sz w:val="18"/>
                <w:szCs w:val="18"/>
                <w:color w:val="auto"/>
              </w:rPr>
              <w:t>Federal</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(52,433)</w:t>
            </w:r>
          </w:p>
        </w:tc>
        <w:tc>
          <w:tcPr>
            <w:tcW w:w="8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(123,486)</w:t>
            </w: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(54,223)</w:t>
            </w:r>
          </w:p>
        </w:tc>
      </w:tr>
      <w:tr>
        <w:trPr>
          <w:trHeight w:val="237"/>
        </w:trPr>
        <w:tc>
          <w:tcPr>
            <w:tcW w:w="698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State</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(7,025)</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(9,723)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(6,135)</w:t>
            </w:r>
          </w:p>
        </w:tc>
      </w:tr>
      <w:tr>
        <w:trPr>
          <w:trHeight w:val="216"/>
        </w:trPr>
        <w:tc>
          <w:tcPr>
            <w:tcW w:w="6980" w:type="dxa"/>
            <w:vAlign w:val="bottom"/>
            <w:tcBorders>
              <w:bottom w:val="single" w:sz="8" w:color="CCEEFF"/>
            </w:tcBorders>
          </w:tcPr>
          <w:p>
            <w:pPr>
              <w:ind w:left="460"/>
              <w:spacing w:after="0" w:line="199" w:lineRule="exact"/>
              <w:rPr>
                <w:sz w:val="20"/>
                <w:szCs w:val="20"/>
                <w:color w:val="auto"/>
              </w:rPr>
            </w:pPr>
            <w:r>
              <w:rPr>
                <w:rFonts w:ascii="Calibri" w:cs="Calibri" w:eastAsia="Calibri" w:hAnsi="Calibri"/>
                <w:sz w:val="18"/>
                <w:szCs w:val="18"/>
                <w:color w:val="auto"/>
              </w:rPr>
              <w:t>Total deferred tax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(59,458)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(133,209)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(60,358)</w:t>
            </w:r>
          </w:p>
        </w:tc>
      </w:tr>
      <w:tr>
        <w:trPr>
          <w:trHeight w:val="255"/>
        </w:trPr>
        <w:tc>
          <w:tcPr>
            <w:tcW w:w="6980" w:type="dxa"/>
            <w:vAlign w:val="bottom"/>
            <w:tcBorders>
              <w:bottom w:val="single" w:sz="8" w:color="CCEEFF"/>
            </w:tcBorders>
            <w:shd w:val="clear" w:color="auto" w:fill="CCEEFF"/>
          </w:tcPr>
          <w:p>
            <w:pPr>
              <w:ind w:left="660"/>
              <w:spacing w:after="0"/>
              <w:rPr>
                <w:sz w:val="20"/>
                <w:szCs w:val="20"/>
                <w:color w:val="auto"/>
              </w:rPr>
            </w:pPr>
            <w:r>
              <w:rPr>
                <w:rFonts w:ascii="Calibri" w:cs="Calibri" w:eastAsia="Calibri" w:hAnsi="Calibri"/>
                <w:sz w:val="18"/>
                <w:szCs w:val="18"/>
                <w:color w:val="auto"/>
              </w:rPr>
              <w:t>Provision for income taxes</w:t>
            </w: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160,373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49,756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52,070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The reconciliaton of the U.S. federal income tax provision at the statutory federal income tax rate of 21% for each of the years ended December 31, 2024, 2023 and 2022, respectvely, to our provision for income taxes was as follows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30"/>
              <w:spacing w:after="0"/>
              <w:rPr>
                <w:sz w:val="20"/>
                <w:szCs w:val="20"/>
                <w:color w:val="auto"/>
              </w:rPr>
            </w:pPr>
            <w:r>
              <w:rPr>
                <w:rFonts w:ascii="Calibri" w:cs="Calibri" w:eastAsia="Calibri" w:hAnsi="Calibri"/>
                <w:sz w:val="16"/>
                <w:szCs w:val="16"/>
                <w:b w:val="1"/>
                <w:bCs w:val="1"/>
                <w:color w:val="auto"/>
              </w:rPr>
              <w:t>Year Ended December 31,</w:t>
            </w:r>
          </w:p>
        </w:tc>
        <w:tc>
          <w:tcPr>
            <w:tcW w:w="1020" w:type="dxa"/>
            <w:vAlign w:val="bottom"/>
          </w:tcPr>
          <w:p>
            <w:pPr>
              <w:spacing w:after="0"/>
              <w:rPr>
                <w:sz w:val="16"/>
                <w:szCs w:val="16"/>
                <w:color w:val="auto"/>
              </w:rPr>
            </w:pPr>
          </w:p>
        </w:tc>
      </w:tr>
      <w:tr>
        <w:trPr>
          <w:trHeight w:val="41"/>
        </w:trPr>
        <w:tc>
          <w:tcPr>
            <w:tcW w:w="70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5"/>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70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70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U.S. federal income tax provision at statutory rate</w:t>
            </w: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143,144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54,080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49,213</w:t>
            </w:r>
          </w:p>
        </w:tc>
      </w:tr>
      <w:tr>
        <w:trPr>
          <w:trHeight w:val="222"/>
        </w:trPr>
        <w:tc>
          <w:tcPr>
            <w:tcW w:w="7000" w:type="dxa"/>
            <w:vAlign w:val="bottom"/>
          </w:tcPr>
          <w:p>
            <w:pPr>
              <w:ind w:left="20"/>
              <w:spacing w:after="0" w:line="215" w:lineRule="exact"/>
              <w:rPr>
                <w:sz w:val="20"/>
                <w:szCs w:val="20"/>
                <w:color w:val="auto"/>
              </w:rPr>
            </w:pPr>
            <w:r>
              <w:rPr>
                <w:rFonts w:ascii="Calibri" w:cs="Calibri" w:eastAsia="Calibri" w:hAnsi="Calibri"/>
                <w:sz w:val="18"/>
                <w:szCs w:val="18"/>
                <w:color w:val="auto"/>
              </w:rPr>
              <w:t>State tax expense</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12,240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(1,487)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(2,632)</w:t>
            </w:r>
          </w:p>
        </w:tc>
      </w:tr>
      <w:tr>
        <w:trPr>
          <w:trHeight w:val="237"/>
        </w:trPr>
        <w:tc>
          <w:tcPr>
            <w:tcW w:w="70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Change in valuaton allowance</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5,770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7,162</w:t>
            </w:r>
          </w:p>
        </w:tc>
      </w:tr>
      <w:tr>
        <w:trPr>
          <w:trHeight w:val="222"/>
        </w:trPr>
        <w:tc>
          <w:tcPr>
            <w:tcW w:w="7000" w:type="dxa"/>
            <w:vAlign w:val="bottom"/>
          </w:tcPr>
          <w:p>
            <w:pPr>
              <w:ind w:left="20"/>
              <w:spacing w:after="0" w:line="215" w:lineRule="exact"/>
              <w:rPr>
                <w:sz w:val="20"/>
                <w:szCs w:val="20"/>
                <w:color w:val="auto"/>
              </w:rPr>
            </w:pPr>
            <w:r>
              <w:rPr>
                <w:rFonts w:ascii="Calibri" w:cs="Calibri" w:eastAsia="Calibri" w:hAnsi="Calibri"/>
                <w:sz w:val="18"/>
                <w:szCs w:val="18"/>
                <w:color w:val="auto"/>
              </w:rPr>
              <w:t>Research credits</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(10,997)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(23,714)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(14,130)</w:t>
            </w:r>
          </w:p>
        </w:tc>
      </w:tr>
      <w:tr>
        <w:trPr>
          <w:trHeight w:val="237"/>
        </w:trPr>
        <w:tc>
          <w:tcPr>
            <w:tcW w:w="70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Stock-based compensaton</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1,066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(2,864)</w:t>
            </w:r>
          </w:p>
        </w:tc>
      </w:tr>
      <w:tr>
        <w:trPr>
          <w:trHeight w:val="222"/>
        </w:trPr>
        <w:tc>
          <w:tcPr>
            <w:tcW w:w="7000" w:type="dxa"/>
            <w:vAlign w:val="bottom"/>
          </w:tcPr>
          <w:p>
            <w:pPr>
              <w:ind w:left="20"/>
              <w:spacing w:after="0" w:line="215" w:lineRule="exact"/>
              <w:rPr>
                <w:sz w:val="20"/>
                <w:szCs w:val="20"/>
                <w:color w:val="auto"/>
              </w:rPr>
            </w:pPr>
            <w:r>
              <w:rPr>
                <w:rFonts w:ascii="Calibri" w:cs="Calibri" w:eastAsia="Calibri" w:hAnsi="Calibri"/>
                <w:sz w:val="18"/>
                <w:szCs w:val="18"/>
                <w:color w:val="auto"/>
              </w:rPr>
              <w:t>Non-deductble executve compensaton</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7,094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7,019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4,549</w:t>
            </w:r>
          </w:p>
        </w:tc>
      </w:tr>
      <w:tr>
        <w:trPr>
          <w:trHeight w:val="237"/>
        </w:trPr>
        <w:tc>
          <w:tcPr>
            <w:tcW w:w="70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Branded prescripton drug fee</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4,633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4,968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3,855</w:t>
            </w:r>
          </w:p>
        </w:tc>
      </w:tr>
      <w:tr>
        <w:trPr>
          <w:trHeight w:val="222"/>
        </w:trPr>
        <w:tc>
          <w:tcPr>
            <w:tcW w:w="7000" w:type="dxa"/>
            <w:vAlign w:val="bottom"/>
          </w:tcPr>
          <w:p>
            <w:pPr>
              <w:ind w:left="20"/>
              <w:spacing w:after="0" w:line="215" w:lineRule="exact"/>
              <w:rPr>
                <w:sz w:val="20"/>
                <w:szCs w:val="20"/>
                <w:color w:val="auto"/>
              </w:rPr>
            </w:pPr>
            <w:r>
              <w:rPr>
                <w:rFonts w:ascii="Calibri" w:cs="Calibri" w:eastAsia="Calibri" w:hAnsi="Calibri"/>
                <w:sz w:val="18"/>
                <w:szCs w:val="18"/>
                <w:color w:val="auto"/>
              </w:rPr>
              <w:t>Non-deductble warrant purchase</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6,300</w:t>
            </w:r>
          </w:p>
        </w:tc>
      </w:tr>
      <w:tr>
        <w:trPr>
          <w:trHeight w:val="230"/>
        </w:trPr>
        <w:tc>
          <w:tcPr>
            <w:tcW w:w="70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7,211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2,054</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617</w:t>
            </w:r>
          </w:p>
        </w:tc>
      </w:tr>
      <w:tr>
        <w:trPr>
          <w:trHeight w:val="229"/>
        </w:trPr>
        <w:tc>
          <w:tcPr>
            <w:tcW w:w="7000" w:type="dxa"/>
            <w:vAlign w:val="bottom"/>
          </w:tcPr>
          <w:p>
            <w:pPr>
              <w:ind w:left="340"/>
              <w:spacing w:after="0"/>
              <w:rPr>
                <w:sz w:val="20"/>
                <w:szCs w:val="20"/>
                <w:color w:val="auto"/>
              </w:rPr>
            </w:pPr>
            <w:r>
              <w:rPr>
                <w:rFonts w:ascii="Calibri" w:cs="Calibri" w:eastAsia="Calibri" w:hAnsi="Calibri"/>
                <w:sz w:val="18"/>
                <w:szCs w:val="18"/>
                <w:color w:val="auto"/>
              </w:rPr>
              <w:t>Provision for income taxes</w:t>
            </w:r>
          </w:p>
        </w:tc>
        <w:tc>
          <w:tcPr>
            <w:tcW w:w="32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160,373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49,756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52,070</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18"/>
          <w:szCs w:val="18"/>
          <w:color w:val="auto"/>
        </w:rPr>
        <w:t>Deferred tax assets and liabilites refect the net tax efects of net operatng loss and tax credit carryforwards and temporary diferences between the carrying amounts of assets and liabilites for fnancial reportng and the amounts used for income tax purposes.</w:t>
      </w:r>
    </w:p>
    <w:p>
      <w:pPr>
        <w:spacing w:after="0" w:line="159"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Our deferred tax assets and liabilites were as follows (in thousands):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860" w:type="dxa"/>
            <w:vAlign w:val="bottom"/>
          </w:tcPr>
          <w:p>
            <w:pPr>
              <w:spacing w:after="0"/>
              <w:rPr>
                <w:sz w:val="16"/>
                <w:szCs w:val="16"/>
                <w:color w:val="auto"/>
              </w:rPr>
            </w:pPr>
          </w:p>
        </w:tc>
      </w:tr>
      <w:tr>
        <w:trPr>
          <w:trHeight w:val="28"/>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5"/>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2023</w:t>
            </w:r>
          </w:p>
        </w:tc>
      </w:tr>
      <w:tr>
        <w:trPr>
          <w:trHeight w:val="41"/>
        </w:trPr>
        <w:tc>
          <w:tcPr>
            <w:tcW w:w="8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0"/>
        </w:trPr>
        <w:tc>
          <w:tcPr>
            <w:tcW w:w="844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Deferred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2"/>
        </w:trPr>
        <w:tc>
          <w:tcPr>
            <w:tcW w:w="8440" w:type="dxa"/>
            <w:vAlign w:val="bottom"/>
          </w:tcPr>
          <w:p>
            <w:pPr>
              <w:ind w:left="220"/>
              <w:spacing w:after="0" w:line="215" w:lineRule="exact"/>
              <w:rPr>
                <w:sz w:val="20"/>
                <w:szCs w:val="20"/>
                <w:color w:val="auto"/>
              </w:rPr>
            </w:pPr>
            <w:r>
              <w:rPr>
                <w:rFonts w:ascii="Calibri" w:cs="Calibri" w:eastAsia="Calibri" w:hAnsi="Calibri"/>
                <w:sz w:val="18"/>
                <w:szCs w:val="18"/>
                <w:color w:val="auto"/>
              </w:rPr>
              <w:t>Net operatng loss and capital loss carryforwards</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39,877</w:t>
            </w:r>
          </w:p>
        </w:tc>
        <w:tc>
          <w:tcPr>
            <w:tcW w:w="80" w:type="dxa"/>
            <w:vAlign w:val="bottom"/>
          </w:tcPr>
          <w:p>
            <w:pPr>
              <w:spacing w:after="0"/>
              <w:rPr>
                <w:sz w:val="19"/>
                <w:szCs w:val="19"/>
                <w:color w:val="auto"/>
              </w:rPr>
            </w:pPr>
          </w:p>
        </w:tc>
        <w:tc>
          <w:tcPr>
            <w:tcW w:w="480" w:type="dxa"/>
            <w:vAlign w:val="bottom"/>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29,512</w:t>
            </w: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Tax credit carryforwards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39,572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39,640</w:t>
            </w:r>
          </w:p>
        </w:tc>
      </w:tr>
      <w:tr>
        <w:trPr>
          <w:trHeight w:val="222"/>
        </w:trPr>
        <w:tc>
          <w:tcPr>
            <w:tcW w:w="8440" w:type="dxa"/>
            <w:vAlign w:val="bottom"/>
          </w:tcPr>
          <w:p>
            <w:pPr>
              <w:ind w:left="220"/>
              <w:spacing w:after="0" w:line="215" w:lineRule="exact"/>
              <w:rPr>
                <w:sz w:val="20"/>
                <w:szCs w:val="20"/>
                <w:color w:val="auto"/>
              </w:rPr>
            </w:pPr>
            <w:r>
              <w:rPr>
                <w:rFonts w:ascii="Calibri" w:cs="Calibri" w:eastAsia="Calibri" w:hAnsi="Calibri"/>
                <w:sz w:val="18"/>
                <w:szCs w:val="18"/>
                <w:color w:val="auto"/>
              </w:rPr>
              <w:t>Depreciaton and amortzaton</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349,058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313,679</w:t>
            </w: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Stock-based compensaton</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17,791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24,592</w:t>
            </w:r>
          </w:p>
        </w:tc>
      </w:tr>
      <w:tr>
        <w:trPr>
          <w:trHeight w:val="222"/>
        </w:trPr>
        <w:tc>
          <w:tcPr>
            <w:tcW w:w="8440" w:type="dxa"/>
            <w:vAlign w:val="bottom"/>
          </w:tcPr>
          <w:p>
            <w:pPr>
              <w:ind w:left="220"/>
              <w:spacing w:after="0" w:line="215" w:lineRule="exact"/>
              <w:rPr>
                <w:sz w:val="20"/>
                <w:szCs w:val="20"/>
                <w:color w:val="auto"/>
              </w:rPr>
            </w:pPr>
            <w:r>
              <w:rPr>
                <w:rFonts w:ascii="Calibri" w:cs="Calibri" w:eastAsia="Calibri" w:hAnsi="Calibri"/>
                <w:sz w:val="18"/>
                <w:szCs w:val="18"/>
                <w:color w:val="auto"/>
              </w:rPr>
              <w:t>Lease liabilites</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49,137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49,971</w:t>
            </w: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Accruals and reserves not currently deductble</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40,858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30,068</w:t>
            </w:r>
          </w:p>
        </w:tc>
      </w:tr>
      <w:tr>
        <w:trPr>
          <w:trHeight w:val="223"/>
        </w:trPr>
        <w:tc>
          <w:tcPr>
            <w:tcW w:w="844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9,049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10,730</w:t>
            </w:r>
          </w:p>
        </w:tc>
      </w:tr>
      <w:tr>
        <w:trPr>
          <w:trHeight w:val="229"/>
        </w:trPr>
        <w:tc>
          <w:tcPr>
            <w:tcW w:w="8440" w:type="dxa"/>
            <w:vAlign w:val="bottom"/>
            <w:shd w:val="clear" w:color="auto" w:fill="CCEEFF"/>
          </w:tcPr>
          <w:p>
            <w:pPr>
              <w:ind w:left="340"/>
              <w:spacing w:after="0" w:line="206" w:lineRule="exact"/>
              <w:rPr>
                <w:sz w:val="20"/>
                <w:szCs w:val="20"/>
                <w:color w:val="auto"/>
              </w:rPr>
            </w:pPr>
            <w:r>
              <w:rPr>
                <w:rFonts w:ascii="Calibri" w:cs="Calibri" w:eastAsia="Calibri" w:hAnsi="Calibri"/>
                <w:sz w:val="18"/>
                <w:szCs w:val="18"/>
                <w:color w:val="auto"/>
              </w:rPr>
              <w:t>Total deferred tax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545,342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498,192</w:t>
            </w:r>
          </w:p>
        </w:tc>
      </w:tr>
      <w:tr>
        <w:trPr>
          <w:trHeight w:val="223"/>
        </w:trPr>
        <w:tc>
          <w:tcPr>
            <w:tcW w:w="8440" w:type="dxa"/>
            <w:vAlign w:val="bottom"/>
            <w:tcBorders>
              <w:bottom w:val="single" w:sz="8" w:color="CCEEFF"/>
            </w:tcBorders>
          </w:tcPr>
          <w:p>
            <w:pPr>
              <w:ind w:left="220"/>
              <w:spacing w:after="0" w:line="215" w:lineRule="exact"/>
              <w:rPr>
                <w:sz w:val="20"/>
                <w:szCs w:val="20"/>
                <w:color w:val="auto"/>
              </w:rPr>
            </w:pPr>
            <w:r>
              <w:rPr>
                <w:rFonts w:ascii="Calibri" w:cs="Calibri" w:eastAsia="Calibri" w:hAnsi="Calibri"/>
                <w:sz w:val="18"/>
                <w:szCs w:val="18"/>
                <w:color w:val="auto"/>
              </w:rPr>
              <w:t>Valuaton allowance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(86,029)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(83,001)</w:t>
            </w:r>
          </w:p>
        </w:tc>
      </w:tr>
      <w:tr>
        <w:trPr>
          <w:trHeight w:val="229"/>
        </w:trPr>
        <w:tc>
          <w:tcPr>
            <w:tcW w:w="8440" w:type="dxa"/>
            <w:vAlign w:val="bottom"/>
            <w:shd w:val="clear" w:color="auto" w:fill="CCEEFF"/>
          </w:tcPr>
          <w:p>
            <w:pPr>
              <w:ind w:left="340"/>
              <w:spacing w:after="0" w:line="206" w:lineRule="exact"/>
              <w:rPr>
                <w:sz w:val="20"/>
                <w:szCs w:val="20"/>
                <w:color w:val="auto"/>
              </w:rPr>
            </w:pPr>
            <w:r>
              <w:rPr>
                <w:rFonts w:ascii="Calibri" w:cs="Calibri" w:eastAsia="Calibri" w:hAnsi="Calibri"/>
                <w:sz w:val="18"/>
                <w:szCs w:val="18"/>
                <w:color w:val="auto"/>
              </w:rPr>
              <w:t>Net deferred tax assets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459,313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415,191</w:t>
            </w:r>
          </w:p>
        </w:tc>
      </w:tr>
      <w:tr>
        <w:trPr>
          <w:trHeight w:val="202"/>
        </w:trPr>
        <w:tc>
          <w:tcPr>
            <w:tcW w:w="8440" w:type="dxa"/>
            <w:vAlign w:val="bottom"/>
          </w:tcPr>
          <w:p>
            <w:pPr>
              <w:ind w:left="20"/>
              <w:spacing w:after="0" w:line="195" w:lineRule="exact"/>
              <w:rPr>
                <w:sz w:val="20"/>
                <w:szCs w:val="20"/>
                <w:color w:val="auto"/>
              </w:rPr>
            </w:pPr>
            <w:r>
              <w:rPr>
                <w:rFonts w:ascii="Calibri" w:cs="Calibri" w:eastAsia="Calibri" w:hAnsi="Calibri"/>
                <w:sz w:val="18"/>
                <w:szCs w:val="18"/>
                <w:color w:val="auto"/>
              </w:rPr>
              <w:t>Deferred tax liabilites: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84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Lease right-of-use assets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(39,286)</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(54,046)</w:t>
            </w:r>
          </w:p>
        </w:tc>
      </w:tr>
      <w:tr>
        <w:trPr>
          <w:trHeight w:val="223"/>
        </w:trPr>
        <w:tc>
          <w:tcPr>
            <w:tcW w:w="8440" w:type="dxa"/>
            <w:vAlign w:val="bottom"/>
          </w:tcPr>
          <w:p>
            <w:pPr>
              <w:ind w:left="460"/>
              <w:spacing w:after="0"/>
              <w:rPr>
                <w:sz w:val="20"/>
                <w:szCs w:val="20"/>
                <w:color w:val="auto"/>
              </w:rPr>
            </w:pPr>
            <w:r>
              <w:rPr>
                <w:rFonts w:ascii="Calibri" w:cs="Calibri" w:eastAsia="Calibri" w:hAnsi="Calibri"/>
                <w:sz w:val="18"/>
                <w:szCs w:val="18"/>
                <w:color w:val="auto"/>
              </w:rPr>
              <w:t>Net deferred taxes</w:t>
            </w: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420,027</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361,145</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20" w:firstLine="648"/>
        <w:spacing w:after="0" w:line="235" w:lineRule="auto"/>
        <w:rPr>
          <w:sz w:val="20"/>
          <w:szCs w:val="20"/>
          <w:color w:val="auto"/>
        </w:rPr>
      </w:pPr>
      <w:r>
        <w:rPr>
          <w:rFonts w:ascii="Calibri" w:cs="Calibri" w:eastAsia="Calibri" w:hAnsi="Calibri"/>
          <w:sz w:val="18"/>
          <w:szCs w:val="18"/>
          <w:color w:val="auto"/>
        </w:rPr>
        <w:t>As of December 31, 2024 and 2023, we contnue to carry a valuaton allowance of $86.0 million and $83.0 million, respectvely, against our California state deferred tax assets and federal and state capital loss carryforwards. The valuaton allowance increased by $3.0 million and $5.8 million during the years ended December 31, 2024 and 2023, respectvely.</w:t>
      </w:r>
    </w:p>
    <w:p>
      <w:pPr>
        <w:spacing w:after="0" w:line="165"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At December 31, 2024, we had state net operatng loss carryforwards of approximately $407.0 million, which expire in the years 2025 through 2036, and California research and development tax credits of approximately $55.0 million, which do not expire.</w:t>
      </w:r>
    </w:p>
    <w:p>
      <w:pPr>
        <w:spacing w:after="0" w:line="164"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Under the Internal Revenue Code and similar state provisions, certain substantal changes in our ownership could result in an annual limitaton on the amount of net operatng loss and credit carryforwards that can be utlized in future years to ofset future taxable income. The annual limitaton may result in the expiraton of net operatng losses and credit carryforwards before utlizaton. We completed a Secton 382 analysis through December 31, 2024, and concluded that an ownership change, as defned under Secton 382, had not occurred.</w:t>
      </w:r>
    </w:p>
    <w:p>
      <w:pPr>
        <w:spacing w:after="0" w:line="161"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following table summarizes the actvity related to our unrecognized tax benefts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1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6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6"/>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3"/>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6980" w:type="dxa"/>
            <w:vAlign w:val="bottom"/>
            <w:shd w:val="clear" w:color="auto" w:fill="CCEEFF"/>
          </w:tcPr>
          <w:p>
            <w:pPr>
              <w:spacing w:after="0" w:line="199" w:lineRule="exact"/>
              <w:rPr>
                <w:sz w:val="20"/>
                <w:szCs w:val="20"/>
                <w:color w:val="auto"/>
              </w:rPr>
            </w:pPr>
            <w:r>
              <w:rPr>
                <w:rFonts w:ascii="Calibri" w:cs="Calibri" w:eastAsia="Calibri" w:hAnsi="Calibri"/>
                <w:sz w:val="18"/>
                <w:szCs w:val="18"/>
                <w:color w:val="auto"/>
              </w:rPr>
              <w:t>Beginning balance</w:t>
            </w: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115,766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87,706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83,583</w:t>
            </w:r>
          </w:p>
        </w:tc>
      </w:tr>
      <w:tr>
        <w:trPr>
          <w:trHeight w:val="222"/>
        </w:trPr>
        <w:tc>
          <w:tcPr>
            <w:tcW w:w="6980" w:type="dxa"/>
            <w:vAlign w:val="bottom"/>
          </w:tcPr>
          <w:p>
            <w:pPr>
              <w:ind w:left="340"/>
              <w:spacing w:after="0" w:line="215" w:lineRule="exact"/>
              <w:rPr>
                <w:sz w:val="20"/>
                <w:szCs w:val="20"/>
                <w:color w:val="auto"/>
              </w:rPr>
            </w:pPr>
            <w:r>
              <w:rPr>
                <w:rFonts w:ascii="Calibri" w:cs="Calibri" w:eastAsia="Calibri" w:hAnsi="Calibri"/>
                <w:sz w:val="18"/>
                <w:szCs w:val="18"/>
                <w:color w:val="auto"/>
              </w:rPr>
              <w:t>Change relatng to prior year provision</w:t>
            </w: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715</w:t>
            </w:r>
          </w:p>
        </w:tc>
      </w:tr>
      <w:tr>
        <w:trPr>
          <w:trHeight w:val="237"/>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Change relatng to current year provision</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13,796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32,137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4,129</w:t>
            </w:r>
          </w:p>
        </w:tc>
      </w:tr>
      <w:tr>
        <w:trPr>
          <w:trHeight w:val="223"/>
        </w:trPr>
        <w:tc>
          <w:tcPr>
            <w:tcW w:w="6980" w:type="dxa"/>
            <w:vAlign w:val="bottom"/>
            <w:tcBorders>
              <w:bottom w:val="single" w:sz="8" w:color="CCEEFF"/>
            </w:tcBorders>
          </w:tcPr>
          <w:p>
            <w:pPr>
              <w:ind w:left="340"/>
              <w:spacing w:after="0" w:line="215" w:lineRule="exact"/>
              <w:rPr>
                <w:sz w:val="20"/>
                <w:szCs w:val="20"/>
                <w:color w:val="auto"/>
              </w:rPr>
            </w:pPr>
            <w:r>
              <w:rPr>
                <w:rFonts w:ascii="Calibri" w:cs="Calibri" w:eastAsia="Calibri" w:hAnsi="Calibri"/>
                <w:sz w:val="18"/>
                <w:szCs w:val="18"/>
                <w:color w:val="auto"/>
              </w:rPr>
              <w:t>Reductons based on the lapse of the applicable statutes of limitatons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(4,708)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(721)</w:t>
            </w:r>
          </w:p>
        </w:tc>
      </w:tr>
      <w:tr>
        <w:trPr>
          <w:trHeight w:val="255"/>
        </w:trPr>
        <w:tc>
          <w:tcPr>
            <w:tcW w:w="6980" w:type="dxa"/>
            <w:vAlign w:val="bottom"/>
            <w:tcBorders>
              <w:bottom w:val="single" w:sz="8" w:color="CCEEFF"/>
            </w:tcBorders>
            <w:shd w:val="clear" w:color="auto" w:fill="CCEEFF"/>
          </w:tcPr>
          <w:p>
            <w:pPr>
              <w:spacing w:after="0"/>
              <w:rPr>
                <w:sz w:val="20"/>
                <w:szCs w:val="20"/>
                <w:color w:val="auto"/>
              </w:rPr>
            </w:pPr>
            <w:r>
              <w:rPr>
                <w:rFonts w:ascii="Calibri" w:cs="Calibri" w:eastAsia="Calibri" w:hAnsi="Calibri"/>
                <w:sz w:val="18"/>
                <w:szCs w:val="18"/>
                <w:color w:val="auto"/>
              </w:rPr>
              <w:t>Ending balance</w:t>
            </w: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115,766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87,706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60" w:firstLine="648"/>
        <w:spacing w:after="0" w:line="252" w:lineRule="auto"/>
        <w:rPr>
          <w:sz w:val="20"/>
          <w:szCs w:val="20"/>
          <w:color w:val="auto"/>
        </w:rPr>
      </w:pPr>
      <w:r>
        <w:rPr>
          <w:rFonts w:ascii="Calibri" w:cs="Calibri" w:eastAsia="Calibri" w:hAnsi="Calibri"/>
          <w:sz w:val="17"/>
          <w:szCs w:val="17"/>
          <w:color w:val="auto"/>
        </w:rPr>
        <w:t>As of December 31, 2024, we had $127.5 million in unrecognized tax benefts, of which $61.5 million would reduce our income tax provision and efectve tax rate, if recognized. We have elected to record interest and penaltes in the accompanying Consolidated Statements of Income as a component of provision for income taxes. In the year ended December 31, 2024, the total amount of gross interest and penaltes accrued was $8.1 million. In the year ended December 31, 2023 and 2022, interest and penaltes were nominal or zero. Both the unrecognized tax benefts and the associated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interest and penaltes are not expected to result in payment or receipt of cash within one year and are therefore classifed as other non-current liabilites in the Consolidated Balance Sheets.</w:t>
      </w:r>
    </w:p>
    <w:p>
      <w:pPr>
        <w:spacing w:after="0" w:line="164" w:lineRule="exact"/>
        <w:rPr>
          <w:sz w:val="20"/>
          <w:szCs w:val="20"/>
          <w:color w:val="auto"/>
        </w:rPr>
      </w:pPr>
    </w:p>
    <w:p>
      <w:pPr>
        <w:ind w:right="40" w:firstLine="648"/>
        <w:spacing w:after="0" w:line="235" w:lineRule="auto"/>
        <w:rPr>
          <w:sz w:val="20"/>
          <w:szCs w:val="20"/>
          <w:color w:val="auto"/>
        </w:rPr>
      </w:pPr>
      <w:r>
        <w:rPr>
          <w:rFonts w:ascii="Calibri" w:cs="Calibri" w:eastAsia="Calibri" w:hAnsi="Calibri"/>
          <w:sz w:val="18"/>
          <w:szCs w:val="18"/>
          <w:color w:val="auto"/>
        </w:rPr>
        <w:t>We fle U.S. and state income tax returns in jurisdictons with varying statues of limitatons during which such tax returns may be audited and adjusted by the relevant tax authorites. The tax years 2002 and onwards generally remain subject to examinaton by federal and most state tax authorites to the extent net operatng losses and credits generated during these periods are being utlized in the open tax periods. We estmate that it is reasonably possible that our gross unrecognized tax benefts, exclusive of interest, could decrease by up to approximately $10.7 million in the next 12 months, as a result of various audit closures, setlements, and expiraton of statute of limitatons.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11. NET INCOME PER SHARE</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Net income per share - basic and diluted, were computed as follows (in thousands, except per share amounts):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6"/>
          </w:tcPr>
          <w:p>
            <w:pPr>
              <w:jc w:val="right"/>
              <w:ind w:right="110"/>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69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5"/>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52"/>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1"/>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9"/>
        </w:trPr>
        <w:tc>
          <w:tcPr>
            <w:tcW w:w="698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Numerator:</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80" w:type="dxa"/>
            <w:vAlign w:val="bottom"/>
          </w:tcPr>
          <w:p>
            <w:pPr>
              <w:ind w:left="340"/>
              <w:spacing w:after="0"/>
              <w:rPr>
                <w:sz w:val="20"/>
                <w:szCs w:val="20"/>
                <w:color w:val="auto"/>
              </w:rPr>
            </w:pPr>
            <w:r>
              <w:rPr>
                <w:rFonts w:ascii="Calibri" w:cs="Calibri" w:eastAsia="Calibri" w:hAnsi="Calibri"/>
                <w:sz w:val="18"/>
                <w:szCs w:val="18"/>
                <w:color w:val="auto"/>
              </w:rPr>
              <w:t>Net income</w:t>
            </w:r>
          </w:p>
        </w:tc>
        <w:tc>
          <w:tcPr>
            <w:tcW w:w="2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521,267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207,765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182,282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98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Denominator:</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2"/>
        </w:trPr>
        <w:tc>
          <w:tcPr>
            <w:tcW w:w="6980" w:type="dxa"/>
            <w:vAlign w:val="bottom"/>
          </w:tcPr>
          <w:p>
            <w:pPr>
              <w:ind w:left="340"/>
              <w:spacing w:after="0" w:line="215" w:lineRule="exact"/>
              <w:rPr>
                <w:sz w:val="20"/>
                <w:szCs w:val="20"/>
                <w:color w:val="auto"/>
              </w:rPr>
            </w:pPr>
            <w:r>
              <w:rPr>
                <w:rFonts w:ascii="Calibri" w:cs="Calibri" w:eastAsia="Calibri" w:hAnsi="Calibri"/>
                <w:sz w:val="18"/>
                <w:szCs w:val="18"/>
                <w:color w:val="auto"/>
              </w:rPr>
              <w:t>Weighted-average common shares outstanding - basic</w:t>
            </w:r>
          </w:p>
        </w:tc>
        <w:tc>
          <w:tcPr>
            <w:tcW w:w="28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290,030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318,151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321,526</w:t>
            </w:r>
          </w:p>
        </w:tc>
      </w:tr>
      <w:tr>
        <w:trPr>
          <w:trHeight w:val="230"/>
        </w:trPr>
        <w:tc>
          <w:tcPr>
            <w:tcW w:w="698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Dilutve securites</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6,102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3,313</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3,030</w:t>
            </w:r>
          </w:p>
        </w:tc>
      </w:tr>
      <w:tr>
        <w:trPr>
          <w:trHeight w:val="230"/>
        </w:trPr>
        <w:tc>
          <w:tcPr>
            <w:tcW w:w="6980" w:type="dxa"/>
            <w:vAlign w:val="bottom"/>
          </w:tcPr>
          <w:p>
            <w:pPr>
              <w:ind w:left="340"/>
              <w:spacing w:after="0"/>
              <w:rPr>
                <w:sz w:val="20"/>
                <w:szCs w:val="20"/>
                <w:color w:val="auto"/>
              </w:rPr>
            </w:pPr>
            <w:r>
              <w:rPr>
                <w:rFonts w:ascii="Calibri" w:cs="Calibri" w:eastAsia="Calibri" w:hAnsi="Calibri"/>
                <w:sz w:val="18"/>
                <w:szCs w:val="18"/>
                <w:color w:val="auto"/>
              </w:rPr>
              <w:t>Weighted-average common shares outstanding - diluted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296,132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321,464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324,556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6980" w:type="dxa"/>
            <w:vAlign w:val="bottom"/>
          </w:tcPr>
          <w:p>
            <w:pPr>
              <w:spacing w:after="0"/>
              <w:rPr>
                <w:sz w:val="20"/>
                <w:szCs w:val="20"/>
                <w:color w:val="auto"/>
              </w:rPr>
            </w:pPr>
            <w:r>
              <w:rPr>
                <w:rFonts w:ascii="Calibri" w:cs="Calibri" w:eastAsia="Calibri" w:hAnsi="Calibri"/>
                <w:sz w:val="18"/>
                <w:szCs w:val="18"/>
                <w:color w:val="auto"/>
              </w:rPr>
              <w:t>Net income per share - basic</w:t>
            </w:r>
          </w:p>
        </w:tc>
        <w:tc>
          <w:tcPr>
            <w:tcW w:w="28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0.65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0.57</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6980" w:type="dxa"/>
            <w:vAlign w:val="bottom"/>
            <w:tcBorders>
              <w:bottom w:val="single" w:sz="8" w:color="CCEEFF"/>
            </w:tcBorders>
            <w:shd w:val="clear" w:color="auto" w:fill="CCEEFF"/>
          </w:tcPr>
          <w:p>
            <w:pPr>
              <w:spacing w:after="0"/>
              <w:rPr>
                <w:sz w:val="20"/>
                <w:szCs w:val="20"/>
                <w:color w:val="auto"/>
              </w:rPr>
            </w:pPr>
            <w:r>
              <w:rPr>
                <w:rFonts w:ascii="Calibri" w:cs="Calibri" w:eastAsia="Calibri" w:hAnsi="Calibri"/>
                <w:sz w:val="18"/>
                <w:szCs w:val="18"/>
                <w:color w:val="auto"/>
              </w:rPr>
              <w:t>Net income per share - diluted</w:t>
            </w:r>
          </w:p>
        </w:tc>
        <w:tc>
          <w:tcPr>
            <w:tcW w:w="28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0.56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40" w:firstLine="648"/>
        <w:spacing w:after="0" w:line="259" w:lineRule="auto"/>
        <w:rPr>
          <w:sz w:val="20"/>
          <w:szCs w:val="20"/>
          <w:color w:val="auto"/>
        </w:rPr>
      </w:pPr>
      <w:r>
        <w:rPr>
          <w:rFonts w:ascii="Calibri" w:cs="Calibri" w:eastAsia="Calibri" w:hAnsi="Calibri"/>
          <w:sz w:val="17"/>
          <w:szCs w:val="17"/>
          <w:color w:val="auto"/>
        </w:rPr>
        <w:t>Basic net income per share is computed using the weighted-average number of common shares outstanding during the period. The diluted net income per share is computed using the weighted-average number of shares and dilutve potental common shares outstanding during the period. Dilutve shares outstanding includes the dilutve efect of in-the-money optons, unvested RSUs, and unvested PSUs when the performance conditon is met. The dilutve efect of such equity awards is calculated based on the average share price for each fscal period using the treasury stock method. Certain potental common shares were excluded from our calculaton of weighted-average common shares outstanding - diluted because either they would have had an ant-dilutve efect on net income per share or they were related to shares from PSUs and RSUs with market conditons that were contngently issuable and the contngency had not been satsfed at the end of the reportng period. See “Note 9. Stockholders’ Equity” for a further descripton of our equity awards.</w:t>
      </w:r>
    </w:p>
    <w:p>
      <w:pPr>
        <w:spacing w:after="0" w:line="142"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weighted-average potental common shares excluded from our calculaton were as follows (in thousands):</w:t>
      </w:r>
    </w:p>
    <w:p>
      <w:pPr>
        <w:spacing w:after="0" w:line="219" w:lineRule="exact"/>
        <w:rPr>
          <w:sz w:val="20"/>
          <w:szCs w:val="20"/>
          <w:color w:val="auto"/>
        </w:rPr>
      </w:pPr>
    </w:p>
    <w:p>
      <w:pPr>
        <w:ind w:left="8260"/>
        <w:spacing w:after="0"/>
        <w:rPr>
          <w:sz w:val="20"/>
          <w:szCs w:val="20"/>
          <w:color w:val="auto"/>
        </w:rPr>
      </w:pPr>
      <w:r>
        <w:rPr>
          <w:rFonts w:ascii="Calibri" w:cs="Calibri" w:eastAsia="Calibri" w:hAnsi="Calibri"/>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65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40" w:type="dxa"/>
            <w:vAlign w:val="bottom"/>
            <w:gridSpan w:val="2"/>
          </w:tcPr>
          <w:p>
            <w:pPr>
              <w:jc w:val="right"/>
              <w:ind w:right="20"/>
              <w:spacing w:after="0"/>
              <w:rPr>
                <w:sz w:val="20"/>
                <w:szCs w:val="20"/>
                <w:color w:val="auto"/>
              </w:rPr>
            </w:pPr>
            <w:r>
              <w:rPr>
                <w:rFonts w:ascii="Calibri" w:cs="Calibri" w:eastAsia="Calibri" w:hAnsi="Calibri"/>
                <w:sz w:val="16"/>
                <w:szCs w:val="16"/>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435"/>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69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3"/>
        </w:trPr>
        <w:tc>
          <w:tcPr>
            <w:tcW w:w="6980" w:type="dxa"/>
            <w:vAlign w:val="bottom"/>
            <w:shd w:val="clear" w:color="auto" w:fill="CCEEFF"/>
          </w:tcPr>
          <w:p>
            <w:pPr>
              <w:spacing w:after="0" w:line="199" w:lineRule="exact"/>
              <w:rPr>
                <w:sz w:val="20"/>
                <w:szCs w:val="20"/>
                <w:color w:val="auto"/>
              </w:rPr>
            </w:pPr>
            <w:r>
              <w:rPr>
                <w:rFonts w:ascii="Calibri" w:cs="Calibri" w:eastAsia="Calibri" w:hAnsi="Calibri"/>
                <w:sz w:val="18"/>
                <w:szCs w:val="18"/>
                <w:color w:val="auto"/>
              </w:rPr>
              <w:t>Ant-dilutve securites and contngently issuable shares excluded</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7"/>
              </w:rPr>
              <w:t>5,708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11,703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17,063</w:t>
            </w: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12. COMMITMENTS AND CONTINGENCIES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Leases</w:t>
      </w:r>
    </w:p>
    <w:p>
      <w:pPr>
        <w:spacing w:after="0" w:line="163" w:lineRule="exact"/>
        <w:rPr>
          <w:sz w:val="20"/>
          <w:szCs w:val="20"/>
          <w:color w:val="auto"/>
        </w:rPr>
      </w:pPr>
    </w:p>
    <w:p>
      <w:pPr>
        <w:ind w:right="240" w:firstLine="648"/>
        <w:spacing w:after="0" w:line="235" w:lineRule="auto"/>
        <w:rPr>
          <w:sz w:val="20"/>
          <w:szCs w:val="20"/>
          <w:color w:val="auto"/>
        </w:rPr>
      </w:pPr>
      <w:r>
        <w:rPr>
          <w:rFonts w:ascii="Calibri" w:cs="Calibri" w:eastAsia="Calibri" w:hAnsi="Calibri"/>
          <w:sz w:val="18"/>
          <w:szCs w:val="18"/>
          <w:color w:val="auto"/>
        </w:rPr>
        <w:t>We have operatng leases for our corporate headquarters in Alameda, California and in Greater Philadelphia area which includes both ofce and laboratory space totaling approximately 674,000 square feet with lease terms ending in 2025 through 2037. Certain of our leases include optons to renew the lease or to early terminate the lease. As of December 31, 2024, we considered whether these optons to renew or early terminate were reasonably certain of exercise in determining the related lease terms.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Impairment of Long-Lived Assets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In connecton with our 2024 Restructuring Plan, as discussed in “Note 13. Restructuring”, we exited two leases in</w:t>
      </w:r>
    </w:p>
    <w:p>
      <w:pPr>
        <w:sectPr>
          <w:pgSz w:w="11900" w:h="16838" w:orient="portrait"/>
          <w:cols w:equalWidth="0" w:num="1">
            <w:col w:w="11220"/>
          </w:cols>
          <w:pgMar w:left="320" w:top="2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Greater Philadelphia area pertaining to approximately 40,000 square feet of leased premises and performed an impairment analysis for these asset groups, primarily composed of right-of-use assets, leasehold improvements, and certain property and equipment. We reassessed the lease term for one of the leases in the Greater Philadelphia area and concluded we were reasonably certain to exercise our right to early terminate the lease and reduced our right-of-use asset and lease liability by $3.3 million. In connecton with the restructuring plan, we recognized $12.7 million of non-cash impairment charge during the year ended December 31, 2024, to reduce the carrying value of these long-lived assets at their fair value. The impairment charge is presented in restructuring in the accompanying Consolidated Statements of Income.</w:t>
      </w:r>
    </w:p>
    <w:p>
      <w:pPr>
        <w:spacing w:after="0" w:line="167"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During fscal 2024, we evaluated our plans for the Alameda leased facilites and listed certain buildings for sublease. As a result, we determined the related right-of-use assets and leasehold improvements should be evaluated for impairment as separate asset groups. We concluded that these asset groups were not recoverable and we recognized $51.7 million of non-cash impairment charge and reduced the carrying value of our right-of-use assets pertaining to approximately 215,000 square feet of leased premises, reduced the leasehold improvements and certain property and equipment, to their estmated fair value. The estmated fair value was determined using an income approach comprised of projected discounted cash fows that included certain Level 3 inputs, such as sublease income and discount rates. The assumptons associated with sublease income and discount rates are subject to risks and uncertaintes and could materially difer from our estmates. The impairment charge is presented in impairment of long-lived assets in the accompanying Consolidated Statements of Income.</w:t>
      </w:r>
    </w:p>
    <w:p>
      <w:pPr>
        <w:spacing w:after="0" w:line="164"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balance sheet classifcaton of our operatng lease assets and liabilites were as follows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Calibri" w:cs="Calibri" w:eastAsia="Calibri" w:hAnsi="Calibri"/>
                <w:sz w:val="16"/>
                <w:szCs w:val="16"/>
                <w:b w:val="1"/>
                <w:bCs w:val="1"/>
                <w:color w:val="auto"/>
              </w:rPr>
              <w:t>2024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41"/>
        </w:trPr>
        <w:tc>
          <w:tcPr>
            <w:tcW w:w="69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0"/>
              <w:spacing w:after="0"/>
              <w:rPr>
                <w:sz w:val="20"/>
                <w:szCs w:val="20"/>
                <w:color w:val="auto"/>
              </w:rPr>
            </w:pPr>
            <w:r>
              <w:rPr>
                <w:rFonts w:ascii="Calibri" w:cs="Calibri" w:eastAsia="Calibri" w:hAnsi="Calibri"/>
                <w:sz w:val="18"/>
                <w:szCs w:val="18"/>
                <w:color w:val="auto"/>
              </w:rPr>
              <w:t>Right-of-use assets included in other non-current assets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172,564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233,244</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Liabilites: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200"/>
              <w:spacing w:after="0" w:line="215" w:lineRule="exact"/>
              <w:rPr>
                <w:sz w:val="20"/>
                <w:szCs w:val="20"/>
                <w:color w:val="auto"/>
              </w:rPr>
            </w:pPr>
            <w:r>
              <w:rPr>
                <w:rFonts w:ascii="Calibri" w:cs="Calibri" w:eastAsia="Calibri" w:hAnsi="Calibri"/>
                <w:sz w:val="18"/>
                <w:szCs w:val="18"/>
                <w:color w:val="auto"/>
              </w:rPr>
              <w:t>Current porton included in other current liabilites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25,011</w:t>
            </w:r>
          </w:p>
        </w:tc>
        <w:tc>
          <w:tcPr>
            <w:tcW w:w="80" w:type="dxa"/>
            <w:vAlign w:val="bottom"/>
          </w:tcPr>
          <w:p>
            <w:pPr>
              <w:spacing w:after="0"/>
              <w:rPr>
                <w:sz w:val="19"/>
                <w:szCs w:val="19"/>
                <w:color w:val="auto"/>
              </w:rPr>
            </w:pPr>
          </w:p>
        </w:tc>
        <w:tc>
          <w:tcPr>
            <w:tcW w:w="460" w:type="dxa"/>
            <w:vAlign w:val="bottom"/>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25,715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0"/>
              <w:spacing w:after="0"/>
              <w:rPr>
                <w:sz w:val="20"/>
                <w:szCs w:val="20"/>
                <w:color w:val="auto"/>
              </w:rPr>
            </w:pPr>
            <w:r>
              <w:rPr>
                <w:rFonts w:ascii="Calibri" w:cs="Calibri" w:eastAsia="Calibri" w:hAnsi="Calibri"/>
                <w:sz w:val="18"/>
                <w:szCs w:val="18"/>
                <w:color w:val="auto"/>
              </w:rPr>
              <w:t>Non-current porton of operatng lease liabilites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190,823</w:t>
            </w: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189,944</w:t>
            </w:r>
          </w:p>
        </w:tc>
        <w:tc>
          <w:tcPr>
            <w:tcW w:w="0" w:type="dxa"/>
            <w:vAlign w:val="bottom"/>
          </w:tcPr>
          <w:p>
            <w:pPr>
              <w:spacing w:after="0"/>
              <w:rPr>
                <w:sz w:val="1"/>
                <w:szCs w:val="1"/>
                <w:color w:val="auto"/>
              </w:rPr>
            </w:pPr>
          </w:p>
        </w:tc>
      </w:tr>
      <w:tr>
        <w:trPr>
          <w:trHeight w:val="230"/>
        </w:trPr>
        <w:tc>
          <w:tcPr>
            <w:tcW w:w="6980" w:type="dxa"/>
            <w:vAlign w:val="bottom"/>
          </w:tcPr>
          <w:p>
            <w:pPr>
              <w:ind w:left="460"/>
              <w:spacing w:after="0"/>
              <w:rPr>
                <w:sz w:val="20"/>
                <w:szCs w:val="20"/>
                <w:color w:val="auto"/>
              </w:rPr>
            </w:pPr>
            <w:r>
              <w:rPr>
                <w:rFonts w:ascii="Calibri" w:cs="Calibri" w:eastAsia="Calibri" w:hAnsi="Calibri"/>
                <w:sz w:val="18"/>
                <w:szCs w:val="18"/>
                <w:color w:val="auto"/>
              </w:rPr>
              <w:t>Total operatng lease liabilites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215,834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215,659</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620"/>
              <w:spacing w:after="0"/>
              <w:rPr>
                <w:sz w:val="20"/>
                <w:szCs w:val="20"/>
                <w:color w:val="auto"/>
              </w:rPr>
            </w:pPr>
            <w:r>
              <w:rPr>
                <w:rFonts w:ascii="Calibri" w:cs="Calibri" w:eastAsia="Calibri" w:hAnsi="Calibri"/>
                <w:sz w:val="18"/>
                <w:szCs w:val="18"/>
                <w:color w:val="auto"/>
              </w:rPr>
              <w:t>The components of operatng lease costs were as follows (in thousands):</w:t>
            </w: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6"/>
          </w:tcPr>
          <w:p>
            <w:pPr>
              <w:jc w:val="right"/>
              <w:ind w:right="270"/>
              <w:spacing w:after="0"/>
              <w:rPr>
                <w:sz w:val="20"/>
                <w:szCs w:val="20"/>
                <w:color w:val="auto"/>
              </w:rPr>
            </w:pPr>
            <w:r>
              <w:rPr>
                <w:rFonts w:ascii="Calibri" w:cs="Calibri" w:eastAsia="Calibri" w:hAnsi="Calibri"/>
                <w:sz w:val="16"/>
                <w:szCs w:val="16"/>
                <w:b w:val="1"/>
                <w:bCs w:val="1"/>
                <w:color w:val="auto"/>
              </w:rPr>
              <w:t>Year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4"/>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12"/>
              <w:spacing w:after="0"/>
              <w:rPr>
                <w:sz w:val="20"/>
                <w:szCs w:val="20"/>
                <w:color w:val="auto"/>
              </w:rPr>
            </w:pPr>
            <w:r>
              <w:rPr>
                <w:rFonts w:ascii="Calibri" w:cs="Calibri" w:eastAsia="Calibri" w:hAnsi="Calibri"/>
                <w:sz w:val="16"/>
                <w:szCs w:val="16"/>
                <w:b w:val="1"/>
                <w:bCs w:val="1"/>
                <w:color w:val="auto"/>
              </w:rPr>
              <w:t>2022</w:t>
            </w:r>
          </w:p>
        </w:tc>
        <w:tc>
          <w:tcPr>
            <w:tcW w:w="0" w:type="dxa"/>
            <w:vAlign w:val="bottom"/>
          </w:tcPr>
          <w:p>
            <w:pPr>
              <w:spacing w:after="0"/>
              <w:rPr>
                <w:sz w:val="1"/>
                <w:szCs w:val="1"/>
                <w:color w:val="auto"/>
              </w:rPr>
            </w:pPr>
          </w:p>
        </w:tc>
      </w:tr>
      <w:tr>
        <w:trPr>
          <w:trHeight w:val="41"/>
        </w:trPr>
        <w:tc>
          <w:tcPr>
            <w:tcW w:w="6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spacing w:after="0" w:line="199" w:lineRule="exact"/>
              <w:rPr>
                <w:sz w:val="20"/>
                <w:szCs w:val="20"/>
                <w:color w:val="auto"/>
              </w:rPr>
            </w:pPr>
            <w:r>
              <w:rPr>
                <w:rFonts w:ascii="Calibri" w:cs="Calibri" w:eastAsia="Calibri" w:hAnsi="Calibri"/>
                <w:sz w:val="18"/>
                <w:szCs w:val="18"/>
                <w:color w:val="auto"/>
              </w:rPr>
              <w:t>Operatng lease cost</w:t>
            </w: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28,976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18,315</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9,276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7,068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3,098</w:t>
            </w:r>
          </w:p>
        </w:tc>
        <w:tc>
          <w:tcPr>
            <w:tcW w:w="0" w:type="dxa"/>
            <w:vAlign w:val="bottom"/>
          </w:tcPr>
          <w:p>
            <w:pPr>
              <w:spacing w:after="0"/>
              <w:rPr>
                <w:sz w:val="1"/>
                <w:szCs w:val="1"/>
                <w:color w:val="auto"/>
              </w:rPr>
            </w:pPr>
          </w:p>
        </w:tc>
      </w:tr>
      <w:tr>
        <w:trPr>
          <w:trHeight w:val="254"/>
        </w:trPr>
        <w:tc>
          <w:tcPr>
            <w:tcW w:w="6980" w:type="dxa"/>
            <w:vAlign w:val="bottom"/>
            <w:tcBorders>
              <w:bottom w:val="single" w:sz="8" w:color="CCEEFF"/>
            </w:tcBorders>
            <w:shd w:val="clear" w:color="auto" w:fill="CCEEFF"/>
          </w:tcPr>
          <w:p>
            <w:pPr>
              <w:ind w:left="200"/>
              <w:spacing w:after="0"/>
              <w:rPr>
                <w:sz w:val="20"/>
                <w:szCs w:val="20"/>
                <w:color w:val="auto"/>
              </w:rPr>
            </w:pPr>
            <w:r>
              <w:rPr>
                <w:rFonts w:ascii="Calibri" w:cs="Calibri" w:eastAsia="Calibri" w:hAnsi="Calibri"/>
                <w:sz w:val="18"/>
                <w:szCs w:val="18"/>
                <w:color w:val="auto"/>
              </w:rPr>
              <w:t>Total operatng lease costs</w:t>
            </w:r>
          </w:p>
        </w:tc>
        <w:tc>
          <w:tcPr>
            <w:tcW w:w="30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36,044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21,413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Lease costs for leases with inital terms less than 1 year were immaterial for the years ended December 31, 2024, 2023 and 2022, respectvely.</w:t>
      </w:r>
    </w:p>
    <w:p>
      <w:pPr>
        <w:spacing w:after="0" w:line="163"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Cash paid for operatng leases which were included in net cash provided by operatng actvites in our Consolidated Statements of Cash Flows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left="656"/>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Pr>
          <w:p>
            <w:pPr>
              <w:spacing w:after="0"/>
              <w:rPr>
                <w:sz w:val="16"/>
                <w:szCs w:val="16"/>
                <w:color w:val="auto"/>
              </w:rPr>
            </w:pPr>
          </w:p>
        </w:tc>
      </w:tr>
      <w:tr>
        <w:trPr>
          <w:trHeight w:val="41"/>
        </w:trPr>
        <w:tc>
          <w:tcPr>
            <w:tcW w:w="70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5"/>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6"/>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5"/>
              <w:spacing w:after="0"/>
              <w:rPr>
                <w:sz w:val="20"/>
                <w:szCs w:val="20"/>
                <w:color w:val="auto"/>
              </w:rPr>
            </w:pPr>
            <w:r>
              <w:rPr>
                <w:rFonts w:ascii="Calibri" w:cs="Calibri" w:eastAsia="Calibri" w:hAnsi="Calibri"/>
                <w:sz w:val="16"/>
                <w:szCs w:val="16"/>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5"/>
              <w:spacing w:after="0"/>
              <w:rPr>
                <w:sz w:val="20"/>
                <w:szCs w:val="20"/>
                <w:color w:val="auto"/>
              </w:rPr>
            </w:pPr>
            <w:r>
              <w:rPr>
                <w:rFonts w:ascii="Calibri" w:cs="Calibri" w:eastAsia="Calibri" w:hAnsi="Calibri"/>
                <w:sz w:val="16"/>
                <w:szCs w:val="16"/>
                <w:b w:val="1"/>
                <w:bCs w:val="1"/>
                <w:color w:val="auto"/>
              </w:rPr>
              <w:t>2022</w:t>
            </w:r>
          </w:p>
        </w:tc>
      </w:tr>
      <w:tr>
        <w:trPr>
          <w:trHeight w:val="41"/>
        </w:trPr>
        <w:tc>
          <w:tcPr>
            <w:tcW w:w="70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700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Cash paid for operatng leases</w:t>
            </w: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lease term and discount rate for operatng leases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2020" w:type="dxa"/>
            <w:vAlign w:val="bottom"/>
            <w:gridSpan w:val="5"/>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
        </w:trPr>
        <w:tc>
          <w:tcPr>
            <w:tcW w:w="20" w:type="dxa"/>
            <w:vAlign w:val="bottom"/>
          </w:tcPr>
          <w:p>
            <w:pPr>
              <w:spacing w:after="0"/>
              <w:rPr>
                <w:sz w:val="3"/>
                <w:szCs w:val="3"/>
                <w:color w:val="auto"/>
              </w:rPr>
            </w:pPr>
          </w:p>
        </w:tc>
        <w:tc>
          <w:tcPr>
            <w:tcW w:w="82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1440" w:type="dxa"/>
            <w:vAlign w:val="bottom"/>
          </w:tcPr>
          <w:p>
            <w:pPr>
              <w:jc w:val="right"/>
              <w:ind w:right="475"/>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71"/>
              <w:spacing w:after="0"/>
              <w:rPr>
                <w:sz w:val="20"/>
                <w:szCs w:val="20"/>
                <w:color w:val="auto"/>
              </w:rPr>
            </w:pPr>
            <w:r>
              <w:rPr>
                <w:rFonts w:ascii="Calibri" w:cs="Calibri" w:eastAsia="Calibri" w:hAnsi="Calibri"/>
                <w:sz w:val="16"/>
                <w:szCs w:val="16"/>
                <w:b w:val="1"/>
                <w:bCs w:val="1"/>
                <w:color w:val="auto"/>
              </w:rPr>
              <w:t>2023</w:t>
            </w:r>
          </w:p>
        </w:tc>
        <w:tc>
          <w:tcPr>
            <w:tcW w:w="20" w:type="dxa"/>
            <w:vAlign w:val="bottom"/>
          </w:tcPr>
          <w:p>
            <w:pPr>
              <w:spacing w:after="0"/>
              <w:rPr>
                <w:sz w:val="17"/>
                <w:szCs w:val="17"/>
                <w:color w:val="auto"/>
              </w:rPr>
            </w:pPr>
          </w:p>
        </w:tc>
      </w:tr>
      <w:tr>
        <w:trPr>
          <w:trHeight w:val="41"/>
        </w:trPr>
        <w:tc>
          <w:tcPr>
            <w:tcW w:w="20" w:type="dxa"/>
            <w:vAlign w:val="bottom"/>
          </w:tcPr>
          <w:p>
            <w:pPr>
              <w:spacing w:after="0"/>
              <w:rPr>
                <w:sz w:val="3"/>
                <w:szCs w:val="3"/>
                <w:color w:val="auto"/>
              </w:rPr>
            </w:pPr>
          </w:p>
        </w:tc>
        <w:tc>
          <w:tcPr>
            <w:tcW w:w="8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8200" w:type="dxa"/>
            <w:vAlign w:val="bottom"/>
            <w:tcBorders>
              <w:top w:val="single" w:sz="8" w:color="CCEEFF"/>
            </w:tcBorders>
            <w:shd w:val="clear" w:color="auto" w:fill="CCEEFF"/>
          </w:tcPr>
          <w:p>
            <w:pPr>
              <w:spacing w:after="0" w:line="199" w:lineRule="exact"/>
              <w:rPr>
                <w:sz w:val="20"/>
                <w:szCs w:val="20"/>
                <w:color w:val="auto"/>
              </w:rPr>
            </w:pPr>
            <w:r>
              <w:rPr>
                <w:rFonts w:ascii="Calibri" w:cs="Calibri" w:eastAsia="Calibri" w:hAnsi="Calibri"/>
                <w:sz w:val="18"/>
                <w:szCs w:val="18"/>
                <w:color w:val="auto"/>
              </w:rPr>
              <w:t>Weighted-average remaining lease term (in years)</w:t>
            </w:r>
          </w:p>
        </w:tc>
        <w:tc>
          <w:tcPr>
            <w:tcW w:w="14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 years</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11.4 years</w:t>
            </w: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200" w:type="dxa"/>
            <w:vAlign w:val="bottom"/>
          </w:tcPr>
          <w:p>
            <w:pPr>
              <w:spacing w:after="0" w:line="215" w:lineRule="exact"/>
              <w:rPr>
                <w:sz w:val="20"/>
                <w:szCs w:val="20"/>
                <w:color w:val="auto"/>
              </w:rPr>
            </w:pPr>
            <w:r>
              <w:rPr>
                <w:rFonts w:ascii="Calibri" w:cs="Calibri" w:eastAsia="Calibri" w:hAnsi="Calibri"/>
                <w:sz w:val="18"/>
                <w:szCs w:val="18"/>
                <w:color w:val="auto"/>
              </w:rPr>
              <w:t>Weighted-average discount rate</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5.3 %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5.3 %</w:t>
            </w:r>
          </w:p>
        </w:tc>
        <w:tc>
          <w:tcPr>
            <w:tcW w:w="20" w:type="dxa"/>
            <w:vAlign w:val="bottom"/>
          </w:tcPr>
          <w:p>
            <w:pPr>
              <w:spacing w:after="0"/>
              <w:rPr>
                <w:sz w:val="18"/>
                <w:szCs w:val="18"/>
                <w:color w:val="auto"/>
              </w:rPr>
            </w:pPr>
          </w:p>
        </w:tc>
      </w:tr>
      <w:tr>
        <w:trPr>
          <w:trHeight w:val="464"/>
        </w:trPr>
        <w:tc>
          <w:tcPr>
            <w:tcW w:w="20" w:type="dxa"/>
            <w:vAlign w:val="bottom"/>
          </w:tcPr>
          <w:p>
            <w:pPr>
              <w:spacing w:after="0"/>
              <w:rPr>
                <w:sz w:val="24"/>
                <w:szCs w:val="24"/>
                <w:color w:val="auto"/>
              </w:rPr>
            </w:pPr>
          </w:p>
        </w:tc>
        <w:tc>
          <w:tcPr>
            <w:tcW w:w="8200" w:type="dxa"/>
            <w:vAlign w:val="bottom"/>
          </w:tcPr>
          <w:p>
            <w:pPr>
              <w:ind w:left="640"/>
              <w:spacing w:after="0"/>
              <w:rPr>
                <w:sz w:val="20"/>
                <w:szCs w:val="20"/>
                <w:color w:val="auto"/>
              </w:rPr>
            </w:pPr>
            <w:r>
              <w:rPr>
                <w:rFonts w:ascii="Calibri" w:cs="Calibri" w:eastAsia="Calibri" w:hAnsi="Calibri"/>
                <w:sz w:val="18"/>
                <w:szCs w:val="18"/>
                <w:color w:val="auto"/>
              </w:rPr>
              <w:t>As of December 31, 2024, the maturites of our operatng lease liabilites were as follows (in thousands):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200" w:type="dxa"/>
            <w:vAlign w:val="bottom"/>
          </w:tcPr>
          <w:p>
            <w:pPr>
              <w:ind w:left="20"/>
              <w:spacing w:after="0"/>
              <w:rPr>
                <w:sz w:val="20"/>
                <w:szCs w:val="20"/>
                <w:color w:val="auto"/>
              </w:rPr>
            </w:pPr>
            <w:r>
              <w:rPr>
                <w:rFonts w:ascii="Calibri" w:cs="Calibri" w:eastAsia="Calibri" w:hAnsi="Calibri"/>
                <w:sz w:val="16"/>
                <w:szCs w:val="16"/>
                <w:b w:val="1"/>
                <w:bCs w:val="1"/>
                <w:color w:val="auto"/>
              </w:rPr>
              <w:t>Year Ended December 31,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Calibri" w:cs="Calibri" w:eastAsia="Calibri" w:hAnsi="Calibri"/>
                <w:sz w:val="16"/>
                <w:szCs w:val="16"/>
                <w:b w:val="1"/>
                <w:bCs w:val="1"/>
                <w:color w:val="auto"/>
              </w:rPr>
              <w:t>Amount</w:t>
            </w:r>
          </w:p>
        </w:tc>
      </w:tr>
      <w:tr>
        <w:trPr>
          <w:trHeight w:val="41"/>
        </w:trPr>
        <w:tc>
          <w:tcPr>
            <w:tcW w:w="8220" w:type="dxa"/>
            <w:vAlign w:val="bottom"/>
            <w:gridSpan w:val="2"/>
          </w:tcPr>
          <w:p>
            <w:pPr>
              <w:spacing w:after="0"/>
              <w:rPr>
                <w:sz w:val="3"/>
                <w:szCs w:val="3"/>
                <w:color w:val="auto"/>
              </w:rPr>
            </w:pPr>
          </w:p>
        </w:tc>
        <w:tc>
          <w:tcPr>
            <w:tcW w:w="1580" w:type="dxa"/>
            <w:vAlign w:val="bottom"/>
            <w:gridSpan w:val="3"/>
          </w:tcPr>
          <w:p>
            <w:pPr>
              <w:spacing w:after="0"/>
              <w:rPr>
                <w:sz w:val="3"/>
                <w:szCs w:val="3"/>
                <w:color w:val="auto"/>
              </w:rPr>
            </w:pPr>
          </w:p>
        </w:tc>
        <w:tc>
          <w:tcPr>
            <w:tcW w:w="4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20" w:type="dxa"/>
            <w:vAlign w:val="bottom"/>
          </w:tcPr>
          <w:p>
            <w:pPr>
              <w:spacing w:after="0"/>
              <w:rPr>
                <w:sz w:val="18"/>
                <w:szCs w:val="18"/>
                <w:color w:val="auto"/>
              </w:rPr>
            </w:pPr>
          </w:p>
        </w:tc>
        <w:tc>
          <w:tcPr>
            <w:tcW w:w="8200" w:type="dxa"/>
            <w:vAlign w:val="bottom"/>
            <w:tcBorders>
              <w:top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2025</w:t>
            </w:r>
          </w:p>
        </w:tc>
        <w:tc>
          <w:tcPr>
            <w:tcW w:w="1580" w:type="dxa"/>
            <w:vAlign w:val="bottom"/>
            <w:tcBorders>
              <w:top w:val="single" w:sz="8" w:color="auto"/>
            </w:tcBorders>
            <w:gridSpan w:val="3"/>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26,526</w:t>
            </w:r>
          </w:p>
        </w:tc>
        <w:tc>
          <w:tcPr>
            <w:tcW w:w="20" w:type="dxa"/>
            <w:vAlign w:val="bottom"/>
            <w:tcBorders>
              <w:top w:val="single" w:sz="8" w:color="auto"/>
            </w:tcBorders>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2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2026</w:t>
            </w: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28,520</w:t>
            </w:r>
          </w:p>
        </w:tc>
        <w:tc>
          <w:tcPr>
            <w:tcW w:w="2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8200" w:type="dxa"/>
            <w:vAlign w:val="bottom"/>
          </w:tcPr>
          <w:p>
            <w:pPr>
              <w:ind w:left="20"/>
              <w:spacing w:after="0" w:line="215" w:lineRule="exact"/>
              <w:rPr>
                <w:sz w:val="20"/>
                <w:szCs w:val="20"/>
                <w:color w:val="auto"/>
              </w:rPr>
            </w:pPr>
            <w:r>
              <w:rPr>
                <w:rFonts w:ascii="Calibri" w:cs="Calibri" w:eastAsia="Calibri" w:hAnsi="Calibri"/>
                <w:sz w:val="18"/>
                <w:szCs w:val="18"/>
                <w:color w:val="auto"/>
              </w:rPr>
              <w:t>2027</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24,301</w:t>
            </w:r>
          </w:p>
        </w:tc>
        <w:tc>
          <w:tcPr>
            <w:tcW w:w="2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2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2028</w:t>
            </w: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25,029</w:t>
            </w:r>
          </w:p>
        </w:tc>
        <w:tc>
          <w:tcPr>
            <w:tcW w:w="20" w:type="dxa"/>
            <w:vAlign w:val="bottom"/>
            <w:shd w:val="clear" w:color="auto" w:fill="CCEEFF"/>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20"/>
              <w:spacing w:after="0" w:line="215" w:lineRule="exact"/>
              <w:rPr>
                <w:sz w:val="20"/>
                <w:szCs w:val="20"/>
                <w:color w:val="auto"/>
              </w:rPr>
            </w:pPr>
            <w:r>
              <w:rPr>
                <w:rFonts w:ascii="Calibri" w:cs="Calibri" w:eastAsia="Calibri" w:hAnsi="Calibri"/>
                <w:sz w:val="18"/>
                <w:szCs w:val="18"/>
                <w:color w:val="auto"/>
              </w:rPr>
              <w:t>2029</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25,777</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2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Thereafer</w:t>
            </w: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155,585</w:t>
            </w:r>
          </w:p>
        </w:tc>
        <w:tc>
          <w:tcPr>
            <w:tcW w:w="20" w:type="dxa"/>
            <w:vAlign w:val="bottom"/>
            <w:tcBorders>
              <w:bottom w:val="single" w:sz="8" w:color="auto"/>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60"/>
              <w:spacing w:after="0" w:line="195" w:lineRule="exact"/>
              <w:rPr>
                <w:sz w:val="20"/>
                <w:szCs w:val="20"/>
                <w:color w:val="auto"/>
              </w:rPr>
            </w:pPr>
            <w:r>
              <w:rPr>
                <w:rFonts w:ascii="Calibri" w:cs="Calibri" w:eastAsia="Calibri" w:hAnsi="Calibri"/>
                <w:sz w:val="18"/>
                <w:szCs w:val="18"/>
                <w:color w:val="auto"/>
              </w:rPr>
              <w:t>Total lease payments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285,738</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2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Less:</w:t>
            </w: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200" w:type="dxa"/>
            <w:vAlign w:val="bottom"/>
            <w:tcBorders>
              <w:bottom w:val="single" w:sz="8" w:color="CCEEFF"/>
            </w:tcBorders>
          </w:tcPr>
          <w:p>
            <w:pPr>
              <w:ind w:left="260"/>
              <w:spacing w:after="0" w:line="215" w:lineRule="exact"/>
              <w:rPr>
                <w:sz w:val="20"/>
                <w:szCs w:val="20"/>
                <w:color w:val="auto"/>
              </w:rPr>
            </w:pPr>
            <w:r>
              <w:rPr>
                <w:rFonts w:ascii="Calibri" w:cs="Calibri" w:eastAsia="Calibri" w:hAnsi="Calibri"/>
                <w:sz w:val="18"/>
                <w:szCs w:val="18"/>
                <w:color w:val="auto"/>
              </w:rPr>
              <w:t>Imputed interest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(69,904)</w:t>
            </w:r>
          </w:p>
        </w:tc>
      </w:tr>
      <w:tr>
        <w:trPr>
          <w:trHeight w:val="248"/>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460"/>
              <w:spacing w:after="0" w:line="202" w:lineRule="exact"/>
              <w:rPr>
                <w:sz w:val="20"/>
                <w:szCs w:val="20"/>
                <w:color w:val="auto"/>
              </w:rPr>
            </w:pPr>
            <w:r>
              <w:rPr>
                <w:rFonts w:ascii="Calibri" w:cs="Calibri" w:eastAsia="Calibri" w:hAnsi="Calibri"/>
                <w:sz w:val="18"/>
                <w:szCs w:val="18"/>
                <w:color w:val="auto"/>
              </w:rPr>
              <w:t>Operatng lease liabilites</w:t>
            </w:r>
          </w:p>
        </w:tc>
        <w:tc>
          <w:tcPr>
            <w:tcW w:w="1580" w:type="dxa"/>
            <w:vAlign w:val="bottom"/>
            <w:tcBorders>
              <w:bottom w:val="single" w:sz="8" w:color="CCEEFF"/>
            </w:tcBorders>
            <w:gridSpan w:val="3"/>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215,834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Legal Proceedings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MSN I ANDA Litgaton</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September 2019, we received a notce leter regarding an Abbreviated New Drug Applicaton (ANDA) submited to the FDA by MSN Pharmaceutcals, Inc. (individually and collectvely with certain of its afliates, including MSN Laboratories Private Limited, referred to as MSN), requestng approval to market a generic version of CABOMETYX tablets. MSN’s inital notce leter included a Paragraph IV certfcaton with respect to our U.S. Patents No. 8,877,776 (salt and polymorphic forms), 9,724,342 (formulatons), 10,034,873 (methods of treatment) and 10,039,757 (methods of treatment), which are listed in the Approved Drug Products with Therapeutc Equivalence Evaluatons, also referred to as the Orange Book, for CABOMETYX. MSN’s inital notce leter did not provide a Paragraph IV certfcaton against U.S. Patents No. 7,579,473 (compositon of mater) or 8,497,284 (methods of treatment), each of which is listed in the Orange Book. On October 29, 2019, we fled a complaint in the United States District Court for the District of Delaware (the Delaware District Court) for patent infringement against MSN assertng infringement of U.S. Patent No. 8,877,776 arising from MSN’s ANDA fling with the FDA. On November 20, 2019, MSN fled its response to the complaint, alleging that the asserted claims of U.S. Patent No. 8,877,776 are invalid and not infringed. On May 5, 2020, we received notce from MSN that it had amended its ANDA to include additonal Paragraph IV certfcatons. In partcular, the May 5, 2020 amended ANDA requested approval to market a generic version of CABOMETYX tablets prior to expiraton of two previously unasserted CABOMETYX patents: U.S. Patents No. 7,579,473 and 8,497,284. On May 11, 2020, we fled a complaint in the Delaware District Court for patent infringement against MSN assertng infringement of U.S. Patents No. 7,579,473 and 8,497,284 arising from MSN’s amended ANDA fling with the FDA. Neither of our complaints have alleged infringement of U.S. Patents No. 9,724,342, 10,034,873 and 10,039,757. On May 22, 2020, MSN fled its response to the complaint, alleging that the asserted claims of U.S. Patents No. 7,579,473 and 8,497,284 are invalid and not infringed. On March 23, 2021, MSN fled its First Amended Answer and Counterclaims (amending its prior fling from May 22, 2020), seeking, among other things, a declaratory judgment that U.S. Patent No. 9,809,549 (salt and polymorphic forms) is invalid and would not be infringed by MSN if its generic version of CABOMETYX tablets were approved by the FDA. U.S. Patent No. 9,809,549 is not listed in the Orange Book. On April 7, 2021, we fled our response to MSN’s First Amended Answer and Counterclaims, denying, among other things, that U.S. Patent No. 9,809,549 is invalid or would not be infringed. The two lawsuits comprising this litgaton (collectvely referred to as MSN I), numbered Civil Acton Nos. 19-02017 and 20-00633, were consolidated in April 2021.</w:t>
      </w:r>
    </w:p>
    <w:p>
      <w:pPr>
        <w:spacing w:after="0" w:line="179"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On October 1, 2021, pursuant to a stpulaton between us and MSN, the Delaware District Court entered an order that (i) MSN’s submission of its ANDA consttutes infringement of certain claims relatng to U.S. Patents No. 7,579,473 and 8,497,284, if those claims are not found to be invalid, and (ii) upon approval, MSN’s commercial manufacture, use, sale 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ofer for sale within the U.S., and importaton into the U.S., of MSN’s proposed ANDA product prior to the expiraton of U.S. Patents No. 7,579,473 and 8,497,284 would also infringe certain claims of each patent, if those claims are not found to be invalid. Then, on October 12, 2021, pursuant to a separate stpulaton between us and MSN, the Delaware District Court entered an order dismissing MSN’s counterclaim with respect to U.S. Patent No. 9,809,549. In our MSN I complaints, we sought, among other relief, an order that the efectve date of any FDA approval of MSN’s ANDA be a date no earlier than the expiraton of all of U.S. Patents No. 7,579,473, 8,497,284 and 8,877,776, the latest of which expires on October 8, 2030, and equitable relief enjoining MSN from infringing these patents. To streamline the case, the partes narrowed their assertons. On April 8, 2022, MSN withdrew its validity challenge to U.S. Patent No. 8,877,776. On April 14, 2022, we agreed not to assert U.S. Patent No. 8,497,284 at trial and MSN, correspondingly, agreed to withdraw its validity challenges to U.S. Patent No. 8,497,284, as well as claims 1-4 and 6-7 of U.S. Patent No. 7,579,473. As a result of this narrowing, the trial addressed two issues: (1) infringement of claim 1 of the U.S. Patent No. 8,877,776; and (2) validity of claim 5 of the U.S. Patent No. 7,579,473. A bench trial for MSN I occurred in May 2022, and on January 19, 2023, the Delaware District Court issued a ruling rejectng MSN’s invalidity challenge to U.S. Patent No. 7,759,473. The Delaware District Court also ruled that MSN’s proposed ANDA product does not infringe U.S. Patent No. 8,877,776. In accordance with these rulings, the Delaware District Court entered judgment that the efectve date of any fnal FDA approval of MSN’s ANDA shall not be a date earlier than August 14, 2026, the expiraton date of U.S. Patent No. 7,759,473. Final judgment was entered on January 30, 2023. This ruling in MSN I did not impact our separate MSN II lawsuit (as defned below).</w:t>
      </w:r>
    </w:p>
    <w:p>
      <w:pPr>
        <w:spacing w:after="0" w:line="169"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MSN II ANDA Litgaton</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On January 11, 2022, we received notce from MSN that it had further amended its ANDA to assert additonal Paragraph IV certfcatons. In partcular, the January 11, 2022 amended ANDA requested approval to market a generic version of CABOMETYX tablets prior to expiraton of three previously-unasserted CABOMETYX patents that are now listed in the Orange Book: U.S. Patents No. 11,091,439 (crystalline salt forms), 11,091,440 (pharmaceutcal compositon) and 11,098,015 (methods of treatment). On February 23, 2022, we fled a complaint in the Delaware District Court for patent infringement against MSN assertng infringement of U.S. Patents No. 11,091,439, 11,091,440 and 11,098,015 arising from MSN’s further amendment of its ANDA fling with the FDA. On February 25, 2022, MSN fled its response to the complaint, alleging that the asserted claims of U.S. Patents No. 11,091,439, 11,091,440 and 11,098,015 are invalid and not infringed. On June 7, 2022, we received notce from MSN that it had further amended its ANDA to assert an additonal Paragraph IV certfcaton. As currently amended, MSN’s ANDA now requests approval to market a generic version of CABOMETYX tablets prior to expiraton of a previously-unasserted CABOMETYX patent that is now listed in the Orange Book: U.S. Patent No. 11,298,349 (pharmaceutcal compositon). On July 18, 2022, we fled a complaint in the Delaware District Court for patent infringement against MSN assertng infringement of U.S. Patent No. 11,298,349 arising from MSN’s further amendment of its ANDA fling with the FDA. On August 9, 2022, MSN fled its response to the complaint, alleging that the asserted claims of U.S. Patent No. 11,298,349 are invalid and not infringed and amended its challenges to U.S. Patents No. 11,091,439, 11,091,440 and 11,098,015 to allege that these patents are not enforceable based on equitable grounds. The two lawsuits comprising this litgaton (collectvely referred to as MSN II), numbered Civil Acton Nos. 22-00228 and 22-00945, were consolidated in October 2022 and involve Exelixis patents that are diferent from those asserted in the MSN I litgaton described above.</w:t>
      </w:r>
    </w:p>
    <w:p>
      <w:pPr>
        <w:spacing w:after="0" w:line="175" w:lineRule="exact"/>
        <w:rPr>
          <w:sz w:val="20"/>
          <w:szCs w:val="20"/>
          <w:color w:val="auto"/>
        </w:rPr>
      </w:pPr>
    </w:p>
    <w:p>
      <w:pPr>
        <w:ind w:firstLine="648"/>
        <w:spacing w:after="0" w:line="249" w:lineRule="auto"/>
        <w:rPr>
          <w:sz w:val="20"/>
          <w:szCs w:val="20"/>
          <w:color w:val="auto"/>
        </w:rPr>
      </w:pPr>
      <w:r>
        <w:rPr>
          <w:rFonts w:ascii="Calibri" w:cs="Calibri" w:eastAsia="Calibri" w:hAnsi="Calibri"/>
          <w:sz w:val="17"/>
          <w:szCs w:val="17"/>
          <w:color w:val="auto"/>
        </w:rPr>
        <w:t>On June 21, 2022, pursuant to a stpulaton between us and MSN, the Delaware District Court entered an order that (i) MSN’s submission of its ANDA consttutes infringement of certain claims relatng to U.S. Patents No. 11,091,439, 11,091,440 and 11,098,015, if those claims are not found to be invalid, and</w:t>
      </w:r>
    </w:p>
    <w:p>
      <w:pPr>
        <w:spacing w:after="0" w:line="1" w:lineRule="exact"/>
        <w:rPr>
          <w:sz w:val="20"/>
          <w:szCs w:val="20"/>
          <w:color w:val="auto"/>
        </w:rPr>
      </w:pPr>
    </w:p>
    <w:p>
      <w:pPr>
        <w:ind w:right="60" w:firstLine="8"/>
        <w:spacing w:after="0" w:line="235" w:lineRule="auto"/>
        <w:tabs>
          <w:tab w:leader="none" w:pos="227"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upon approval, MSN’s commercial manufacture, use, sale or ofer for sale within the U.S., and importaton into the U.S., of MSN’s proposed ANDA product prior to the expiraton of U.S. Patents No. 11,091,439, 11,091,440 and 11,098,015 would also infringe certain claims of each patent, if those claims are not found to be invalid. In our MSN II complaints, we sought, among other relief, an order that the efectve date of any FDA approval of MSN’s ANDA would be a date no earlier than the expiraton of all of U.S. Patents No. 11,091,439, 11,091,440, 11,098,015 and 11,298,349, the latest of which expires on February 10, 2032, and equitable relief enjoining MSN from infringing these patents. On September 28, 2023, the Delaware District Court granted the partes’ stpulaton of dismissal of MSN’s equitable defenses and counterclaims. A bench trial occurred in October 2023, and on October 15, 2024, the Delaware District Court issued a ruling rejectng MSN’s invalidity challenge to each of U.S. Patents No. 11,091,439, 11,091,440 and 11,098,015. The Delaware District Court also ruled that our U.S. Patent No. 11,298,349 is not invalid and that MSN’s proposed ANDA product does not infringe this patent. In accordance with these rulings, the Delaware District Court entered fnal judgment on October 23, 2024, that, should the FDA ultmately approve MSN’s ANDA, the efectve date of any such approval of MSN’s ANDA shall not be a date earlier than January 15, 2030, the expiraton date of each of U.S. Patents No. 11,091,439, 11,091,440 and 11,098,015, subject to our potental additonal regulatory exclusivity.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40" w:firstLine="648"/>
        <w:spacing w:after="0" w:line="235" w:lineRule="auto"/>
        <w:rPr>
          <w:sz w:val="20"/>
          <w:szCs w:val="20"/>
          <w:color w:val="auto"/>
        </w:rPr>
      </w:pPr>
      <w:r>
        <w:rPr>
          <w:rFonts w:ascii="Calibri" w:cs="Calibri" w:eastAsia="Calibri" w:hAnsi="Calibri"/>
          <w:sz w:val="18"/>
          <w:szCs w:val="18"/>
          <w:color w:val="auto"/>
        </w:rPr>
        <w:t>On November 22, 2024, MSN notced an appeal to the Court of Appeals for the Federal Circuit and we notced a cross-appeal on November 26, 2024. We are currently evaluatng next steps with respect to this litgaton.</w:t>
      </w:r>
    </w:p>
    <w:p>
      <w:pPr>
        <w:spacing w:after="0" w:line="164" w:lineRule="exact"/>
        <w:rPr>
          <w:sz w:val="20"/>
          <w:szCs w:val="20"/>
          <w:color w:val="auto"/>
        </w:rPr>
      </w:pPr>
    </w:p>
    <w:p>
      <w:pPr>
        <w:ind w:right="440" w:firstLine="648"/>
        <w:spacing w:after="0" w:line="235" w:lineRule="auto"/>
        <w:rPr>
          <w:sz w:val="20"/>
          <w:szCs w:val="20"/>
          <w:color w:val="auto"/>
        </w:rPr>
      </w:pPr>
      <w:r>
        <w:rPr>
          <w:rFonts w:ascii="Calibri" w:cs="Calibri" w:eastAsia="Calibri" w:hAnsi="Calibri"/>
          <w:sz w:val="18"/>
          <w:szCs w:val="18"/>
          <w:color w:val="auto"/>
        </w:rPr>
        <w:t>In February 2025, we received another notce leter from MSN regarding its ANDA, requestng FDA approval to market a generic version of CABOMETYX tablets. MSN’s notce leter included a Paragraph IV certfcaton with respect to Orange Book-listed patent U.S. Patent No. 12,128,039 (low impurity), which expires in 2032. We intend to contnue to vigorously defend our cabozantnib intellectual property estate.</w:t>
      </w:r>
    </w:p>
    <w:p>
      <w:pPr>
        <w:spacing w:after="0" w:line="160"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Teva ANDA Litgaton</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May 2021, we received notce leters regarding an ANDA submited to the FDA by Teva Pharmaceutcal Industries Limited, Teva Pharmaceutcals Development, Inc. and Teva Pharmaceutcals USA, Inc. (individually and collectvely referred to as Teva), requestng approval to market a generic version of CABOMETYX tablets. Teva’s notce leters included a Paragraph IV certfcaton with respect to our U.S. Patents No. 9,724,342 (formulatons), 10,034,873 (methods of treatment) and 10,039,757 (methods of treatment), which are listed in the Orange Book. Teva’s notce leters did not provide a Paragraph IV certfcaton against any additonal CABOMETYX patents. On June 17, 2021, we fled a complaint in the Delaware District Court for patent infringement against Teva assertng infringement of U.S. Patents No. 9,724,342, 10,034,873 and 10,039,757 arising from Teva’s ANDA fling with the FDA. On August 27, 2021, Teva fled its answer and counterclaims to the complaint, alleging that the asserted claims of U.S. Patents No. 9,724,342, 10,034,873 and 10,039,757 are invalid and not infringed. On September 17, 2021, we fled an answer to Teva’s counterclaims. On July 29, 2022, we received notce from Teva that it had amended its ANDA to assert an additonal Paragraph IV certfcaton. As amended, Teva’s ANDA now requests approval to market a generic version of CABOMETYX tablets prior to expiraton of a previously-unasserted CABOMETYX patent that is now listed in the Orange Book: U.S. Patent No. 11,298,349 (pharmaceutcal compositon). On September 2, 2022, we fled a complaint in the Delaware District Court for patent infringement against Teva, assertng infringement of U.S. Patent No. 11,298,349 arising from Teva’s amended ANDA fling with the FDA. We sought, among other relief, an order that the efectve date of any FDA approval of Teva’s ANDA be a date no earlier than the expiraton of all of U.S. Patents No. 9,724,342, 10,034,873, 10,039,757 and 11,298,349, the latest of which expires on July 9, 2033, and equitable relief enjoining Teva from infringing these patents. On September 30, 2022, the partes fled a stpulaton to consolidate the two lawsuits, numbered Civil Acton Nos. 21-00871 and 22-01168, and to stay all proceedings, which was granted by the Delaware District Court on October 3, 2022. Following a similar order granted by the Delaware District Court on February 9, 2022 to stay all proceedings with respect to Civil Acton No. 21-00871, this case remained administratvely closed, and Civil Acton No. 22-01168 was administratvely closed on October 3, 2022. In July 2023, we entered into a setlement and license agreement with Teva (the Teva Setlement Agreement) to end these litgatons. Pursuant to the terms of the Teva Setlement Agreement, we will grant Teva a license to market its generic version of CABOMETYX in the U.S. beginning on January 1, 2031, if approved by the FDA and subject to conditons and exceptons common to agreements of this type. On September 15, 2023, the partes fled a joint stpulaton of dismissal with the Delaware District Court, and on September 19, 2023, the Delaware District Court granted the partes’ stpulaton and dismissed the case without prejudice.</w:t>
      </w:r>
    </w:p>
    <w:p>
      <w:pPr>
        <w:spacing w:after="0" w:line="176"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Cipla ANDA Litgaton</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On February 6, 2023, we received a notce leter regarding an ANDA submited to the FDA by Cipla, Ltd. and Cipla USA, Inc. (individually and collectvely referred to as Cipla), including a Paragraph IV certfcaton with respect to our U.S. Patents No. 8,877,776 (salt and polymorphic forms), 9,724,342 (formulatons), 10,039,757 (methods of treatment), 11,091,439 (crystalline salt forms), 11,091,440 (pharmaceutcal compositon), 11,098,015 (methods of treatment) and 11,298,349 (pharmaceutcal compositon). Cipla’s notce leter did not provide a Paragraph IV certfcaton against any additonal CABOMETYX patents. On March 16, 2023, we fled a complaint in the Delaware District Court for patent infringement against Cipla assertng infringement of U.S. Patents No. 8,877,776, 11,091,439, 11,091,440, 11,098,015 and 11,298,349 arising from Cipla’s ANDA fling with the FDA. Cipla’s ANDA requests approval to market a generic version of CABOMETYX tablets prior to the expiraton of the aforementoned patents. We sought, among other relief, an order that the efectve date of any FDA approval of Cipla’s ANDA would be a date no earlier than the expiraton of all of U.S. Patents No. 8,877,776, 11,091,439, 11,091,440, 11,098,015 and 11,298,349, the latest of which expires on February 10, 2032, and equitable relief enjoining Cipla from infringing these patents. On May 4, 2023, we fled, under seal, a stpulaton and proposed order to stay all proceedings, and the Delaware District Court, in a sealed order on the same day, granted the proposed order and administratvely closed the case. On May 5, 2023, the Delaware District Court issued a redacted version of the May 4, 2023 stpulaton and proposed order. On March 27, 2024, we received notce from Cipla that it had amended its ANDA to assert additonal Paragraph IV certfcatons. The ANDA now requests approval to market generic versions of CABOMETYX tablets with 20 mg and 40 mg dosage strengths (in additon to the 60 mg dosage strength contemplated by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spacing w:after="0" w:line="251" w:lineRule="auto"/>
        <w:rPr>
          <w:sz w:val="20"/>
          <w:szCs w:val="20"/>
          <w:color w:val="auto"/>
        </w:rPr>
      </w:pPr>
      <w:r>
        <w:rPr>
          <w:rFonts w:ascii="Calibri" w:cs="Calibri" w:eastAsia="Calibri" w:hAnsi="Calibri"/>
          <w:sz w:val="17"/>
          <w:szCs w:val="17"/>
          <w:color w:val="auto"/>
        </w:rPr>
        <w:t>Cipla’s original ANDA) prior to expiraton of U.S. Patents No. 8,877,776, 9,724,342, 10,039,757, 11,091,439, 11,091,440, 11,098,015 and 11,298,349. In May 2024, we entered into a setlement and license agreement (the Cipla Setlement Agreement) with Cipla to end these litgatons. Pursuant to the terms of the Cipla Setlement Agreement, we granted Cipla a license to market its generic version of CABOMETYX in the U.S. beginning on January 1, 2031, if approved by the FDA and subject to conditons and exceptons common to agreements of this type. On July 8, 2024, the partes fled a joint stpulaton of dismissal with the Delaware District Court, and on July 9, 2024, the Delaware District Court granted the partes’ stpulaton and dismissed the case without prejudice.</w:t>
      </w:r>
    </w:p>
    <w:p>
      <w:pPr>
        <w:spacing w:after="0" w:line="15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Sun ANDA Litgaton</w:t>
      </w:r>
    </w:p>
    <w:p>
      <w:pPr>
        <w:spacing w:after="0" w:line="163" w:lineRule="exact"/>
        <w:rPr>
          <w:sz w:val="20"/>
          <w:szCs w:val="20"/>
          <w:color w:val="auto"/>
        </w:rPr>
      </w:pPr>
    </w:p>
    <w:p>
      <w:pPr>
        <w:ind w:firstLine="648"/>
        <w:spacing w:after="0" w:line="249" w:lineRule="auto"/>
        <w:rPr>
          <w:sz w:val="20"/>
          <w:szCs w:val="20"/>
          <w:color w:val="auto"/>
        </w:rPr>
      </w:pPr>
      <w:r>
        <w:rPr>
          <w:rFonts w:ascii="Calibri" w:cs="Calibri" w:eastAsia="Calibri" w:hAnsi="Calibri"/>
          <w:sz w:val="17"/>
          <w:szCs w:val="17"/>
          <w:color w:val="auto"/>
        </w:rPr>
        <w:t>On September 17, 2024, we received a notce leter regarding an ANDA submited to the FDA by Sun Pharmaceutcal Industries Ltd. (Sun), requestng approval to market a generic version of CABOMETYX tablets. Sun’s notce leter included a Paragraph IV certfcaton with respect to our U.S. Patents No. 8,877,776 (salt and polymorphic forms), 9,724,342 (formulatons), 10,034,873 (methods of treatment), 10,039,757 (methods of treatment), 11,091,439 (crystalline salt forms), 11,091,440 (pharmaceutcal compositon), 11,098,015 (methods of treatment) and 11,298,349 (pharmaceutcal compositon), which are listed in the Approved Drug Products with Therapeutc Equivalence Evaluatons, also referred to as the Orange Book, for CABOMETYX. On October</w:t>
      </w:r>
    </w:p>
    <w:p>
      <w:pPr>
        <w:spacing w:after="0" w:line="3" w:lineRule="exact"/>
        <w:rPr>
          <w:sz w:val="20"/>
          <w:szCs w:val="20"/>
          <w:color w:val="auto"/>
        </w:rPr>
      </w:pPr>
    </w:p>
    <w:p>
      <w:pPr>
        <w:ind w:right="80"/>
        <w:spacing w:after="0" w:line="251" w:lineRule="auto"/>
        <w:rPr>
          <w:sz w:val="20"/>
          <w:szCs w:val="20"/>
          <w:color w:val="auto"/>
        </w:rPr>
      </w:pPr>
      <w:r>
        <w:rPr>
          <w:rFonts w:ascii="Calibri" w:cs="Calibri" w:eastAsia="Calibri" w:hAnsi="Calibri"/>
          <w:sz w:val="17"/>
          <w:szCs w:val="17"/>
          <w:color w:val="auto"/>
        </w:rPr>
        <w:t>30,2024 we fled a complaint in the United States District Court for the District of Delaware (the Delaware District Court) for patent infringement against Sun assertng infringement of U.S. Patent Nos. 8,877,776, 11,091,439, 11,091,440, and 11,098,015. On January 22, 2025, Sun fled its response to the complaint, alleging that the asserted claims of U.S. Patent No. 8,877,776, 11,091,439, 11,091,440, and 11,098,015 are invalid and not infringed. Sun also fled counterclaims that, inter alia, seek a declaratory judgment that Sun’s ANDA would not infringe any valid and enforceable claim of U.S. Patent Nos. 8,877,776, 11,091,439, 11,091,440, 11,098,015, 9,724,342, 10,034,873, 10,039,757, and 11,298,349. We have not yet responded to Sun’s counterclaims.</w:t>
      </w:r>
    </w:p>
    <w:p>
      <w:pPr>
        <w:spacing w:after="0" w:line="152"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Other</w:t>
      </w:r>
    </w:p>
    <w:p>
      <w:pPr>
        <w:spacing w:after="0" w:line="190" w:lineRule="exact"/>
        <w:rPr>
          <w:sz w:val="20"/>
          <w:szCs w:val="20"/>
          <w:color w:val="auto"/>
        </w:rPr>
      </w:pPr>
    </w:p>
    <w:p>
      <w:pPr>
        <w:ind w:right="120" w:firstLine="648"/>
        <w:spacing w:after="0" w:line="273" w:lineRule="auto"/>
        <w:rPr>
          <w:sz w:val="20"/>
          <w:szCs w:val="20"/>
          <w:color w:val="auto"/>
        </w:rPr>
      </w:pPr>
      <w:r>
        <w:rPr>
          <w:rFonts w:ascii="Calibri" w:cs="Calibri" w:eastAsia="Calibri" w:hAnsi="Calibri"/>
          <w:sz w:val="18"/>
          <w:szCs w:val="18"/>
          <w:color w:val="auto"/>
        </w:rPr>
        <w:t xml:space="preserve">On November 18, 2024, Azurity Pharmaceutcals, Inc. (Azurity) fled a petton seeking </w:t>
      </w:r>
      <w:r>
        <w:rPr>
          <w:rFonts w:ascii="Calibri" w:cs="Calibri" w:eastAsia="Calibri" w:hAnsi="Calibri"/>
          <w:sz w:val="18"/>
          <w:szCs w:val="18"/>
          <w:i w:val="1"/>
          <w:iCs w:val="1"/>
          <w:color w:val="auto"/>
        </w:rPr>
        <w:t>inter partes</w:t>
      </w:r>
      <w:r>
        <w:rPr>
          <w:rFonts w:ascii="Calibri" w:cs="Calibri" w:eastAsia="Calibri" w:hAnsi="Calibri"/>
          <w:sz w:val="18"/>
          <w:szCs w:val="18"/>
          <w:color w:val="auto"/>
        </w:rPr>
        <w:t xml:space="preserve"> (IPR) review of U.S. Patent No. 11,298,349 at the United States Patent and Trademark Ofce. The proceeding was accorded a fling date of December 12, 2024 and our preliminary response is due March 12, 2025. On January 9, 2025, Azurity fled a petton seeking IPR review of U.S. Patent No. 12,128,039 at the United States Patent and Trademark Ofce. The proceeding has not yet been accorded a fling date.</w:t>
      </w:r>
    </w:p>
    <w:p>
      <w:pPr>
        <w:spacing w:after="0" w:line="134"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 sale of any generic version of CABOMETYX earlier than its patent expiraton could signifcantly decrease our revenues derived from the U.S. sales of CABOMETYX and thereby materially harm our business, fnancial conditon and results of operatons. It is not possible at this tme to determine the likelihood of an unfavorable outcome or estmate of the amount or range of any potental loss.</w:t>
      </w:r>
    </w:p>
    <w:p>
      <w:pPr>
        <w:spacing w:after="0" w:line="165" w:lineRule="exact"/>
        <w:rPr>
          <w:sz w:val="20"/>
          <w:szCs w:val="20"/>
          <w:color w:val="auto"/>
        </w:rPr>
      </w:pPr>
    </w:p>
    <w:p>
      <w:pPr>
        <w:ind w:right="140" w:firstLine="648"/>
        <w:spacing w:after="0" w:line="235" w:lineRule="auto"/>
        <w:rPr>
          <w:sz w:val="20"/>
          <w:szCs w:val="20"/>
          <w:color w:val="auto"/>
        </w:rPr>
      </w:pPr>
      <w:r>
        <w:rPr>
          <w:rFonts w:ascii="Calibri" w:cs="Calibri" w:eastAsia="Calibri" w:hAnsi="Calibri"/>
          <w:sz w:val="18"/>
          <w:szCs w:val="18"/>
          <w:color w:val="auto"/>
        </w:rPr>
        <w:t>We may also from tme to tme become a party or subject to various other legal proceedings and claims, either asserted or unasserted, which arise in the ordinary course of business. Some of these proceedings have involved, and may involve in the future, claims that are subject to substantal uncertaintes and unascertainable damages.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13. RESTRUCTURING</w:t>
      </w:r>
    </w:p>
    <w:p>
      <w:pPr>
        <w:spacing w:after="0" w:line="163"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In January 2024, our Board of Directors authorized, and we implemented, a corporate restructuring plan (the 2024 Restructuring Plan) to reduce our workforce and rebalance our cost structure in alignment with our strategic priorites. Restructuring expenses incurred under the 2024 Restructuring Plan include: severance and employee-related costs; impairment of long-lived assets; and contract terminaton and other exit costs. The total restructuring costs, incurred during the year ended December 31, 2024, associated with the 2024 Restructuring Plan were $33.7 million and were recorded to the restructuring expense line item within our Consolidated Statements of Income as they were incurred through the end of the plan. We incurred the majority of the costs related to the 2024 Restructuring Plan during the frst quarter of 2024.</w:t>
      </w:r>
    </w:p>
    <w:p>
      <w:pPr>
        <w:spacing w:after="0" w:line="16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In connecton with the 2024 Restructuring Plan, we exited two leases in the Greater Philadelphia area and the right-of-use assets, related leasehold improvements and certain other long-lived assets were remeasured and recorded at fair value, see “Note 12. Commitments and Contngencies” for additonal informaton.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The restructuring actvites and balances as of and for the year ended December 31, 2024, were as follows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40" w:type="dxa"/>
            <w:vAlign w:val="bottom"/>
            <w:gridSpan w:val="7"/>
          </w:tcPr>
          <w:p>
            <w:pPr>
              <w:ind w:left="40"/>
              <w:spacing w:after="0"/>
              <w:rPr>
                <w:sz w:val="20"/>
                <w:szCs w:val="20"/>
                <w:color w:val="auto"/>
              </w:rPr>
            </w:pPr>
            <w:r>
              <w:rPr>
                <w:rFonts w:ascii="Calibri" w:cs="Calibri" w:eastAsia="Calibri" w:hAnsi="Calibri"/>
                <w:sz w:val="16"/>
                <w:szCs w:val="16"/>
                <w:b w:val="1"/>
                <w:bCs w:val="1"/>
                <w:color w:val="auto"/>
              </w:rPr>
              <w:t>Year Ended December 31, 2024</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jc w:val="center"/>
              <w:ind w:right="240"/>
              <w:spacing w:after="0" w:line="184" w:lineRule="exact"/>
              <w:rPr>
                <w:sz w:val="20"/>
                <w:szCs w:val="20"/>
                <w:color w:val="auto"/>
              </w:rPr>
            </w:pPr>
            <w:r>
              <w:rPr>
                <w:rFonts w:ascii="Calibri" w:cs="Calibri" w:eastAsia="Calibri" w:hAnsi="Calibri"/>
                <w:sz w:val="16"/>
                <w:szCs w:val="16"/>
                <w:b w:val="1"/>
                <w:bCs w:val="1"/>
                <w:color w:val="auto"/>
              </w:rPr>
              <w:t>Accrued at</w:t>
            </w: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jc w:val="center"/>
              <w:ind w:right="240"/>
              <w:spacing w:after="0" w:line="184" w:lineRule="exact"/>
              <w:rPr>
                <w:sz w:val="20"/>
                <w:szCs w:val="20"/>
                <w:color w:val="auto"/>
              </w:rPr>
            </w:pPr>
            <w:r>
              <w:rPr>
                <w:rFonts w:ascii="Calibri" w:cs="Calibri" w:eastAsia="Calibri" w:hAnsi="Calibri"/>
                <w:sz w:val="16"/>
                <w:szCs w:val="16"/>
                <w:b w:val="1"/>
                <w:bCs w:val="1"/>
                <w:color w:val="auto"/>
              </w:rPr>
              <w:t>Accrued at</w:t>
            </w:r>
          </w:p>
        </w:tc>
        <w:tc>
          <w:tcPr>
            <w:tcW w:w="120" w:type="dxa"/>
            <w:vAlign w:val="bottom"/>
          </w:tcPr>
          <w:p>
            <w:pPr>
              <w:spacing w:after="0"/>
              <w:rPr>
                <w:sz w:val="2"/>
                <w:szCs w:val="2"/>
                <w:color w:val="auto"/>
              </w:rPr>
            </w:pPr>
          </w:p>
        </w:tc>
        <w:tc>
          <w:tcPr>
            <w:tcW w:w="920" w:type="dxa"/>
            <w:vAlign w:val="bottom"/>
            <w:gridSpan w:val="2"/>
            <w:vMerge w:val="restart"/>
          </w:tcPr>
          <w:p>
            <w:pPr>
              <w:jc w:val="center"/>
              <w:ind w:right="200"/>
              <w:spacing w:after="0" w:line="184" w:lineRule="exact"/>
              <w:rPr>
                <w:sz w:val="20"/>
                <w:szCs w:val="20"/>
                <w:color w:val="auto"/>
              </w:rPr>
            </w:pPr>
            <w:r>
              <w:rPr>
                <w:rFonts w:ascii="Calibri" w:cs="Calibri" w:eastAsia="Calibri" w:hAnsi="Calibri"/>
                <w:sz w:val="16"/>
                <w:szCs w:val="16"/>
                <w:b w:val="1"/>
                <w:bCs w:val="1"/>
                <w:color w:val="auto"/>
                <w:w w:val="98"/>
              </w:rPr>
              <w:t>Total Costs</w:t>
            </w:r>
          </w:p>
        </w:tc>
        <w:tc>
          <w:tcPr>
            <w:tcW w:w="220" w:type="dxa"/>
            <w:vAlign w:val="bottom"/>
          </w:tcPr>
          <w:p>
            <w:pPr>
              <w:spacing w:after="0"/>
              <w:rPr>
                <w:sz w:val="2"/>
                <w:szCs w:val="2"/>
                <w:color w:val="auto"/>
              </w:rPr>
            </w:pPr>
          </w:p>
        </w:tc>
        <w:tc>
          <w:tcPr>
            <w:tcW w:w="780" w:type="dxa"/>
            <w:vAlign w:val="bottom"/>
            <w:vMerge w:val="restart"/>
          </w:tcPr>
          <w:p>
            <w:pPr>
              <w:jc w:val="right"/>
              <w:ind w:right="253"/>
              <w:spacing w:after="0" w:line="184" w:lineRule="exact"/>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Calibri" w:cs="Calibri" w:eastAsia="Calibri" w:hAnsi="Calibri"/>
                <w:sz w:val="16"/>
                <w:szCs w:val="16"/>
                <w:b w:val="1"/>
                <w:bCs w:val="1"/>
                <w:color w:val="auto"/>
                <w:w w:val="99"/>
              </w:rPr>
              <w:t>December 31,</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80"/>
              <w:spacing w:after="0" w:line="162" w:lineRule="exact"/>
              <w:rPr>
                <w:sz w:val="20"/>
                <w:szCs w:val="20"/>
                <w:color w:val="auto"/>
              </w:rPr>
            </w:pPr>
            <w:r>
              <w:rPr>
                <w:rFonts w:ascii="Calibri" w:cs="Calibri" w:eastAsia="Calibri" w:hAnsi="Calibri"/>
                <w:sz w:val="16"/>
                <w:szCs w:val="16"/>
                <w:b w:val="1"/>
                <w:bCs w:val="1"/>
                <w:color w:val="auto"/>
              </w:rPr>
              <w:t>Adj. to</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Calibri" w:cs="Calibri" w:eastAsia="Calibri" w:hAnsi="Calibri"/>
                <w:sz w:val="16"/>
                <w:szCs w:val="16"/>
                <w:b w:val="1"/>
                <w:bCs w:val="1"/>
                <w:color w:val="auto"/>
              </w:rPr>
              <w:t>Non-cash</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Calibri" w:cs="Calibri" w:eastAsia="Calibri" w:hAnsi="Calibri"/>
                <w:sz w:val="16"/>
                <w:szCs w:val="16"/>
                <w:b w:val="1"/>
                <w:bCs w:val="1"/>
                <w:color w:val="auto"/>
              </w:rPr>
              <w:t>Cash</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Calibri" w:cs="Calibri" w:eastAsia="Calibri" w:hAnsi="Calibri"/>
                <w:sz w:val="16"/>
                <w:szCs w:val="16"/>
                <w:b w:val="1"/>
                <w:bCs w:val="1"/>
                <w:color w:val="auto"/>
                <w:w w:val="99"/>
              </w:rPr>
              <w:t>December 31,</w:t>
            </w:r>
          </w:p>
        </w:tc>
        <w:tc>
          <w:tcPr>
            <w:tcW w:w="1040" w:type="dxa"/>
            <w:vAlign w:val="bottom"/>
            <w:gridSpan w:val="3"/>
          </w:tcPr>
          <w:p>
            <w:pPr>
              <w:jc w:val="center"/>
              <w:ind w:right="100"/>
              <w:spacing w:after="0" w:line="162" w:lineRule="exact"/>
              <w:rPr>
                <w:sz w:val="20"/>
                <w:szCs w:val="20"/>
                <w:color w:val="auto"/>
              </w:rPr>
            </w:pPr>
            <w:r>
              <w:rPr>
                <w:rFonts w:ascii="Calibri" w:cs="Calibri" w:eastAsia="Calibri" w:hAnsi="Calibri"/>
                <w:sz w:val="16"/>
                <w:szCs w:val="16"/>
                <w:b w:val="1"/>
                <w:bCs w:val="1"/>
                <w:color w:val="auto"/>
              </w:rPr>
              <w:t>Incurred to</w:t>
            </w:r>
          </w:p>
        </w:tc>
        <w:tc>
          <w:tcPr>
            <w:tcW w:w="1000" w:type="dxa"/>
            <w:vAlign w:val="bottom"/>
            <w:gridSpan w:val="2"/>
          </w:tcPr>
          <w:p>
            <w:pPr>
              <w:ind w:left="20"/>
              <w:spacing w:after="0" w:line="162" w:lineRule="exact"/>
              <w:rPr>
                <w:sz w:val="20"/>
                <w:szCs w:val="20"/>
                <w:color w:val="auto"/>
              </w:rPr>
            </w:pPr>
            <w:r>
              <w:rPr>
                <w:rFonts w:ascii="Calibri" w:cs="Calibri" w:eastAsia="Calibri" w:hAnsi="Calibri"/>
                <w:sz w:val="16"/>
                <w:szCs w:val="16"/>
                <w:b w:val="1"/>
                <w:bCs w:val="1"/>
                <w:color w:val="auto"/>
              </w:rPr>
              <w:t>Expected Plan</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4"/>
              <w:spacing w:after="0" w:line="193" w:lineRule="exact"/>
              <w:rPr>
                <w:sz w:val="20"/>
                <w:szCs w:val="20"/>
                <w:color w:val="auto"/>
              </w:rPr>
            </w:pPr>
            <w:r>
              <w:rPr>
                <w:rFonts w:ascii="Calibri" w:cs="Calibri" w:eastAsia="Calibri" w:hAnsi="Calibri"/>
                <w:sz w:val="16"/>
                <w:szCs w:val="16"/>
                <w:b w:val="1"/>
                <w:bCs w:val="1"/>
                <w:color w:val="auto"/>
                <w:w w:val="98"/>
              </w:rPr>
              <w:t>2023</w:t>
            </w:r>
          </w:p>
        </w:tc>
        <w:tc>
          <w:tcPr>
            <w:tcW w:w="100" w:type="dxa"/>
            <w:vAlign w:val="bottom"/>
          </w:tcPr>
          <w:p>
            <w:pPr>
              <w:spacing w:after="0"/>
              <w:rPr>
                <w:sz w:val="19"/>
                <w:szCs w:val="19"/>
                <w:color w:val="auto"/>
              </w:rPr>
            </w:pPr>
          </w:p>
        </w:tc>
        <w:tc>
          <w:tcPr>
            <w:tcW w:w="900" w:type="dxa"/>
            <w:vAlign w:val="bottom"/>
            <w:gridSpan w:val="2"/>
          </w:tcPr>
          <w:p>
            <w:pPr>
              <w:jc w:val="right"/>
              <w:spacing w:after="0" w:line="193" w:lineRule="exact"/>
              <w:rPr>
                <w:sz w:val="20"/>
                <w:szCs w:val="20"/>
                <w:color w:val="auto"/>
              </w:rPr>
            </w:pPr>
            <w:r>
              <w:rPr>
                <w:rFonts w:ascii="Calibri" w:cs="Calibri" w:eastAsia="Calibri" w:hAnsi="Calibri"/>
                <w:sz w:val="16"/>
                <w:szCs w:val="16"/>
                <w:b w:val="1"/>
                <w:bCs w:val="1"/>
                <w:color w:val="auto"/>
              </w:rPr>
              <w:t>Inital Costs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60"/>
              <w:spacing w:after="0" w:line="221" w:lineRule="exact"/>
              <w:rPr>
                <w:sz w:val="20"/>
                <w:szCs w:val="20"/>
                <w:color w:val="auto"/>
              </w:rPr>
            </w:pPr>
            <w:r>
              <w:rPr>
                <w:rFonts w:ascii="Calibri" w:cs="Calibri" w:eastAsia="Calibri" w:hAnsi="Calibri"/>
                <w:sz w:val="16"/>
                <w:szCs w:val="16"/>
                <w:b w:val="1"/>
                <w:bCs w:val="1"/>
                <w:color w:val="auto"/>
              </w:rPr>
              <w:t>Costs</w:t>
            </w:r>
            <w:r>
              <w:rPr>
                <w:rFonts w:ascii="Calibri" w:cs="Calibri" w:eastAsia="Calibri" w:hAnsi="Calibri"/>
                <w:sz w:val="21"/>
                <w:szCs w:val="21"/>
                <w:b w:val="1"/>
                <w:bCs w:val="1"/>
                <w:color w:val="auto"/>
                <w:vertAlign w:val="superscript"/>
              </w:rPr>
              <w:t>(2)</w:t>
            </w:r>
          </w:p>
        </w:tc>
        <w:tc>
          <w:tcPr>
            <w:tcW w:w="120" w:type="dxa"/>
            <w:vAlign w:val="bottom"/>
          </w:tcPr>
          <w:p>
            <w:pPr>
              <w:spacing w:after="0"/>
              <w:rPr>
                <w:sz w:val="19"/>
                <w:szCs w:val="19"/>
                <w:color w:val="auto"/>
              </w:rPr>
            </w:pPr>
          </w:p>
        </w:tc>
        <w:tc>
          <w:tcPr>
            <w:tcW w:w="920" w:type="dxa"/>
            <w:vAlign w:val="bottom"/>
            <w:gridSpan w:val="2"/>
          </w:tcPr>
          <w:p>
            <w:pPr>
              <w:jc w:val="center"/>
              <w:ind w:right="240"/>
              <w:spacing w:after="0" w:line="193" w:lineRule="exact"/>
              <w:rPr>
                <w:sz w:val="20"/>
                <w:szCs w:val="20"/>
                <w:color w:val="auto"/>
              </w:rPr>
            </w:pPr>
            <w:r>
              <w:rPr>
                <w:rFonts w:ascii="Calibri" w:cs="Calibri" w:eastAsia="Calibri" w:hAnsi="Calibri"/>
                <w:sz w:val="16"/>
                <w:szCs w:val="16"/>
                <w:b w:val="1"/>
                <w:bCs w:val="1"/>
                <w:color w:val="auto"/>
              </w:rPr>
              <w:t>charges</w:t>
            </w:r>
          </w:p>
        </w:tc>
        <w:tc>
          <w:tcPr>
            <w:tcW w:w="120" w:type="dxa"/>
            <w:vAlign w:val="bottom"/>
          </w:tcPr>
          <w:p>
            <w:pPr>
              <w:spacing w:after="0"/>
              <w:rPr>
                <w:sz w:val="19"/>
                <w:szCs w:val="19"/>
                <w:color w:val="auto"/>
              </w:rPr>
            </w:pPr>
          </w:p>
        </w:tc>
        <w:tc>
          <w:tcPr>
            <w:tcW w:w="940" w:type="dxa"/>
            <w:vAlign w:val="bottom"/>
            <w:gridSpan w:val="2"/>
          </w:tcPr>
          <w:p>
            <w:pPr>
              <w:jc w:val="center"/>
              <w:ind w:right="240"/>
              <w:spacing w:after="0" w:line="193" w:lineRule="exact"/>
              <w:rPr>
                <w:sz w:val="20"/>
                <w:szCs w:val="20"/>
                <w:color w:val="auto"/>
              </w:rPr>
            </w:pPr>
            <w:r>
              <w:rPr>
                <w:rFonts w:ascii="Calibri" w:cs="Calibri" w:eastAsia="Calibri" w:hAnsi="Calibri"/>
                <w:sz w:val="16"/>
                <w:szCs w:val="16"/>
                <w:b w:val="1"/>
                <w:bCs w:val="1"/>
                <w:color w:val="auto"/>
              </w:rPr>
              <w:t>Payments</w:t>
            </w:r>
          </w:p>
        </w:tc>
        <w:tc>
          <w:tcPr>
            <w:tcW w:w="140" w:type="dxa"/>
            <w:vAlign w:val="bottom"/>
          </w:tcPr>
          <w:p>
            <w:pPr>
              <w:spacing w:after="0"/>
              <w:rPr>
                <w:sz w:val="19"/>
                <w:szCs w:val="19"/>
                <w:color w:val="auto"/>
              </w:rPr>
            </w:pPr>
          </w:p>
        </w:tc>
        <w:tc>
          <w:tcPr>
            <w:tcW w:w="1160" w:type="dxa"/>
            <w:vAlign w:val="bottom"/>
          </w:tcPr>
          <w:p>
            <w:pPr>
              <w:jc w:val="center"/>
              <w:ind w:right="74"/>
              <w:spacing w:after="0" w:line="221" w:lineRule="exact"/>
              <w:rPr>
                <w:sz w:val="20"/>
                <w:szCs w:val="20"/>
                <w:color w:val="auto"/>
              </w:rPr>
            </w:pPr>
            <w:r>
              <w:rPr>
                <w:rFonts w:ascii="Calibri" w:cs="Calibri" w:eastAsia="Calibri" w:hAnsi="Calibri"/>
                <w:sz w:val="16"/>
                <w:szCs w:val="16"/>
                <w:b w:val="1"/>
                <w:bCs w:val="1"/>
                <w:color w:val="auto"/>
                <w:w w:val="91"/>
              </w:rPr>
              <w:t>2024</w:t>
            </w:r>
            <w:r>
              <w:rPr>
                <w:rFonts w:ascii="Calibri" w:cs="Calibri" w:eastAsia="Calibri" w:hAnsi="Calibri"/>
                <w:sz w:val="21"/>
                <w:szCs w:val="21"/>
                <w:b w:val="1"/>
                <w:bCs w:val="1"/>
                <w:color w:val="auto"/>
                <w:w w:val="91"/>
                <w:vertAlign w:val="superscript"/>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00"/>
              <w:spacing w:after="0" w:line="193" w:lineRule="exact"/>
              <w:rPr>
                <w:sz w:val="20"/>
                <w:szCs w:val="20"/>
                <w:color w:val="auto"/>
              </w:rPr>
            </w:pPr>
            <w:r>
              <w:rPr>
                <w:rFonts w:ascii="Calibri" w:cs="Calibri" w:eastAsia="Calibri" w:hAnsi="Calibri"/>
                <w:sz w:val="16"/>
                <w:szCs w:val="16"/>
                <w:b w:val="1"/>
                <w:bCs w:val="1"/>
                <w:color w:val="auto"/>
              </w:rPr>
              <w:t>Date</w:t>
            </w:r>
          </w:p>
        </w:tc>
        <w:tc>
          <w:tcPr>
            <w:tcW w:w="220" w:type="dxa"/>
            <w:vAlign w:val="bottom"/>
          </w:tcPr>
          <w:p>
            <w:pPr>
              <w:spacing w:after="0"/>
              <w:rPr>
                <w:sz w:val="19"/>
                <w:szCs w:val="19"/>
                <w:color w:val="auto"/>
              </w:rPr>
            </w:pPr>
          </w:p>
        </w:tc>
        <w:tc>
          <w:tcPr>
            <w:tcW w:w="780" w:type="dxa"/>
            <w:vAlign w:val="bottom"/>
          </w:tcPr>
          <w:p>
            <w:pPr>
              <w:jc w:val="right"/>
              <w:ind w:right="233"/>
              <w:spacing w:after="0" w:line="193" w:lineRule="exact"/>
              <w:rPr>
                <w:sz w:val="20"/>
                <w:szCs w:val="20"/>
                <w:color w:val="auto"/>
              </w:rPr>
            </w:pPr>
            <w:r>
              <w:rPr>
                <w:rFonts w:ascii="Calibri" w:cs="Calibri" w:eastAsia="Calibri" w:hAnsi="Calibri"/>
                <w:sz w:val="16"/>
                <w:szCs w:val="16"/>
                <w:b w:val="1"/>
                <w:bCs w:val="1"/>
                <w:color w:val="auto"/>
              </w:rPr>
              <w:t>Costs</w:t>
            </w:r>
          </w:p>
        </w:tc>
        <w:tc>
          <w:tcPr>
            <w:tcW w:w="0" w:type="dxa"/>
            <w:vAlign w:val="bottom"/>
          </w:tcPr>
          <w:p>
            <w:pPr>
              <w:spacing w:after="0"/>
              <w:rPr>
                <w:sz w:val="1"/>
                <w:szCs w:val="1"/>
                <w:color w:val="auto"/>
              </w:rPr>
            </w:pPr>
          </w:p>
        </w:tc>
      </w:tr>
      <w:tr>
        <w:trPr>
          <w:trHeight w:val="147"/>
        </w:trPr>
        <w:tc>
          <w:tcPr>
            <w:tcW w:w="2280" w:type="dxa"/>
            <w:vAlign w:val="bottom"/>
            <w:tcBorders>
              <w:top w:val="single" w:sz="8" w:color="CCEEFF"/>
            </w:tcBorders>
            <w:shd w:val="clear" w:color="auto" w:fill="CCEEFF"/>
          </w:tcPr>
          <w:p>
            <w:pPr>
              <w:spacing w:after="0" w:line="147" w:lineRule="exact"/>
              <w:rPr>
                <w:sz w:val="20"/>
                <w:szCs w:val="20"/>
                <w:color w:val="auto"/>
              </w:rPr>
            </w:pPr>
            <w:r>
              <w:rPr>
                <w:rFonts w:ascii="Calibri" w:cs="Calibri" w:eastAsia="Calibri" w:hAnsi="Calibri"/>
                <w:sz w:val="16"/>
                <w:szCs w:val="16"/>
                <w:color w:val="auto"/>
              </w:rPr>
              <w:t>Severance and employee-</w:t>
            </w: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28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related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Calibri" w:cs="Calibri" w:eastAsia="Calibri" w:hAnsi="Calibri"/>
                <w:sz w:val="18"/>
                <w:szCs w:val="18"/>
                <w:color w:val="auto"/>
              </w:rPr>
              <w: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15,656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(15,469)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256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15,725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15,725</w:t>
            </w:r>
          </w:p>
        </w:tc>
        <w:tc>
          <w:tcPr>
            <w:tcW w:w="0" w:type="dxa"/>
            <w:vAlign w:val="bottom"/>
          </w:tcPr>
          <w:p>
            <w:pPr>
              <w:spacing w:after="0"/>
              <w:rPr>
                <w:sz w:val="1"/>
                <w:szCs w:val="1"/>
                <w:color w:val="auto"/>
              </w:rPr>
            </w:pPr>
          </w:p>
        </w:tc>
      </w:tr>
      <w:tr>
        <w:trPr>
          <w:trHeight w:val="167"/>
        </w:trPr>
        <w:tc>
          <w:tcPr>
            <w:tcW w:w="2280" w:type="dxa"/>
            <w:vAlign w:val="bottom"/>
          </w:tcPr>
          <w:p>
            <w:pPr>
              <w:spacing w:after="0" w:line="166" w:lineRule="exact"/>
              <w:rPr>
                <w:sz w:val="20"/>
                <w:szCs w:val="20"/>
                <w:color w:val="auto"/>
              </w:rPr>
            </w:pPr>
            <w:r>
              <w:rPr>
                <w:rFonts w:ascii="Calibri" w:cs="Calibri" w:eastAsia="Calibri" w:hAnsi="Calibri"/>
                <w:sz w:val="18"/>
                <w:szCs w:val="18"/>
                <w:color w:val="auto"/>
              </w:rPr>
              <w:t>Contract terminaton and other</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line="252" w:lineRule="exact"/>
              <w:rPr>
                <w:sz w:val="20"/>
                <w:szCs w:val="20"/>
                <w:color w:val="auto"/>
              </w:rPr>
            </w:pPr>
            <w:r>
              <w:rPr>
                <w:rFonts w:ascii="Calibri" w:cs="Calibri" w:eastAsia="Calibri" w:hAnsi="Calibri"/>
                <w:sz w:val="18"/>
                <w:szCs w:val="18"/>
                <w:color w:val="auto"/>
              </w:rPr>
              <w:t>exit costs</w:t>
            </w:r>
            <w:r>
              <w:rPr>
                <w:rFonts w:ascii="Calibri" w:cs="Calibri" w:eastAsia="Calibri" w:hAnsi="Calibri"/>
                <w:sz w:val="23"/>
                <w:szCs w:val="23"/>
                <w:color w:val="auto"/>
                <w:vertAlign w:val="superscript"/>
              </w:rPr>
              <w:t>(1)</w:t>
            </w:r>
          </w:p>
        </w:tc>
        <w:tc>
          <w:tcPr>
            <w:tcW w:w="1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5,220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ind w:left="60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(5,216)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5,216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5,216</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w w:val="98"/>
              </w:rPr>
              <w:t>Impairment of long-lived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12,719</w:t>
            </w:r>
          </w:p>
        </w:tc>
        <w:tc>
          <w:tcPr>
            <w:tcW w:w="0" w:type="dxa"/>
            <w:vAlign w:val="bottom"/>
          </w:tcPr>
          <w:p>
            <w:pPr>
              <w:spacing w:after="0"/>
              <w:rPr>
                <w:sz w:val="1"/>
                <w:szCs w:val="1"/>
                <w:color w:val="auto"/>
              </w:rPr>
            </w:pPr>
          </w:p>
        </w:tc>
      </w:tr>
      <w:tr>
        <w:trPr>
          <w:trHeight w:val="223"/>
        </w:trPr>
        <w:tc>
          <w:tcPr>
            <w:tcW w:w="2280" w:type="dxa"/>
            <w:vAlign w:val="bottom"/>
          </w:tcPr>
          <w:p>
            <w:pPr>
              <w:ind w:left="160"/>
              <w:spacing w:after="0"/>
              <w:rPr>
                <w:sz w:val="20"/>
                <w:szCs w:val="20"/>
                <w:color w:val="auto"/>
              </w:rPr>
            </w:pPr>
            <w:r>
              <w:rPr>
                <w:rFonts w:ascii="Calibri" w:cs="Calibri" w:eastAsia="Calibri" w:hAnsi="Calibri"/>
                <w:sz w:val="18"/>
                <w:szCs w:val="18"/>
                <w:color w:val="auto"/>
              </w:rPr>
              <w:t>Total restructuring</w:t>
            </w: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bottom w:val="single" w:sz="8" w:color="auto"/>
            </w:tcBorders>
          </w:tcPr>
          <w:p>
            <w:pPr>
              <w:ind w:left="9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33,194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(12,719)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(20,685)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33,660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33,660</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Calibri" w:cs="Calibri" w:eastAsia="Calibri" w:hAnsi="Calibri"/>
          <w:sz w:val="16"/>
          <w:szCs w:val="16"/>
          <w:color w:val="auto"/>
        </w:rPr>
        <w:t>__________________</w:t>
      </w:r>
    </w:p>
    <w:p>
      <w:pPr>
        <w:ind w:left="140" w:hanging="132"/>
        <w:spacing w:after="0" w:line="218" w:lineRule="auto"/>
        <w:tabs>
          <w:tab w:leader="none" w:pos="140" w:val="left"/>
        </w:tabs>
        <w:numPr>
          <w:ilvl w:val="0"/>
          <w:numId w:val="40"/>
        </w:numPr>
        <w:rPr>
          <w:rFonts w:ascii="Calibri" w:cs="Calibri" w:eastAsia="Calibri" w:hAnsi="Calibri"/>
          <w:sz w:val="17"/>
          <w:szCs w:val="17"/>
          <w:color w:val="auto"/>
          <w:vertAlign w:val="superscript"/>
        </w:rPr>
      </w:pPr>
      <w:r>
        <w:rPr>
          <w:rFonts w:ascii="Calibri" w:cs="Calibri" w:eastAsia="Calibri" w:hAnsi="Calibri"/>
          <w:sz w:val="13"/>
          <w:szCs w:val="13"/>
          <w:color w:val="auto"/>
        </w:rPr>
        <w:t>Contract terminaton costs consist of accruals for costs incurred without future economic beneft, and other exit costs expensed as incurred.</w:t>
      </w:r>
    </w:p>
    <w:p>
      <w:pPr>
        <w:spacing w:after="0" w:line="28" w:lineRule="exact"/>
        <w:rPr>
          <w:rFonts w:ascii="Calibri" w:cs="Calibri" w:eastAsia="Calibri" w:hAnsi="Calibri"/>
          <w:sz w:val="17"/>
          <w:szCs w:val="17"/>
          <w:color w:val="auto"/>
          <w:vertAlign w:val="superscript"/>
        </w:rPr>
      </w:pPr>
    </w:p>
    <w:p>
      <w:pPr>
        <w:ind w:left="140" w:hanging="132"/>
        <w:spacing w:after="0" w:line="186" w:lineRule="auto"/>
        <w:tabs>
          <w:tab w:leader="none" w:pos="140" w:val="left"/>
        </w:tabs>
        <w:numPr>
          <w:ilvl w:val="0"/>
          <w:numId w:val="40"/>
        </w:numPr>
        <w:rPr>
          <w:rFonts w:ascii="Calibri" w:cs="Calibri" w:eastAsia="Calibri" w:hAnsi="Calibri"/>
          <w:sz w:val="17"/>
          <w:szCs w:val="17"/>
          <w:color w:val="auto"/>
          <w:vertAlign w:val="superscript"/>
        </w:rPr>
      </w:pPr>
      <w:r>
        <w:rPr>
          <w:rFonts w:ascii="Calibri" w:cs="Calibri" w:eastAsia="Calibri" w:hAnsi="Calibri"/>
          <w:sz w:val="13"/>
          <w:szCs w:val="13"/>
          <w:color w:val="auto"/>
        </w:rPr>
        <w:t>Adjustments to costs consist of changes in estmates whereby increases and decreases in costs were recorded to operatng expenses in the period of adjustments.</w:t>
      </w:r>
    </w:p>
    <w:p>
      <w:pPr>
        <w:spacing w:after="0" w:line="41" w:lineRule="exact"/>
        <w:rPr>
          <w:rFonts w:ascii="Calibri" w:cs="Calibri" w:eastAsia="Calibri" w:hAnsi="Calibri"/>
          <w:sz w:val="17"/>
          <w:szCs w:val="17"/>
          <w:color w:val="auto"/>
          <w:vertAlign w:val="superscript"/>
        </w:rPr>
      </w:pPr>
    </w:p>
    <w:p>
      <w:pPr>
        <w:ind w:left="140" w:hanging="132"/>
        <w:spacing w:after="0" w:line="186" w:lineRule="auto"/>
        <w:tabs>
          <w:tab w:leader="none" w:pos="140" w:val="left"/>
        </w:tabs>
        <w:numPr>
          <w:ilvl w:val="0"/>
          <w:numId w:val="40"/>
        </w:numPr>
        <w:rPr>
          <w:rFonts w:ascii="Calibri" w:cs="Calibri" w:eastAsia="Calibri" w:hAnsi="Calibri"/>
          <w:sz w:val="17"/>
          <w:szCs w:val="17"/>
          <w:color w:val="auto"/>
          <w:vertAlign w:val="superscript"/>
        </w:rPr>
      </w:pPr>
      <w:r>
        <w:rPr>
          <w:rFonts w:ascii="Calibri" w:cs="Calibri" w:eastAsia="Calibri" w:hAnsi="Calibri"/>
          <w:sz w:val="13"/>
          <w:szCs w:val="13"/>
          <w:color w:val="auto"/>
        </w:rPr>
        <w:t>As of December 31, 2024, all restructuring liabilites have been recorded in accrued compensaton and benefts in the accompanying Consolidated Balance Sheets.</w:t>
      </w:r>
    </w:p>
    <w:p>
      <w:pPr>
        <w:spacing w:after="0" w:line="2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 Changes in and Disagreements with Accountants on Accountng and Financial Disclosure.</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Not applicable.</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9A. Controls and Procedures.</w:t>
      </w:r>
    </w:p>
    <w:p>
      <w:pPr>
        <w:spacing w:after="0" w:line="163"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b w:val="1"/>
          <w:bCs w:val="1"/>
          <w:i w:val="1"/>
          <w:iCs w:val="1"/>
          <w:color w:val="auto"/>
        </w:rPr>
        <w:t xml:space="preserve">Evaluaton of Disclosure Controls and Procedures. </w:t>
      </w:r>
      <w:r>
        <w:rPr>
          <w:rFonts w:ascii="Calibri" w:cs="Calibri" w:eastAsia="Calibri" w:hAnsi="Calibri"/>
          <w:sz w:val="18"/>
          <w:szCs w:val="18"/>
          <w:color w:val="auto"/>
        </w:rPr>
        <w:t>Based on the evaluaton of our disclosure controls and procedures (as defned under Rules 13a-15(e) or 15d-15(e) under the Securites Exchange Act of 1934, as amended) required by Rules 13a-15(b) or 15d-15(b) under the Securites Exchange Act of 1934, as amended, our Chief Executve Ofcer and our Chief Financial Ofcer have concluded that as of the end of the period covered by this report, our disclosure controls and procedures were efectve.</w:t>
      </w:r>
    </w:p>
    <w:p>
      <w:pPr>
        <w:spacing w:after="0" w:line="165"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b w:val="1"/>
          <w:bCs w:val="1"/>
          <w:i w:val="1"/>
          <w:iCs w:val="1"/>
          <w:color w:val="auto"/>
        </w:rPr>
        <w:t xml:space="preserve">Limitatons on the Efectveness of Controls. </w:t>
      </w:r>
      <w:r>
        <w:rPr>
          <w:rFonts w:ascii="Calibri" w:cs="Calibri" w:eastAsia="Calibri" w:hAnsi="Calibri"/>
          <w:sz w:val="18"/>
          <w:szCs w:val="18"/>
          <w:color w:val="auto"/>
        </w:rPr>
        <w:t>A control system, no mater how well conceived and operated, can provide only reasonable, not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absolute, assurance that the objectves of the control system are met. Because of inherent limitatons in all control systems, no evaluaton of controls can provide absolute assurance that all control issues, if any, within an organizaton have been detected. Accordingly, our disclosure controls and procedures are designed to provide reasonable, not absolute, assurance that the objectves of our disclosure control system are met. 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68"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b w:val="1"/>
          <w:bCs w:val="1"/>
          <w:i w:val="1"/>
          <w:iCs w:val="1"/>
          <w:color w:val="auto"/>
        </w:rPr>
        <w:t xml:space="preserve">Management’s Report on Internal Control Over Financial Reportng. </w:t>
      </w:r>
      <w:r>
        <w:rPr>
          <w:rFonts w:ascii="Calibri" w:cs="Calibri" w:eastAsia="Calibri" w:hAnsi="Calibri"/>
          <w:sz w:val="18"/>
          <w:szCs w:val="18"/>
          <w:color w:val="auto"/>
        </w:rPr>
        <w:t>Our management is responsible for establishing and maintaining adequate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internal control over fnancial reportng, as such term is defned in Exchange Act Rules 13a-15(f) and 15(d)-15(f). Our internal control over fnancial reportng is a process designed under the supervision of our principal executve and principal fnancial ofcers to provide reasonable assurance regarding the reliability of fnancial reportng and the preparaton of our fnancial statements for external reportng purposes in accordance with U.S. generally accepted accountng principles.</w:t>
      </w:r>
    </w:p>
    <w:p>
      <w:pPr>
        <w:spacing w:after="0" w:line="166" w:lineRule="exact"/>
        <w:rPr>
          <w:sz w:val="20"/>
          <w:szCs w:val="20"/>
          <w:color w:val="auto"/>
        </w:rPr>
      </w:pPr>
    </w:p>
    <w:p>
      <w:pPr>
        <w:ind w:right="20" w:firstLine="648"/>
        <w:spacing w:after="0" w:line="235" w:lineRule="auto"/>
        <w:rPr>
          <w:sz w:val="20"/>
          <w:szCs w:val="20"/>
          <w:color w:val="auto"/>
        </w:rPr>
      </w:pPr>
      <w:r>
        <w:rPr>
          <w:rFonts w:ascii="Calibri" w:cs="Calibri" w:eastAsia="Calibri" w:hAnsi="Calibri"/>
          <w:sz w:val="18"/>
          <w:szCs w:val="18"/>
          <w:color w:val="auto"/>
        </w:rPr>
        <w:t xml:space="preserve">As of the end of our 2024 fscal year, management conducted an assessment of the efectveness of our internal control over fnancial reportng based on the framework established in the original </w:t>
      </w:r>
      <w:r>
        <w:rPr>
          <w:rFonts w:ascii="Calibri" w:cs="Calibri" w:eastAsia="Calibri" w:hAnsi="Calibri"/>
          <w:sz w:val="18"/>
          <w:szCs w:val="18"/>
          <w:i w:val="1"/>
          <w:iCs w:val="1"/>
          <w:color w:val="auto"/>
        </w:rPr>
        <w:t>Internal Control – Integrated Framework</w:t>
      </w:r>
      <w:r>
        <w:rPr>
          <w:rFonts w:ascii="Calibri" w:cs="Calibri" w:eastAsia="Calibri" w:hAnsi="Calibri"/>
          <w:sz w:val="18"/>
          <w:szCs w:val="18"/>
          <w:color w:val="auto"/>
        </w:rPr>
        <w:t xml:space="preserve"> issued by the Commitee of Sponsoring Organizatons of the Treadway Commission (2013 framework) (COSO). Based on this assessment, management has determined that our internal control over fnancial reportng as of January 3, 2025 was efectve. There were no material weaknesses in internal control over fnancial reportng identfed by management.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The independent registered public accountng frm Ernst &amp; Young LLP has issued an audit report on our internal control over fnancial reportng, which is included on the following page.</w:t>
      </w:r>
    </w:p>
    <w:p>
      <w:pPr>
        <w:spacing w:after="0" w:line="164" w:lineRule="exact"/>
        <w:rPr>
          <w:sz w:val="20"/>
          <w:szCs w:val="20"/>
          <w:color w:val="auto"/>
        </w:rPr>
      </w:pPr>
    </w:p>
    <w:p>
      <w:pPr>
        <w:ind w:firstLine="648"/>
        <w:spacing w:after="0" w:line="258" w:lineRule="auto"/>
        <w:rPr>
          <w:sz w:val="20"/>
          <w:szCs w:val="20"/>
          <w:color w:val="auto"/>
        </w:rPr>
      </w:pPr>
      <w:r>
        <w:rPr>
          <w:rFonts w:ascii="Calibri" w:cs="Calibri" w:eastAsia="Calibri" w:hAnsi="Calibri"/>
          <w:sz w:val="17"/>
          <w:szCs w:val="17"/>
          <w:b w:val="1"/>
          <w:bCs w:val="1"/>
          <w:i w:val="1"/>
          <w:iCs w:val="1"/>
          <w:color w:val="auto"/>
        </w:rPr>
        <w:t xml:space="preserve">Changes in Internal Control Over Financial Reportng. </w:t>
      </w:r>
      <w:r>
        <w:rPr>
          <w:rFonts w:ascii="Calibri" w:cs="Calibri" w:eastAsia="Calibri" w:hAnsi="Calibri"/>
          <w:sz w:val="17"/>
          <w:szCs w:val="17"/>
          <w:color w:val="auto"/>
        </w:rPr>
        <w:t>There were no changes in our internal control over fnancial reportng that occurred during</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our most recent fscal quarter that have materially afected, or are reasonably likely to materially afect, our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Calibri" w:cs="Calibri" w:eastAsia="Calibri" w:hAnsi="Calibri"/>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73" w:right="559"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Stockholders and the Board of Directors of Exelixis, Inc.</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Opinion on Internal Control </w:t>
      </w:r>
      <w:r>
        <w:rPr>
          <w:rFonts w:ascii="Calibri" w:cs="Calibri" w:eastAsia="Calibri" w:hAnsi="Calibri"/>
          <w:sz w:val="18"/>
          <w:szCs w:val="18"/>
          <w:b w:val="1"/>
          <w:bCs w:val="1"/>
          <w:color w:val="333333"/>
        </w:rPr>
        <w:t>Over</w:t>
      </w:r>
      <w:r>
        <w:rPr>
          <w:rFonts w:ascii="Calibri" w:cs="Calibri" w:eastAsia="Calibri" w:hAnsi="Calibri"/>
          <w:sz w:val="18"/>
          <w:szCs w:val="18"/>
          <w:b w:val="1"/>
          <w:bCs w:val="1"/>
          <w:color w:val="auto"/>
        </w:rPr>
        <w:t xml:space="preserve"> Financial Reportng</w:t>
      </w:r>
    </w:p>
    <w:p>
      <w:pPr>
        <w:spacing w:after="0" w:line="163" w:lineRule="exact"/>
        <w:rPr>
          <w:sz w:val="20"/>
          <w:szCs w:val="20"/>
          <w:color w:val="auto"/>
        </w:rPr>
      </w:pPr>
    </w:p>
    <w:p>
      <w:pPr>
        <w:ind w:right="80"/>
        <w:spacing w:after="0" w:line="254" w:lineRule="auto"/>
        <w:rPr>
          <w:sz w:val="20"/>
          <w:szCs w:val="20"/>
          <w:color w:val="auto"/>
        </w:rPr>
      </w:pPr>
      <w:r>
        <w:rPr>
          <w:rFonts w:ascii="Calibri" w:cs="Calibri" w:eastAsia="Calibri" w:hAnsi="Calibri"/>
          <w:sz w:val="17"/>
          <w:szCs w:val="17"/>
          <w:color w:val="auto"/>
        </w:rPr>
        <w:t>We have audited Exelixis, Inc.’s internal control over fnancial reportng as of January 3, 2025, based on criteria established in Internal Control—Integrated Framework issued by the Commitee of Sponsoring Organizatons of the Treadway Commission (2013 framework) (the COSO criteria). In our opinion, Exelixis, Inc. (the Company) maintained, in all material respects, efectve internal control over fnancial reportng as of January 3, 2025, based on the COSO criteria.</w:t>
      </w:r>
    </w:p>
    <w:p>
      <w:pPr>
        <w:spacing w:after="0" w:line="15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consolidated balance sheets of the Company as of January 3, 2025 and December 29, 2023, the related consolidated statements of income, comprehensive income, stockholders‘ equity and cash fows for each of the three years in the period ended January 3, 2025, and the related notes and our report dated February 11, 2025 expressed an unqualifed opinion thereon.</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6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Company’s management is responsible for maintaining efectve internal control over fnancial reportng and for its assessment of the efectveness of internal control over fnancial reportng included in the accompanying Management's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66"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164" w:lineRule="exact"/>
        <w:rPr>
          <w:sz w:val="20"/>
          <w:szCs w:val="20"/>
          <w:color w:val="auto"/>
        </w:rPr>
      </w:pPr>
    </w:p>
    <w:p>
      <w:pPr>
        <w:jc w:val="both"/>
        <w:ind w:right="380"/>
        <w:spacing w:after="0" w:line="235" w:lineRule="auto"/>
        <w:rPr>
          <w:sz w:val="20"/>
          <w:szCs w:val="20"/>
          <w:color w:val="auto"/>
        </w:rPr>
      </w:pPr>
      <w:r>
        <w:rPr>
          <w:rFonts w:ascii="Calibri" w:cs="Calibri" w:eastAsia="Calibri" w:hAnsi="Calibri"/>
          <w:sz w:val="18"/>
          <w:szCs w:val="18"/>
          <w:color w:val="auto"/>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Defniton and Limitatons of Internal Control Over Financial Reportng</w:t>
      </w:r>
    </w:p>
    <w:p>
      <w:pPr>
        <w:spacing w:after="0" w:line="163"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55"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San Mateo, California</w:t>
      </w:r>
    </w:p>
    <w:p>
      <w:pPr>
        <w:spacing w:after="0" w:line="235" w:lineRule="auto"/>
        <w:rPr>
          <w:sz w:val="20"/>
          <w:szCs w:val="20"/>
          <w:color w:val="auto"/>
        </w:rPr>
      </w:pPr>
      <w:r>
        <w:rPr>
          <w:rFonts w:ascii="Calibri" w:cs="Calibri" w:eastAsia="Calibri" w:hAnsi="Calibri"/>
          <w:sz w:val="18"/>
          <w:szCs w:val="18"/>
          <w:color w:val="auto"/>
        </w:rPr>
        <w:t>February 11, 2025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9B. Other Informaton.</w:t>
      </w:r>
    </w:p>
    <w:p>
      <w:pPr>
        <w:spacing w:after="0" w:line="163"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Jack L Wyszomierski, a member of our Board of Directors, entered into a pre-arranged stock trading plan on November 29, 2024. Mr. Wyszomierski’s trading plan provides for the sale of up to 23,409 shares of our common stock (including shares obtained from the exercise of vested stock optons covered by the trading plan) between February 28, 2025 and June 13, 2025. This trading plan is intended to satsfy the afrmatve defense of Rule 10b5-1(c) under the Exchange Act and Exelixis’ policies regarding transactons in Exelixis securites.</w:t>
      </w:r>
    </w:p>
    <w:p>
      <w:pPr>
        <w:spacing w:after="0" w:line="165"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S. Gail Eckhardt, a member of our Board of Directors, entered into a pre-arranged stock trading plan on October 30, 2024. Ms. Eckhardt’s trading plan provides for the sale of up to 30,406 shares of our common stock (including shares obtained from the exercise of vested stock optons covered by the trading plan) between February 14, 2025 and September 30, 2025. This trading plan is intended to satsfy the afrmatve defense of Rule 10b5-1(c) under the Exchange Act and Exelixis’ policies regarding transactons in Exelixis securites.</w:t>
      </w:r>
    </w:p>
    <w:p>
      <w:pPr>
        <w:spacing w:after="0" w:line="165" w:lineRule="exact"/>
        <w:rPr>
          <w:sz w:val="20"/>
          <w:szCs w:val="20"/>
          <w:color w:val="auto"/>
        </w:rPr>
      </w:pPr>
    </w:p>
    <w:p>
      <w:pPr>
        <w:ind w:right="400" w:firstLine="648"/>
        <w:spacing w:after="0" w:line="235" w:lineRule="auto"/>
        <w:rPr>
          <w:sz w:val="20"/>
          <w:szCs w:val="20"/>
          <w:color w:val="auto"/>
        </w:rPr>
      </w:pPr>
      <w:r>
        <w:rPr>
          <w:rFonts w:ascii="Calibri" w:cs="Calibri" w:eastAsia="Calibri" w:hAnsi="Calibri"/>
          <w:sz w:val="18"/>
          <w:szCs w:val="18"/>
          <w:color w:val="auto"/>
        </w:rPr>
        <w:t>During the three months ended December 31, 2024, no other directors or Secton 16 ofcers of the Company adopted or terminated any “Rule 10b5-1 trading arrangement” or “non-Rule 10b5-1 trading arrangement,” as each term is defned in Item 408 of Regulaton S-K.</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9C. Disclosure Regarding Foreign Jurisdictons that Prevent Inspectons.</w:t>
      </w:r>
    </w:p>
    <w:p>
      <w:pPr>
        <w:spacing w:after="0" w:line="158"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10. Directors, Executve Ofcers and Corporate Governance.</w:t>
      </w:r>
    </w:p>
    <w:p>
      <w:pPr>
        <w:spacing w:after="0" w:line="163" w:lineRule="exact"/>
        <w:rPr>
          <w:sz w:val="20"/>
          <w:szCs w:val="20"/>
          <w:color w:val="auto"/>
        </w:rPr>
      </w:pPr>
    </w:p>
    <w:p>
      <w:pPr>
        <w:ind w:right="120" w:firstLine="648"/>
        <w:spacing w:after="0" w:line="235" w:lineRule="auto"/>
        <w:rPr>
          <w:sz w:val="20"/>
          <w:szCs w:val="20"/>
          <w:color w:val="auto"/>
        </w:rPr>
      </w:pPr>
      <w:r>
        <w:rPr>
          <w:rFonts w:ascii="Calibri" w:cs="Calibri" w:eastAsia="Calibri" w:hAnsi="Calibri"/>
          <w:sz w:val="18"/>
          <w:szCs w:val="18"/>
          <w:color w:val="auto"/>
        </w:rPr>
        <w:t>The informaton required by this item relatng to our directors and nominees, including informaton with respect to our audit commitee, audit commitee fnancial experts and procedures by which stockholders may recommend nominees to our Board of Directors, is incorporated by reference to the secton enttled “Proposal 1 – Electon of Directors” appearing in our Proxy Statement for our 2025 Annual Meetng of Stockholders to be fled with the SEC within 120 days afer January 3, 2025, which we refer to as our 2025 Proxy Statement. The informaton required by this item regarding our executve ofcers is incorporated by reference to the secton enttled “Informaton about our Executve Ofcers” appearing in our 2025 Proxy Statement. The informaton, if any, required by this item regarding compliance with Secton 16(a) of the Securites Exchange Act of 1934, as amended, is incorporated by reference to the secton enttled “Delinquent Secton 16(a) Reports” appearing in our 2025 Proxy Statement. The informaton required by this item relatng to our insider trading policies and procedures is incorporated by reference to the secton enttled “Corporate Governance—Insider Trading Policies and Procedures” appearing in our 2025 proxy statement.</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Code of Ethics</w:t>
      </w:r>
    </w:p>
    <w:p>
      <w:pPr>
        <w:spacing w:after="0" w:line="163" w:lineRule="exact"/>
        <w:rPr>
          <w:sz w:val="20"/>
          <w:szCs w:val="20"/>
          <w:color w:val="auto"/>
        </w:rPr>
      </w:pPr>
    </w:p>
    <w:p>
      <w:pPr>
        <w:ind w:right="160" w:firstLine="648"/>
        <w:spacing w:after="0" w:line="235" w:lineRule="auto"/>
        <w:rPr>
          <w:sz w:val="20"/>
          <w:szCs w:val="20"/>
          <w:color w:val="auto"/>
        </w:rPr>
      </w:pPr>
      <w:r>
        <w:rPr>
          <w:rFonts w:ascii="Calibri" w:cs="Calibri" w:eastAsia="Calibri" w:hAnsi="Calibri"/>
          <w:sz w:val="18"/>
          <w:szCs w:val="18"/>
          <w:color w:val="auto"/>
        </w:rPr>
        <w:t>We have adopted a Corporate Code of Conduct that applies to all of our directors, ofcers and employees, including our principal executve ofcer, principal fnancial ofcer and principal accountng ofcer. The Corporate Code of Conduct is posted on our website at www.exelixis.com under the capton “Investors &amp; News—Corporate Governance.”</w:t>
      </w:r>
    </w:p>
    <w:p>
      <w:pPr>
        <w:spacing w:after="0" w:line="165" w:lineRule="exact"/>
        <w:rPr>
          <w:sz w:val="20"/>
          <w:szCs w:val="20"/>
          <w:color w:val="auto"/>
        </w:rPr>
      </w:pPr>
    </w:p>
    <w:p>
      <w:pPr>
        <w:ind w:right="80" w:firstLine="648"/>
        <w:spacing w:after="0" w:line="235" w:lineRule="auto"/>
        <w:rPr>
          <w:sz w:val="20"/>
          <w:szCs w:val="20"/>
          <w:color w:val="auto"/>
        </w:rPr>
      </w:pPr>
      <w:r>
        <w:rPr>
          <w:rFonts w:ascii="Calibri" w:cs="Calibri" w:eastAsia="Calibri" w:hAnsi="Calibri"/>
          <w:sz w:val="18"/>
          <w:szCs w:val="18"/>
          <w:color w:val="auto"/>
        </w:rPr>
        <w:t>We intend to satsfy the disclosure requirement under Item 5.05 of Form 8-K regarding an amendment to, or waiver from, a provision of this Corporate Code of Conduct by postng such informaton on our website, at the address and locaton specifed above and, to the extent required by the listng standards of the Nasdaq Stock Market, by fling a Current Report on Form 8-K with the SEC, disclosing such informaton.</w:t>
      </w:r>
    </w:p>
    <w:p>
      <w:pPr>
        <w:spacing w:after="0" w:line="26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11. Executve Compensaton.</w:t>
      </w:r>
    </w:p>
    <w:p>
      <w:pPr>
        <w:spacing w:after="0" w:line="163" w:lineRule="exact"/>
        <w:rPr>
          <w:sz w:val="20"/>
          <w:szCs w:val="20"/>
          <w:color w:val="auto"/>
        </w:rPr>
      </w:pPr>
    </w:p>
    <w:p>
      <w:pPr>
        <w:jc w:val="both"/>
        <w:ind w:right="100" w:firstLine="648"/>
        <w:spacing w:after="0" w:line="258" w:lineRule="auto"/>
        <w:rPr>
          <w:sz w:val="20"/>
          <w:szCs w:val="20"/>
          <w:color w:val="auto"/>
        </w:rPr>
      </w:pPr>
      <w:r>
        <w:rPr>
          <w:rFonts w:ascii="Calibri" w:cs="Calibri" w:eastAsia="Calibri" w:hAnsi="Calibri"/>
          <w:sz w:val="17"/>
          <w:szCs w:val="17"/>
          <w:color w:val="auto"/>
        </w:rPr>
        <w:t>The informaton required by this item is incorporated by reference to the sectons enttled “Compensaton of Executve Ofcers,” “Compensaton of Directors,” “Compensaton Commitee Interlocks and Insider Partcipaton” and “Compensaton Commitee Report” appearing in our 2025 Proxy Statement.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12. Security Ownership of Certain Benefcial Owners and Management and Related Stockholder Maters.</w:t>
      </w:r>
    </w:p>
    <w:p>
      <w:pPr>
        <w:spacing w:after="0" w:line="163"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The informaton required by this item relatng to security ownership of certain benefcial owners and management is incorporated by reference to the secton enttled “Security Ownership of Certain Benefcial Owners and Management” appearing in our 2025 Proxy Statement.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Equity Compensaton Plan Informaton</w:t>
      </w:r>
    </w:p>
    <w:p>
      <w:pPr>
        <w:spacing w:after="0" w:line="163" w:lineRule="exact"/>
        <w:rPr>
          <w:sz w:val="20"/>
          <w:szCs w:val="20"/>
          <w:color w:val="auto"/>
        </w:rPr>
      </w:pPr>
    </w:p>
    <w:p>
      <w:pPr>
        <w:jc w:val="both"/>
        <w:ind w:right="280" w:firstLine="648"/>
        <w:spacing w:after="0" w:line="254" w:lineRule="auto"/>
        <w:rPr>
          <w:sz w:val="20"/>
          <w:szCs w:val="20"/>
          <w:color w:val="auto"/>
        </w:rPr>
      </w:pPr>
      <w:r>
        <w:rPr>
          <w:rFonts w:ascii="Calibri" w:cs="Calibri" w:eastAsia="Calibri" w:hAnsi="Calibri"/>
          <w:sz w:val="17"/>
          <w:szCs w:val="17"/>
          <w:color w:val="auto"/>
        </w:rPr>
        <w:t>The following table provides certain informaton about our common stock that may be issued upon the exercise of stock optons and other rights under all of our existng equity compensaton plans as of December 31, 2024, which consists of our 2000 Employee Stock Purchase Plan (as amended and restated, the Amended ESPP), and our 2017 Equity Incentve Plan (as amended and restated, the 2017 Plan) (in thousands, except per share amounts):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Calibri" w:cs="Calibri" w:eastAsia="Calibri" w:hAnsi="Calibri"/>
                <w:sz w:val="16"/>
                <w:szCs w:val="16"/>
                <w:b w:val="1"/>
                <w:bCs w:val="1"/>
                <w:color w:val="auto"/>
              </w:rPr>
              <w:t>Number of securites</w:t>
            </w:r>
          </w:p>
        </w:tc>
      </w:tr>
      <w:tr>
        <w:trPr>
          <w:trHeight w:val="193"/>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w w:val="99"/>
              </w:rPr>
              <w:t>remaining available</w:t>
            </w:r>
          </w:p>
        </w:tc>
      </w:tr>
      <w:tr>
        <w:trPr>
          <w:trHeight w:val="198"/>
        </w:trPr>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Calibri" w:cs="Calibri" w:eastAsia="Calibri" w:hAnsi="Calibri"/>
                <w:sz w:val="16"/>
                <w:szCs w:val="16"/>
                <w:b w:val="1"/>
                <w:bCs w:val="1"/>
                <w:color w:val="auto"/>
              </w:rPr>
              <w:t>for future issuance</w:t>
            </w:r>
          </w:p>
        </w:tc>
      </w:tr>
      <w:tr>
        <w:trPr>
          <w:trHeight w:val="189"/>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rPr>
              <w:t>Number of securites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rPr>
              <w:t>under equity</w:t>
            </w:r>
          </w:p>
        </w:tc>
      </w:tr>
      <w:tr>
        <w:trPr>
          <w:trHeight w:val="189"/>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w w:val="99"/>
              </w:rPr>
              <w:t>to be issued upon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420"/>
              <w:spacing w:after="0" w:line="189" w:lineRule="exact"/>
              <w:rPr>
                <w:sz w:val="20"/>
                <w:szCs w:val="20"/>
                <w:color w:val="auto"/>
              </w:rPr>
            </w:pPr>
            <w:r>
              <w:rPr>
                <w:rFonts w:ascii="Calibri" w:cs="Calibri" w:eastAsia="Calibri" w:hAnsi="Calibri"/>
                <w:sz w:val="16"/>
                <w:szCs w:val="16"/>
                <w:b w:val="1"/>
                <w:bCs w:val="1"/>
                <w:color w:val="auto"/>
              </w:rPr>
              <w:t>Weighted-average</w:t>
            </w:r>
          </w:p>
        </w:tc>
        <w:tc>
          <w:tcPr>
            <w:tcW w:w="154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rPr>
              <w:t>compensaton plans</w:t>
            </w:r>
          </w:p>
        </w:tc>
      </w:tr>
      <w:tr>
        <w:trPr>
          <w:trHeight w:val="203"/>
        </w:trPr>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Calibri" w:cs="Calibri" w:eastAsia="Calibri" w:hAnsi="Calibri"/>
                <w:sz w:val="16"/>
                <w:szCs w:val="16"/>
                <w:b w:val="1"/>
                <w:bCs w:val="1"/>
                <w:color w:val="auto"/>
              </w:rPr>
              <w:t>exercise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420"/>
              <w:spacing w:after="0" w:line="193" w:lineRule="exact"/>
              <w:rPr>
                <w:sz w:val="20"/>
                <w:szCs w:val="20"/>
                <w:color w:val="auto"/>
              </w:rPr>
            </w:pPr>
            <w:r>
              <w:rPr>
                <w:rFonts w:ascii="Calibri" w:cs="Calibri" w:eastAsia="Calibri" w:hAnsi="Calibri"/>
                <w:sz w:val="16"/>
                <w:szCs w:val="16"/>
                <w:b w:val="1"/>
                <w:bCs w:val="1"/>
                <w:color w:val="auto"/>
                <w:w w:val="99"/>
              </w:rPr>
              <w:t>exercise price of</w:t>
            </w:r>
          </w:p>
        </w:tc>
        <w:tc>
          <w:tcPr>
            <w:tcW w:w="1540" w:type="dxa"/>
            <w:vAlign w:val="bottom"/>
          </w:tcPr>
          <w:p>
            <w:pPr>
              <w:jc w:val="center"/>
              <w:spacing w:after="0"/>
              <w:rPr>
                <w:sz w:val="20"/>
                <w:szCs w:val="20"/>
                <w:color w:val="auto"/>
              </w:rPr>
            </w:pPr>
            <w:r>
              <w:rPr>
                <w:rFonts w:ascii="Calibri" w:cs="Calibri" w:eastAsia="Calibri" w:hAnsi="Calibri"/>
                <w:sz w:val="16"/>
                <w:szCs w:val="16"/>
                <w:b w:val="1"/>
                <w:bCs w:val="1"/>
                <w:color w:val="auto"/>
              </w:rPr>
              <w:t>(excluding securites</w:t>
            </w:r>
          </w:p>
        </w:tc>
      </w:tr>
      <w:tr>
        <w:trPr>
          <w:trHeight w:val="189"/>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rPr>
              <w:t>outstanding optons,</w:t>
            </w:r>
          </w:p>
        </w:tc>
        <w:tc>
          <w:tcPr>
            <w:tcW w:w="120" w:type="dxa"/>
            <w:vAlign w:val="bottom"/>
          </w:tcPr>
          <w:p>
            <w:pPr>
              <w:spacing w:after="0"/>
              <w:rPr>
                <w:sz w:val="16"/>
                <w:szCs w:val="16"/>
                <w:color w:val="auto"/>
              </w:rPr>
            </w:pPr>
          </w:p>
        </w:tc>
        <w:tc>
          <w:tcPr>
            <w:tcW w:w="1860" w:type="dxa"/>
            <w:vAlign w:val="bottom"/>
            <w:gridSpan w:val="3"/>
          </w:tcPr>
          <w:p>
            <w:pPr>
              <w:jc w:val="center"/>
              <w:ind w:right="300"/>
              <w:spacing w:after="0" w:line="189" w:lineRule="exact"/>
              <w:rPr>
                <w:sz w:val="20"/>
                <w:szCs w:val="20"/>
                <w:color w:val="auto"/>
              </w:rPr>
            </w:pPr>
            <w:r>
              <w:rPr>
                <w:rFonts w:ascii="Calibri" w:cs="Calibri" w:eastAsia="Calibri" w:hAnsi="Calibri"/>
                <w:sz w:val="16"/>
                <w:szCs w:val="16"/>
                <w:b w:val="1"/>
                <w:bCs w:val="1"/>
                <w:color w:val="auto"/>
              </w:rPr>
              <w:t>outstanding optons,</w:t>
            </w:r>
          </w:p>
        </w:tc>
        <w:tc>
          <w:tcPr>
            <w:tcW w:w="154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rPr>
              <w:t>refected in column</w:t>
            </w:r>
          </w:p>
        </w:tc>
      </w:tr>
      <w:tr>
        <w:trPr>
          <w:trHeight w:val="207"/>
        </w:trPr>
        <w:tc>
          <w:tcPr>
            <w:tcW w:w="6140" w:type="dxa"/>
            <w:vAlign w:val="bottom"/>
            <w:gridSpan w:val="2"/>
          </w:tcPr>
          <w:p>
            <w:pPr>
              <w:ind w:left="20"/>
              <w:spacing w:after="0"/>
              <w:rPr>
                <w:sz w:val="20"/>
                <w:szCs w:val="20"/>
                <w:color w:val="auto"/>
              </w:rPr>
            </w:pPr>
            <w:r>
              <w:rPr>
                <w:rFonts w:ascii="Calibri" w:cs="Calibri" w:eastAsia="Calibri" w:hAnsi="Calibri"/>
                <w:sz w:val="16"/>
                <w:szCs w:val="16"/>
                <w:b w:val="1"/>
                <w:bCs w:val="1"/>
                <w:color w:val="auto"/>
              </w:rPr>
              <w:t>Plan Category</w:t>
            </w:r>
          </w:p>
        </w:tc>
        <w:tc>
          <w:tcPr>
            <w:tcW w:w="1540" w:type="dxa"/>
            <w:vAlign w:val="bottom"/>
          </w:tcPr>
          <w:p>
            <w:pPr>
              <w:jc w:val="center"/>
              <w:spacing w:after="0"/>
              <w:rPr>
                <w:sz w:val="20"/>
                <w:szCs w:val="20"/>
                <w:color w:val="auto"/>
              </w:rPr>
            </w:pPr>
            <w:r>
              <w:rPr>
                <w:rFonts w:ascii="Calibri" w:cs="Calibri" w:eastAsia="Calibri" w:hAnsi="Calibri"/>
                <w:sz w:val="16"/>
                <w:szCs w:val="16"/>
                <w:b w:val="1"/>
                <w:bCs w:val="1"/>
                <w:color w:val="auto"/>
              </w:rPr>
              <w:t>warrants and rights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420"/>
              <w:spacing w:after="0" w:line="193" w:lineRule="exact"/>
              <w:rPr>
                <w:sz w:val="20"/>
                <w:szCs w:val="20"/>
                <w:color w:val="auto"/>
              </w:rPr>
            </w:pPr>
            <w:r>
              <w:rPr>
                <w:rFonts w:ascii="Calibri" w:cs="Calibri" w:eastAsia="Calibri" w:hAnsi="Calibri"/>
                <w:sz w:val="16"/>
                <w:szCs w:val="16"/>
                <w:b w:val="1"/>
                <w:bCs w:val="1"/>
                <w:color w:val="auto"/>
              </w:rPr>
              <w:t>warrants and rights</w:t>
            </w:r>
          </w:p>
        </w:tc>
        <w:tc>
          <w:tcPr>
            <w:tcW w:w="154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(a))</w:t>
            </w:r>
          </w:p>
        </w:tc>
      </w:tr>
      <w:tr>
        <w:trPr>
          <w:trHeight w:val="41"/>
        </w:trPr>
        <w:tc>
          <w:tcPr>
            <w:tcW w:w="6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95"/>
        </w:trPr>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Calibri" w:cs="Calibri" w:eastAsia="Calibri" w:hAnsi="Calibri"/>
                <w:sz w:val="16"/>
                <w:szCs w:val="16"/>
                <w:b w:val="1"/>
                <w:bCs w:val="1"/>
                <w:color w:val="auto"/>
              </w:rPr>
              <w:t>(a)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420"/>
              <w:spacing w:after="0"/>
              <w:rPr>
                <w:sz w:val="20"/>
                <w:szCs w:val="20"/>
                <w:color w:val="auto"/>
              </w:rPr>
            </w:pPr>
            <w:r>
              <w:rPr>
                <w:rFonts w:ascii="Calibri" w:cs="Calibri" w:eastAsia="Calibri" w:hAnsi="Calibri"/>
                <w:sz w:val="16"/>
                <w:szCs w:val="16"/>
                <w:b w:val="1"/>
                <w:bCs w:val="1"/>
                <w:color w:val="auto"/>
              </w:rPr>
              <w:t>(b)</w:t>
            </w:r>
          </w:p>
        </w:tc>
        <w:tc>
          <w:tcPr>
            <w:tcW w:w="1540" w:type="dxa"/>
            <w:vAlign w:val="bottom"/>
          </w:tcPr>
          <w:p>
            <w:pPr>
              <w:jc w:val="center"/>
              <w:spacing w:after="0"/>
              <w:rPr>
                <w:sz w:val="20"/>
                <w:szCs w:val="20"/>
                <w:color w:val="auto"/>
              </w:rPr>
            </w:pPr>
            <w:r>
              <w:rPr>
                <w:rFonts w:ascii="Calibri" w:cs="Calibri" w:eastAsia="Calibri" w:hAnsi="Calibri"/>
                <w:sz w:val="16"/>
                <w:szCs w:val="16"/>
                <w:b w:val="1"/>
                <w:bCs w:val="1"/>
                <w:color w:val="auto"/>
              </w:rPr>
              <w:t>(c)</w:t>
            </w:r>
          </w:p>
        </w:tc>
      </w:tr>
      <w:tr>
        <w:trPr>
          <w:trHeight w:val="41"/>
        </w:trPr>
        <w:tc>
          <w:tcPr>
            <w:tcW w:w="6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30"/>
        </w:trPr>
        <w:tc>
          <w:tcPr>
            <w:tcW w:w="6140" w:type="dxa"/>
            <w:vAlign w:val="bottom"/>
            <w:gridSpan w:val="2"/>
            <w:shd w:val="clear" w:color="auto" w:fill="CCEEFF"/>
          </w:tcPr>
          <w:p>
            <w:pPr>
              <w:ind w:left="20"/>
              <w:spacing w:after="0" w:line="230" w:lineRule="exact"/>
              <w:rPr>
                <w:sz w:val="20"/>
                <w:szCs w:val="20"/>
                <w:color w:val="auto"/>
              </w:rPr>
            </w:pPr>
            <w:r>
              <w:rPr>
                <w:rFonts w:ascii="Calibri" w:cs="Calibri" w:eastAsia="Calibri" w:hAnsi="Calibri"/>
                <w:sz w:val="18"/>
                <w:szCs w:val="18"/>
                <w:color w:val="auto"/>
              </w:rPr>
              <w:t xml:space="preserve">Equity compensaton plans approved by stockholders </w:t>
            </w:r>
            <w:r>
              <w:rPr>
                <w:rFonts w:ascii="Calibri" w:cs="Calibri" w:eastAsia="Calibri" w:hAnsi="Calibri"/>
                <w:sz w:val="23"/>
                <w:szCs w:val="23"/>
                <w:color w:val="auto"/>
                <w:vertAlign w:val="superscript"/>
              </w:rPr>
              <w:t>(1)</w:t>
            </w:r>
          </w:p>
        </w:tc>
        <w:tc>
          <w:tcPr>
            <w:tcW w:w="15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18,005</w:t>
            </w:r>
          </w:p>
        </w:tc>
        <w:tc>
          <w:tcPr>
            <w:tcW w:w="24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740" w:type="dxa"/>
            <w:vAlign w:val="bottom"/>
            <w:gridSpan w:val="2"/>
            <w:shd w:val="clear" w:color="auto" w:fill="CCEEFF"/>
          </w:tcPr>
          <w:p>
            <w:pPr>
              <w:ind w:left="1060"/>
              <w:spacing w:after="0" w:line="229" w:lineRule="exact"/>
              <w:rPr>
                <w:sz w:val="20"/>
                <w:szCs w:val="20"/>
                <w:color w:val="auto"/>
              </w:rPr>
            </w:pPr>
            <w:r>
              <w:rPr>
                <w:rFonts w:ascii="Calibri" w:cs="Calibri" w:eastAsia="Calibri" w:hAnsi="Calibri"/>
                <w:sz w:val="18"/>
                <w:szCs w:val="18"/>
                <w:color w:val="auto"/>
              </w:rPr>
              <w:t xml:space="preserve">5.29 </w:t>
            </w:r>
            <w:r>
              <w:rPr>
                <w:rFonts w:ascii="Calibri" w:cs="Calibri" w:eastAsia="Calibri" w:hAnsi="Calibri"/>
                <w:sz w:val="21"/>
                <w:szCs w:val="21"/>
                <w:color w:val="auto"/>
                <w:vertAlign w:val="superscript"/>
              </w:rPr>
              <w:t>(2)</w:t>
            </w:r>
          </w:p>
        </w:tc>
        <w:tc>
          <w:tcPr>
            <w:tcW w:w="15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35,595</w:t>
            </w:r>
          </w:p>
        </w:tc>
      </w:tr>
      <w:tr>
        <w:trPr>
          <w:trHeight w:val="223"/>
        </w:trPr>
        <w:tc>
          <w:tcPr>
            <w:tcW w:w="6140" w:type="dxa"/>
            <w:vAlign w:val="bottom"/>
            <w:gridSpan w:val="2"/>
          </w:tcPr>
          <w:p>
            <w:pPr>
              <w:ind w:left="340"/>
              <w:spacing w:after="0" w:line="195" w:lineRule="exact"/>
              <w:rPr>
                <w:sz w:val="20"/>
                <w:szCs w:val="20"/>
                <w:color w:val="auto"/>
              </w:rPr>
            </w:pPr>
            <w:r>
              <w:rPr>
                <w:rFonts w:ascii="Calibri" w:cs="Calibri" w:eastAsia="Calibri" w:hAnsi="Calibri"/>
                <w:sz w:val="18"/>
                <w:szCs w:val="18"/>
                <w:color w:val="auto"/>
              </w:rPr>
              <w:t>Total</w:t>
            </w:r>
          </w:p>
        </w:tc>
        <w:tc>
          <w:tcPr>
            <w:tcW w:w="1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18,005</w:t>
            </w:r>
          </w:p>
        </w:tc>
        <w:tc>
          <w:tcPr>
            <w:tcW w:w="24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1440" w:type="dxa"/>
            <w:vAlign w:val="bottom"/>
          </w:tcPr>
          <w:p>
            <w:pPr>
              <w:ind w:left="1060"/>
              <w:spacing w:after="0"/>
              <w:rPr>
                <w:sz w:val="20"/>
                <w:szCs w:val="20"/>
                <w:color w:val="auto"/>
              </w:rPr>
            </w:pPr>
            <w:r>
              <w:rPr>
                <w:rFonts w:ascii="Calibri" w:cs="Calibri" w:eastAsia="Calibri" w:hAnsi="Calibri"/>
                <w:sz w:val="18"/>
                <w:szCs w:val="18"/>
                <w:color w:val="auto"/>
              </w:rPr>
              <w:t>5.29</w:t>
            </w:r>
          </w:p>
        </w:tc>
        <w:tc>
          <w:tcPr>
            <w:tcW w:w="300" w:type="dxa"/>
            <w:vAlign w:val="bottom"/>
          </w:tcPr>
          <w:p>
            <w:pPr>
              <w:spacing w:after="0"/>
              <w:rPr>
                <w:sz w:val="19"/>
                <w:szCs w:val="19"/>
                <w:color w:val="auto"/>
              </w:rPr>
            </w:pPr>
          </w:p>
        </w:tc>
        <w:tc>
          <w:tcPr>
            <w:tcW w:w="1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35,595</w:t>
            </w:r>
          </w:p>
        </w:tc>
      </w:tr>
      <w:tr>
        <w:trPr>
          <w:trHeight w:val="21"/>
        </w:trPr>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Calibri" w:cs="Calibri" w:eastAsia="Calibri" w:hAnsi="Calibri"/>
          <w:sz w:val="16"/>
          <w:szCs w:val="16"/>
          <w:color w:val="auto"/>
        </w:rPr>
        <w:t>____________________</w:t>
      </w:r>
    </w:p>
    <w:p>
      <w:pPr>
        <w:ind w:left="180" w:right="180" w:hanging="172"/>
        <w:spacing w:after="0" w:line="232" w:lineRule="auto"/>
        <w:tabs>
          <w:tab w:leader="none" w:pos="159" w:val="left"/>
        </w:tabs>
        <w:numPr>
          <w:ilvl w:val="0"/>
          <w:numId w:val="41"/>
        </w:numPr>
        <w:rPr>
          <w:rFonts w:ascii="Calibri" w:cs="Calibri" w:eastAsia="Calibri" w:hAnsi="Calibri"/>
          <w:sz w:val="20"/>
          <w:szCs w:val="20"/>
          <w:color w:val="auto"/>
          <w:vertAlign w:val="superscript"/>
        </w:rPr>
      </w:pPr>
      <w:r>
        <w:rPr>
          <w:rFonts w:ascii="Calibri" w:cs="Calibri" w:eastAsia="Calibri" w:hAnsi="Calibri"/>
          <w:sz w:val="15"/>
          <w:szCs w:val="15"/>
          <w:color w:val="auto"/>
        </w:rPr>
        <w:t>Equity plans approved by our stockholders include the 2017 Plan and the Amended ESPP. As of December 31, 2024, a total of 7.0 million shares of our common stock remained available for issuance under the Amended ESPP, and up to a maximum of 0.8 million shares of our common stock may be purchased in the current purchase period. The shares issuable pursuant to our Amended ESPP are not included in the number of shares to be issued pursuant to rights outstanding and the weighted-average exercise price of such rights as of December 31, 2024, as those numbers are not known.</w:t>
      </w:r>
    </w:p>
    <w:p>
      <w:pPr>
        <w:spacing w:after="0" w:line="11" w:lineRule="exact"/>
        <w:rPr>
          <w:rFonts w:ascii="Calibri" w:cs="Calibri" w:eastAsia="Calibri" w:hAnsi="Calibri"/>
          <w:sz w:val="20"/>
          <w:szCs w:val="20"/>
          <w:color w:val="auto"/>
          <w:vertAlign w:val="superscript"/>
        </w:rPr>
      </w:pPr>
    </w:p>
    <w:p>
      <w:pPr>
        <w:ind w:left="180" w:right="340" w:hanging="172"/>
        <w:spacing w:after="0" w:line="214" w:lineRule="auto"/>
        <w:tabs>
          <w:tab w:leader="none" w:pos="159" w:val="left"/>
        </w:tabs>
        <w:numPr>
          <w:ilvl w:val="0"/>
          <w:numId w:val="41"/>
        </w:numPr>
        <w:rPr>
          <w:rFonts w:ascii="Calibri" w:cs="Calibri" w:eastAsia="Calibri" w:hAnsi="Calibri"/>
          <w:sz w:val="20"/>
          <w:szCs w:val="20"/>
          <w:color w:val="auto"/>
          <w:vertAlign w:val="superscript"/>
        </w:rPr>
      </w:pPr>
      <w:r>
        <w:rPr>
          <w:rFonts w:ascii="Calibri" w:cs="Calibri" w:eastAsia="Calibri" w:hAnsi="Calibri"/>
          <w:sz w:val="15"/>
          <w:szCs w:val="15"/>
          <w:color w:val="auto"/>
        </w:rPr>
        <w:t>The weighted-average exercise price takes into account the shares subject to outstanding restricted stock units (RSUs), including such awards with performance and market conditons, which have no exercise price. The weighted-average exercise price, excluding such outstanding RSUs, is $20.64.</w:t>
      </w: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13. Certain Relatonships and Related Transactons, and Director Independence.</w:t>
      </w:r>
    </w:p>
    <w:p>
      <w:pPr>
        <w:spacing w:after="0" w:line="163" w:lineRule="exact"/>
        <w:rPr>
          <w:sz w:val="20"/>
          <w:szCs w:val="20"/>
          <w:color w:val="auto"/>
        </w:rPr>
      </w:pPr>
    </w:p>
    <w:p>
      <w:pPr>
        <w:ind w:right="260" w:firstLine="648"/>
        <w:spacing w:after="0" w:line="235" w:lineRule="auto"/>
        <w:rPr>
          <w:sz w:val="20"/>
          <w:szCs w:val="20"/>
          <w:color w:val="auto"/>
        </w:rPr>
      </w:pPr>
      <w:r>
        <w:rPr>
          <w:rFonts w:ascii="Calibri" w:cs="Calibri" w:eastAsia="Calibri" w:hAnsi="Calibri"/>
          <w:sz w:val="18"/>
          <w:szCs w:val="18"/>
          <w:color w:val="auto"/>
        </w:rPr>
        <w:t>The informaton required by this item is incorporated by reference to the sectons enttled “Certain Relatonships and Related Party Transactons” and “Proposal 1 – Electon of Directors” appearing in our 2025 Proxy Statement.</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14. Principal Accountant Fees and Services.</w:t>
      </w:r>
    </w:p>
    <w:p>
      <w:pPr>
        <w:spacing w:after="0" w:line="163" w:lineRule="exact"/>
        <w:rPr>
          <w:sz w:val="20"/>
          <w:szCs w:val="20"/>
          <w:color w:val="auto"/>
        </w:rPr>
      </w:pPr>
    </w:p>
    <w:p>
      <w:pPr>
        <w:ind w:right="380" w:firstLine="648"/>
        <w:spacing w:after="0" w:line="235" w:lineRule="auto"/>
        <w:rPr>
          <w:sz w:val="20"/>
          <w:szCs w:val="20"/>
          <w:color w:val="auto"/>
        </w:rPr>
      </w:pPr>
      <w:r>
        <w:rPr>
          <w:rFonts w:ascii="Calibri" w:cs="Calibri" w:eastAsia="Calibri" w:hAnsi="Calibri"/>
          <w:sz w:val="18"/>
          <w:szCs w:val="18"/>
          <w:color w:val="auto"/>
        </w:rPr>
        <w:t>The informaton required by this item is incorporated by reference to the secton enttled “Proposal 2 – Ratfcaton of Selecton of Independent Registered Public Accountng Firm” appearing in our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3" w:right="359"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b w:val="1"/>
          <w:bCs w:val="1"/>
          <w:color w:val="auto"/>
        </w:rPr>
        <w:t>PART IV</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15. Exhibits and Financial Statement Schedules.</w:t>
      </w:r>
    </w:p>
    <w:p>
      <w:pPr>
        <w:spacing w:after="0" w:line="158" w:lineRule="exact"/>
        <w:rPr>
          <w:sz w:val="20"/>
          <w:szCs w:val="20"/>
          <w:color w:val="auto"/>
        </w:rPr>
      </w:pPr>
    </w:p>
    <w:p>
      <w:pPr>
        <w:ind w:left="640" w:hanging="308"/>
        <w:spacing w:after="0"/>
        <w:tabs>
          <w:tab w:leader="none" w:pos="64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following documents are being fled as part of this report:</w:t>
      </w:r>
    </w:p>
    <w:p>
      <w:pPr>
        <w:spacing w:after="0" w:line="158" w:lineRule="exact"/>
        <w:rPr>
          <w:rFonts w:ascii="Calibri" w:cs="Calibri" w:eastAsia="Calibri" w:hAnsi="Calibri"/>
          <w:sz w:val="18"/>
          <w:szCs w:val="18"/>
          <w:color w:val="auto"/>
        </w:rPr>
      </w:pPr>
    </w:p>
    <w:p>
      <w:pPr>
        <w:ind w:left="1040" w:hanging="384"/>
        <w:spacing w:after="0"/>
        <w:tabs>
          <w:tab w:leader="none" w:pos="1040" w:val="left"/>
        </w:tabs>
        <w:numPr>
          <w:ilvl w:val="1"/>
          <w:numId w:val="42"/>
        </w:numPr>
        <w:rPr>
          <w:rFonts w:ascii="Calibri" w:cs="Calibri" w:eastAsia="Calibri" w:hAnsi="Calibri"/>
          <w:sz w:val="18"/>
          <w:szCs w:val="18"/>
          <w:color w:val="auto"/>
        </w:rPr>
      </w:pPr>
      <w:r>
        <w:rPr>
          <w:rFonts w:ascii="Calibri" w:cs="Calibri" w:eastAsia="Calibri" w:hAnsi="Calibri"/>
          <w:sz w:val="18"/>
          <w:szCs w:val="18"/>
          <w:color w:val="auto"/>
        </w:rPr>
        <w:t>The following fnancial statements and the Report of Independent Registered Public Accountng Firm are included in Part II, Item 8:</w:t>
      </w:r>
    </w:p>
    <w:p>
      <w:pPr>
        <w:spacing w:after="0" w:line="138" w:lineRule="exact"/>
        <w:rPr>
          <w:sz w:val="20"/>
          <w:szCs w:val="20"/>
          <w:color w:val="auto"/>
        </w:rPr>
      </w:pPr>
    </w:p>
    <w:tbl>
      <w:tblPr>
        <w:tblLayout w:type="fixed"/>
        <w:tblInd w:w="152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Calibri" w:cs="Calibri" w:eastAsia="Calibri" w:hAnsi="Calibri"/>
                <w:sz w:val="16"/>
                <w:szCs w:val="16"/>
                <w:b w:val="1"/>
                <w:bCs w:val="1"/>
                <w:color w:val="auto"/>
                <w:w w:val="99"/>
              </w:rPr>
              <w:t>Page</w:t>
            </w:r>
          </w:p>
        </w:tc>
        <w:tc>
          <w:tcPr>
            <w:tcW w:w="0" w:type="dxa"/>
            <w:vAlign w:val="bottom"/>
          </w:tcPr>
          <w:p>
            <w:pPr>
              <w:spacing w:after="0"/>
              <w:rPr>
                <w:sz w:val="1"/>
                <w:szCs w:val="1"/>
                <w:color w:val="auto"/>
              </w:rPr>
            </w:pPr>
          </w:p>
        </w:tc>
      </w:tr>
      <w:tr>
        <w:trPr>
          <w:trHeight w:val="28"/>
        </w:trPr>
        <w:tc>
          <w:tcPr>
            <w:tcW w:w="8120" w:type="dxa"/>
            <w:vAlign w:val="bottom"/>
            <w:gridSpan w:val="8"/>
            <w:vMerge w:val="restart"/>
          </w:tcPr>
          <w:p>
            <w:pPr>
              <w:spacing w:after="0" w:line="183" w:lineRule="exact"/>
              <w:rPr>
                <w:sz w:val="20"/>
                <w:szCs w:val="20"/>
                <w:color w:val="auto"/>
              </w:rPr>
            </w:pPr>
            <w:r>
              <w:rPr>
                <w:rFonts w:ascii="Calibri" w:cs="Calibri" w:eastAsia="Calibri" w:hAnsi="Calibri"/>
                <w:sz w:val="18"/>
                <w:szCs w:val="18"/>
                <w:color w:val="0000FF"/>
              </w:rPr>
              <w:t xml:space="preserve">Report of Independent Registered Public Accountng Firm (PCAOB ID: </w:t>
            </w:r>
            <w:r>
              <w:rPr>
                <w:rFonts w:ascii="Calibri" w:cs="Calibri" w:eastAsia="Calibri" w:hAnsi="Calibri"/>
                <w:sz w:val="18"/>
                <w:szCs w:val="18"/>
                <w:color w:val="000000"/>
              </w:rPr>
              <w:t>42)</w:t>
            </w: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120" w:type="dxa"/>
            <w:vAlign w:val="bottom"/>
            <w:gridSpan w:val="8"/>
            <w:vMerge w:val="continue"/>
          </w:tcPr>
          <w:p>
            <w:pPr>
              <w:spacing w:after="0"/>
              <w:rPr>
                <w:sz w:val="13"/>
                <w:szCs w:val="13"/>
                <w:color w:val="auto"/>
              </w:rPr>
            </w:pPr>
          </w:p>
        </w:tc>
        <w:tc>
          <w:tcPr>
            <w:tcW w:w="1440" w:type="dxa"/>
            <w:vAlign w:val="bottom"/>
            <w:gridSpan w:val="3"/>
          </w:tcPr>
          <w:p>
            <w:pPr>
              <w:jc w:val="center"/>
              <w:spacing w:after="0" w:line="142" w:lineRule="exact"/>
              <w:rPr>
                <w:sz w:val="20"/>
                <w:szCs w:val="20"/>
                <w:color w:val="auto"/>
              </w:rPr>
            </w:pPr>
            <w:r>
              <w:rPr>
                <w:rFonts w:ascii="Calibri" w:cs="Calibri" w:eastAsia="Calibri" w:hAnsi="Calibri"/>
                <w:sz w:val="15"/>
                <w:szCs w:val="15"/>
                <w:color w:val="0000FF"/>
              </w:rPr>
              <w:t>79</w:t>
            </w:r>
          </w:p>
        </w:tc>
        <w:tc>
          <w:tcPr>
            <w:tcW w:w="0" w:type="dxa"/>
            <w:vAlign w:val="bottom"/>
          </w:tcPr>
          <w:p>
            <w:pPr>
              <w:spacing w:after="0"/>
              <w:rPr>
                <w:sz w:val="1"/>
                <w:szCs w:val="1"/>
                <w:color w:val="auto"/>
              </w:rPr>
            </w:pPr>
          </w:p>
        </w:tc>
      </w:tr>
      <w:tr>
        <w:trPr>
          <w:trHeight w:val="27"/>
        </w:trPr>
        <w:tc>
          <w:tcPr>
            <w:tcW w:w="20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420" w:type="dxa"/>
            <w:vAlign w:val="bottom"/>
            <w:gridSpan w:val="2"/>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Pr>
          <w:p>
            <w:pPr>
              <w:spacing w:after="0" w:line="216" w:lineRule="exact"/>
              <w:rPr>
                <w:sz w:val="20"/>
                <w:szCs w:val="20"/>
                <w:color w:val="auto"/>
              </w:rPr>
            </w:pPr>
            <w:r>
              <w:rPr>
                <w:rFonts w:ascii="Calibri" w:cs="Calibri" w:eastAsia="Calibri" w:hAnsi="Calibri"/>
                <w:sz w:val="18"/>
                <w:szCs w:val="18"/>
                <w:color w:val="0000FF"/>
                <w:w w:val="97"/>
              </w:rPr>
              <w:t>Consolidated Balance Sheets</w:t>
            </w:r>
          </w:p>
        </w:tc>
        <w:tc>
          <w:tcPr>
            <w:tcW w:w="6060" w:type="dxa"/>
            <w:vAlign w:val="bottom"/>
            <w:gridSpan w:val="7"/>
          </w:tcPr>
          <w:p>
            <w:pPr>
              <w:spacing w:after="0"/>
              <w:rPr>
                <w:sz w:val="18"/>
                <w:szCs w:val="18"/>
                <w:color w:val="auto"/>
              </w:rPr>
            </w:pPr>
          </w:p>
        </w:tc>
        <w:tc>
          <w:tcPr>
            <w:tcW w:w="1440" w:type="dxa"/>
            <w:vAlign w:val="bottom"/>
            <w:gridSpan w:val="3"/>
          </w:tcPr>
          <w:p>
            <w:pPr>
              <w:jc w:val="center"/>
              <w:spacing w:after="0" w:line="216" w:lineRule="exact"/>
              <w:rPr>
                <w:sz w:val="20"/>
                <w:szCs w:val="20"/>
                <w:color w:val="auto"/>
              </w:rPr>
            </w:pPr>
            <w:r>
              <w:rPr>
                <w:rFonts w:ascii="Calibri" w:cs="Calibri" w:eastAsia="Calibri" w:hAnsi="Calibri"/>
                <w:sz w:val="18"/>
                <w:szCs w:val="18"/>
                <w:color w:val="0000FF"/>
                <w:w w:val="98"/>
              </w:rPr>
              <w:t>81</w:t>
            </w: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gridSpan w:val="8"/>
          </w:tcPr>
          <w:p>
            <w:pPr>
              <w:spacing w:after="0" w:line="209" w:lineRule="exact"/>
              <w:rPr>
                <w:sz w:val="20"/>
                <w:szCs w:val="20"/>
                <w:color w:val="auto"/>
              </w:rPr>
            </w:pPr>
            <w:r>
              <w:rPr>
                <w:rFonts w:ascii="Calibri" w:cs="Calibri" w:eastAsia="Calibri" w:hAnsi="Calibri"/>
                <w:sz w:val="18"/>
                <w:szCs w:val="18"/>
                <w:color w:val="0000FF"/>
              </w:rPr>
              <w:t>Consolidated Statements of Income</w:t>
            </w:r>
          </w:p>
        </w:tc>
        <w:tc>
          <w:tcPr>
            <w:tcW w:w="144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82</w:t>
            </w:r>
          </w:p>
        </w:tc>
        <w:tc>
          <w:tcPr>
            <w:tcW w:w="0" w:type="dxa"/>
            <w:vAlign w:val="bottom"/>
          </w:tcPr>
          <w:p>
            <w:pPr>
              <w:spacing w:after="0"/>
              <w:rPr>
                <w:sz w:val="1"/>
                <w:szCs w:val="1"/>
                <w:color w:val="auto"/>
              </w:rPr>
            </w:pPr>
          </w:p>
        </w:tc>
      </w:tr>
      <w:tr>
        <w:trPr>
          <w:trHeight w:val="20"/>
        </w:trPr>
        <w:tc>
          <w:tcPr>
            <w:tcW w:w="25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gridSpan w:val="6"/>
          </w:tcPr>
          <w:p>
            <w:pPr>
              <w:spacing w:after="0" w:line="209" w:lineRule="exact"/>
              <w:rPr>
                <w:sz w:val="20"/>
                <w:szCs w:val="20"/>
                <w:color w:val="auto"/>
              </w:rPr>
            </w:pPr>
            <w:r>
              <w:rPr>
                <w:rFonts w:ascii="Calibri" w:cs="Calibri" w:eastAsia="Calibri" w:hAnsi="Calibri"/>
                <w:sz w:val="18"/>
                <w:szCs w:val="18"/>
                <w:color w:val="0000FF"/>
                <w:w w:val="96"/>
              </w:rPr>
              <w:t>Consolidated Statements of Comprehensive Income</w:t>
            </w:r>
          </w:p>
        </w:tc>
        <w:tc>
          <w:tcPr>
            <w:tcW w:w="4420" w:type="dxa"/>
            <w:vAlign w:val="bottom"/>
            <w:gridSpan w:val="2"/>
          </w:tcPr>
          <w:p>
            <w:pPr>
              <w:spacing w:after="0"/>
              <w:rPr>
                <w:sz w:val="18"/>
                <w:szCs w:val="18"/>
                <w:color w:val="auto"/>
              </w:rPr>
            </w:pPr>
          </w:p>
        </w:tc>
        <w:tc>
          <w:tcPr>
            <w:tcW w:w="144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82</w:t>
            </w: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gridSpan w:val="6"/>
          </w:tcPr>
          <w:p>
            <w:pPr>
              <w:spacing w:after="0" w:line="209" w:lineRule="exact"/>
              <w:rPr>
                <w:sz w:val="20"/>
                <w:szCs w:val="20"/>
                <w:color w:val="auto"/>
              </w:rPr>
            </w:pPr>
            <w:r>
              <w:rPr>
                <w:rFonts w:ascii="Calibri" w:cs="Calibri" w:eastAsia="Calibri" w:hAnsi="Calibri"/>
                <w:sz w:val="18"/>
                <w:szCs w:val="18"/>
                <w:color w:val="0000FF"/>
              </w:rPr>
              <w:t>Consolidated Statements of Stockholders’ Equity</w:t>
            </w:r>
          </w:p>
        </w:tc>
        <w:tc>
          <w:tcPr>
            <w:tcW w:w="4420" w:type="dxa"/>
            <w:vAlign w:val="bottom"/>
            <w:gridSpan w:val="2"/>
          </w:tcPr>
          <w:p>
            <w:pPr>
              <w:spacing w:after="0"/>
              <w:rPr>
                <w:sz w:val="18"/>
                <w:szCs w:val="18"/>
                <w:color w:val="auto"/>
              </w:rPr>
            </w:pPr>
          </w:p>
        </w:tc>
        <w:tc>
          <w:tcPr>
            <w:tcW w:w="144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83</w:t>
            </w: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gridSpan w:val="3"/>
          </w:tcPr>
          <w:p>
            <w:pPr>
              <w:spacing w:after="0" w:line="209" w:lineRule="exact"/>
              <w:rPr>
                <w:sz w:val="20"/>
                <w:szCs w:val="20"/>
                <w:color w:val="auto"/>
              </w:rPr>
            </w:pPr>
            <w:r>
              <w:rPr>
                <w:rFonts w:ascii="Calibri" w:cs="Calibri" w:eastAsia="Calibri" w:hAnsi="Calibri"/>
                <w:sz w:val="18"/>
                <w:szCs w:val="18"/>
                <w:color w:val="0000FF"/>
                <w:w w:val="96"/>
              </w:rPr>
              <w:t>Consolidated Statements of Cash Flows</w:t>
            </w:r>
          </w:p>
        </w:tc>
        <w:tc>
          <w:tcPr>
            <w:tcW w:w="660" w:type="dxa"/>
            <w:vAlign w:val="bottom"/>
            <w:gridSpan w:val="2"/>
          </w:tcPr>
          <w:p>
            <w:pPr>
              <w:spacing w:after="0"/>
              <w:rPr>
                <w:sz w:val="18"/>
                <w:szCs w:val="18"/>
                <w:color w:val="auto"/>
              </w:rPr>
            </w:pPr>
          </w:p>
        </w:tc>
        <w:tc>
          <w:tcPr>
            <w:tcW w:w="4660" w:type="dxa"/>
            <w:vAlign w:val="bottom"/>
            <w:gridSpan w:val="3"/>
          </w:tcPr>
          <w:p>
            <w:pPr>
              <w:spacing w:after="0"/>
              <w:rPr>
                <w:sz w:val="18"/>
                <w:szCs w:val="18"/>
                <w:color w:val="auto"/>
              </w:rPr>
            </w:pPr>
          </w:p>
        </w:tc>
        <w:tc>
          <w:tcPr>
            <w:tcW w:w="144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84</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8"/>
          </w:tcPr>
          <w:p>
            <w:pPr>
              <w:spacing w:after="0" w:line="209" w:lineRule="exact"/>
              <w:rPr>
                <w:sz w:val="20"/>
                <w:szCs w:val="20"/>
                <w:color w:val="auto"/>
              </w:rPr>
            </w:pPr>
            <w:r>
              <w:rPr>
                <w:rFonts w:ascii="Calibri" w:cs="Calibri" w:eastAsia="Calibri" w:hAnsi="Calibri"/>
                <w:sz w:val="18"/>
                <w:szCs w:val="18"/>
                <w:color w:val="0000FF"/>
              </w:rPr>
              <w:t>Notes to Consolidated Financial Statements</w:t>
            </w:r>
          </w:p>
        </w:tc>
        <w:tc>
          <w:tcPr>
            <w:tcW w:w="1440" w:type="dxa"/>
            <w:vAlign w:val="bottom"/>
            <w:gridSpan w:val="3"/>
          </w:tcPr>
          <w:p>
            <w:pPr>
              <w:jc w:val="center"/>
              <w:spacing w:after="0" w:line="209" w:lineRule="exact"/>
              <w:rPr>
                <w:sz w:val="20"/>
                <w:szCs w:val="20"/>
                <w:color w:val="auto"/>
              </w:rPr>
            </w:pPr>
            <w:r>
              <w:rPr>
                <w:rFonts w:ascii="Calibri" w:cs="Calibri" w:eastAsia="Calibri" w:hAnsi="Calibri"/>
                <w:sz w:val="18"/>
                <w:szCs w:val="18"/>
                <w:color w:val="0000FF"/>
                <w:w w:val="98"/>
              </w:rPr>
              <w:t>85</w:t>
            </w: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980" w:right="340" w:hanging="324"/>
        <w:spacing w:after="0" w:line="235" w:lineRule="auto"/>
        <w:tabs>
          <w:tab w:leader="none" w:pos="101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All fnancial statement schedules are omited because the informaton is inapplicable or presented in the Notes to Consolidated Financial Statements.</w:t>
      </w:r>
    </w:p>
    <w:p>
      <w:pPr>
        <w:spacing w:after="0" w:line="158" w:lineRule="exact"/>
        <w:rPr>
          <w:rFonts w:ascii="Calibri" w:cs="Calibri" w:eastAsia="Calibri" w:hAnsi="Calibri"/>
          <w:sz w:val="18"/>
          <w:szCs w:val="18"/>
          <w:color w:val="auto"/>
        </w:rPr>
      </w:pPr>
    </w:p>
    <w:p>
      <w:pPr>
        <w:ind w:left="1020" w:hanging="364"/>
        <w:spacing w:after="0"/>
        <w:tabs>
          <w:tab w:leader="none" w:pos="102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following Exhibits are fled as part of this report.</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20" w:type="dxa"/>
            <w:vAlign w:val="bottom"/>
            <w:gridSpan w:val="2"/>
          </w:tcPr>
          <w:p>
            <w:pPr>
              <w:ind w:left="560"/>
              <w:spacing w:after="0"/>
              <w:rPr>
                <w:sz w:val="20"/>
                <w:szCs w:val="20"/>
                <w:color w:val="auto"/>
              </w:rPr>
            </w:pPr>
            <w:r>
              <w:rPr>
                <w:rFonts w:ascii="Calibri" w:cs="Calibri" w:eastAsia="Calibri" w:hAnsi="Calibri"/>
                <w:sz w:val="16"/>
                <w:szCs w:val="16"/>
                <w:b w:val="1"/>
                <w:bCs w:val="1"/>
                <w:color w:val="auto"/>
              </w:rPr>
              <w:t>Incorporaton by Reference</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8"/>
        </w:trPr>
        <w:tc>
          <w:tcPr>
            <w:tcW w:w="1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r>
      <w:tr>
        <w:trPr>
          <w:trHeight w:val="178"/>
        </w:trPr>
        <w:tc>
          <w:tcPr>
            <w:tcW w:w="13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20" w:type="dxa"/>
            <w:vAlign w:val="bottom"/>
          </w:tcPr>
          <w:p>
            <w:pPr>
              <w:jc w:val="center"/>
              <w:spacing w:after="0" w:line="178" w:lineRule="exact"/>
              <w:rPr>
                <w:sz w:val="20"/>
                <w:szCs w:val="20"/>
                <w:color w:val="auto"/>
              </w:rPr>
            </w:pPr>
            <w:r>
              <w:rPr>
                <w:rFonts w:ascii="Calibri" w:cs="Calibri" w:eastAsia="Calibri" w:hAnsi="Calibri"/>
                <w:sz w:val="16"/>
                <w:szCs w:val="16"/>
                <w:b w:val="1"/>
                <w:bCs w:val="1"/>
                <w:color w:val="auto"/>
                <w:w w:val="98"/>
              </w:rPr>
              <w:t>Exhibit/</w:t>
            </w: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2"/>
        </w:trPr>
        <w:tc>
          <w:tcPr>
            <w:tcW w:w="1300" w:type="dxa"/>
            <w:vAlign w:val="bottom"/>
          </w:tcPr>
          <w:p>
            <w:pPr>
              <w:jc w:val="center"/>
              <w:ind w:right="659"/>
              <w:spacing w:after="0" w:line="162" w:lineRule="exact"/>
              <w:rPr>
                <w:sz w:val="20"/>
                <w:szCs w:val="20"/>
                <w:color w:val="auto"/>
              </w:rPr>
            </w:pPr>
            <w:r>
              <w:rPr>
                <w:rFonts w:ascii="Calibri" w:cs="Calibri" w:eastAsia="Calibri" w:hAnsi="Calibri"/>
                <w:sz w:val="16"/>
                <w:szCs w:val="16"/>
                <w:b w:val="1"/>
                <w:bCs w:val="1"/>
                <w:color w:val="auto"/>
              </w:rPr>
              <w:t>Exhibit</w:t>
            </w:r>
          </w:p>
        </w:tc>
        <w:tc>
          <w:tcPr>
            <w:tcW w:w="3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Appendix</w:t>
            </w:r>
          </w:p>
        </w:tc>
        <w:tc>
          <w:tcPr>
            <w:tcW w:w="1300" w:type="dxa"/>
            <w:vAlign w:val="bottom"/>
          </w:tcPr>
          <w:p>
            <w:pPr>
              <w:spacing w:after="0"/>
              <w:rPr>
                <w:sz w:val="14"/>
                <w:szCs w:val="14"/>
                <w:color w:val="auto"/>
              </w:rPr>
            </w:pPr>
          </w:p>
        </w:tc>
        <w:tc>
          <w:tcPr>
            <w:tcW w:w="940" w:type="dxa"/>
            <w:vAlign w:val="bottom"/>
          </w:tcPr>
          <w:p>
            <w:pPr>
              <w:jc w:val="center"/>
              <w:ind w:left="259"/>
              <w:spacing w:after="0" w:line="162" w:lineRule="exact"/>
              <w:rPr>
                <w:sz w:val="20"/>
                <w:szCs w:val="20"/>
                <w:color w:val="auto"/>
              </w:rPr>
            </w:pPr>
            <w:r>
              <w:rPr>
                <w:rFonts w:ascii="Calibri" w:cs="Calibri" w:eastAsia="Calibri" w:hAnsi="Calibri"/>
                <w:sz w:val="16"/>
                <w:szCs w:val="16"/>
                <w:b w:val="1"/>
                <w:bCs w:val="1"/>
                <w:color w:val="auto"/>
              </w:rPr>
              <w:t>Filed</w:t>
            </w:r>
          </w:p>
        </w:tc>
      </w:tr>
      <w:tr>
        <w:trPr>
          <w:trHeight w:val="194"/>
        </w:trPr>
        <w:tc>
          <w:tcPr>
            <w:tcW w:w="1300" w:type="dxa"/>
            <w:vAlign w:val="bottom"/>
          </w:tcPr>
          <w:p>
            <w:pPr>
              <w:jc w:val="center"/>
              <w:ind w:right="659"/>
              <w:spacing w:after="0" w:line="193" w:lineRule="exact"/>
              <w:rPr>
                <w:sz w:val="20"/>
                <w:szCs w:val="20"/>
                <w:color w:val="auto"/>
              </w:rPr>
            </w:pPr>
            <w:r>
              <w:rPr>
                <w:rFonts w:ascii="Calibri" w:cs="Calibri" w:eastAsia="Calibri" w:hAnsi="Calibri"/>
                <w:sz w:val="16"/>
                <w:szCs w:val="16"/>
                <w:b w:val="1"/>
                <w:bCs w:val="1"/>
                <w:color w:val="auto"/>
              </w:rPr>
              <w:t>Number</w:t>
            </w:r>
          </w:p>
        </w:tc>
        <w:tc>
          <w:tcPr>
            <w:tcW w:w="3300" w:type="dxa"/>
            <w:vAlign w:val="bottom"/>
          </w:tcPr>
          <w:p>
            <w:pPr>
              <w:ind w:left="740"/>
              <w:spacing w:after="0" w:line="193" w:lineRule="exact"/>
              <w:rPr>
                <w:sz w:val="20"/>
                <w:szCs w:val="20"/>
                <w:color w:val="auto"/>
              </w:rPr>
            </w:pPr>
            <w:r>
              <w:rPr>
                <w:rFonts w:ascii="Calibri" w:cs="Calibri" w:eastAsia="Calibri" w:hAnsi="Calibri"/>
                <w:sz w:val="16"/>
                <w:szCs w:val="16"/>
                <w:b w:val="1"/>
                <w:bCs w:val="1"/>
                <w:color w:val="auto"/>
              </w:rPr>
              <w:t>Exhibit Descripton</w:t>
            </w:r>
          </w:p>
        </w:tc>
        <w:tc>
          <w:tcPr>
            <w:tcW w:w="1160" w:type="dxa"/>
            <w:vAlign w:val="bottom"/>
          </w:tcPr>
          <w:p>
            <w:pPr>
              <w:ind w:left="420"/>
              <w:spacing w:after="0" w:line="193" w:lineRule="exact"/>
              <w:rPr>
                <w:sz w:val="20"/>
                <w:szCs w:val="20"/>
                <w:color w:val="auto"/>
              </w:rPr>
            </w:pPr>
            <w:r>
              <w:rPr>
                <w:rFonts w:ascii="Calibri" w:cs="Calibri" w:eastAsia="Calibri" w:hAnsi="Calibri"/>
                <w:sz w:val="16"/>
                <w:szCs w:val="16"/>
                <w:b w:val="1"/>
                <w:bCs w:val="1"/>
                <w:color w:val="auto"/>
              </w:rPr>
              <w:t>Form</w:t>
            </w:r>
          </w:p>
        </w:tc>
        <w:tc>
          <w:tcPr>
            <w:tcW w:w="1500" w:type="dxa"/>
            <w:vAlign w:val="bottom"/>
          </w:tcPr>
          <w:p>
            <w:pPr>
              <w:ind w:left="380"/>
              <w:spacing w:after="0" w:line="193" w:lineRule="exact"/>
              <w:rPr>
                <w:sz w:val="20"/>
                <w:szCs w:val="20"/>
                <w:color w:val="auto"/>
              </w:rPr>
            </w:pPr>
            <w:r>
              <w:rPr>
                <w:rFonts w:ascii="Calibri" w:cs="Calibri" w:eastAsia="Calibri" w:hAnsi="Calibri"/>
                <w:sz w:val="16"/>
                <w:szCs w:val="16"/>
                <w:b w:val="1"/>
                <w:bCs w:val="1"/>
                <w:color w:val="auto"/>
              </w:rPr>
              <w:t>File Number</w:t>
            </w:r>
          </w:p>
        </w:tc>
        <w:tc>
          <w:tcPr>
            <w:tcW w:w="13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Reference</w:t>
            </w:r>
          </w:p>
        </w:tc>
        <w:tc>
          <w:tcPr>
            <w:tcW w:w="1300" w:type="dxa"/>
            <w:vAlign w:val="bottom"/>
          </w:tcPr>
          <w:p>
            <w:pPr>
              <w:ind w:left="320"/>
              <w:spacing w:after="0" w:line="193" w:lineRule="exact"/>
              <w:rPr>
                <w:sz w:val="20"/>
                <w:szCs w:val="20"/>
                <w:color w:val="auto"/>
              </w:rPr>
            </w:pPr>
            <w:r>
              <w:rPr>
                <w:rFonts w:ascii="Calibri" w:cs="Calibri" w:eastAsia="Calibri" w:hAnsi="Calibri"/>
                <w:sz w:val="16"/>
                <w:szCs w:val="16"/>
                <w:b w:val="1"/>
                <w:bCs w:val="1"/>
                <w:color w:val="auto"/>
              </w:rPr>
              <w:t>Filing Date</w:t>
            </w:r>
          </w:p>
        </w:tc>
        <w:tc>
          <w:tcPr>
            <w:tcW w:w="940" w:type="dxa"/>
            <w:vAlign w:val="bottom"/>
          </w:tcPr>
          <w:p>
            <w:pPr>
              <w:jc w:val="center"/>
              <w:ind w:left="239"/>
              <w:spacing w:after="0" w:line="193" w:lineRule="exact"/>
              <w:rPr>
                <w:sz w:val="20"/>
                <w:szCs w:val="20"/>
                <w:color w:val="auto"/>
              </w:rPr>
            </w:pPr>
            <w:r>
              <w:rPr>
                <w:rFonts w:ascii="Calibri" w:cs="Calibri" w:eastAsia="Calibri" w:hAnsi="Calibri"/>
                <w:sz w:val="16"/>
                <w:szCs w:val="16"/>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273" w:right="499" w:bottom="1440" w:gutter="0" w:footer="0" w:header="0"/>
        </w:sectPr>
      </w:pPr>
    </w:p>
    <w:tbl>
      <w:tblPr>
        <w:tblLayout w:type="fixed"/>
        <w:tblInd w:w="320" w:type="dxa"/>
        <w:tblCellMar>
          <w:top w:w="0" w:type="dxa"/>
          <w:left w:w="0" w:type="dxa"/>
          <w:bottom w:w="0" w:type="dxa"/>
          <w:right w:w="0" w:type="dxa"/>
        </w:tblCellMar>
      </w:tblPr>
      <w:tr>
        <w:trPr>
          <w:trHeight w:val="216"/>
        </w:trPr>
        <w:tc>
          <w:tcPr>
            <w:tcW w:w="820" w:type="dxa"/>
            <w:vAlign w:val="bottom"/>
          </w:tcPr>
          <w:p>
            <w:pPr>
              <w:jc w:val="center"/>
              <w:ind w:right="372"/>
              <w:spacing w:after="0" w:line="217" w:lineRule="exact"/>
              <w:rPr>
                <w:sz w:val="20"/>
                <w:szCs w:val="20"/>
                <w:color w:val="auto"/>
              </w:rPr>
            </w:pPr>
            <w:r>
              <w:rPr>
                <w:rFonts w:ascii="Calibri" w:cs="Calibri" w:eastAsia="Calibri" w:hAnsi="Calibri"/>
                <w:sz w:val="18"/>
                <w:szCs w:val="18"/>
                <w:color w:val="auto"/>
              </w:rPr>
              <w:t>3.1</w:t>
            </w:r>
          </w:p>
        </w:tc>
        <w:tc>
          <w:tcPr>
            <w:tcW w:w="3520" w:type="dxa"/>
            <w:vAlign w:val="bottom"/>
            <w:gridSpan w:val="20"/>
          </w:tcPr>
          <w:p>
            <w:pPr>
              <w:spacing w:after="0" w:line="217" w:lineRule="exact"/>
              <w:rPr>
                <w:rFonts w:ascii="Calibri" w:cs="Calibri" w:eastAsia="Calibri" w:hAnsi="Calibri"/>
                <w:sz w:val="18"/>
                <w:szCs w:val="18"/>
                <w:color w:val="0000FF"/>
              </w:rPr>
            </w:pPr>
            <w:hyperlink r:id="rId143">
              <w:r>
                <w:rPr>
                  <w:rFonts w:ascii="Calibri" w:cs="Calibri" w:eastAsia="Calibri" w:hAnsi="Calibri"/>
                  <w:sz w:val="18"/>
                  <w:szCs w:val="18"/>
                  <w:color w:val="0000FF"/>
                </w:rPr>
                <w:t>Restated Certfcate of Incorporaton of Exelixis,</w:t>
              </w:r>
            </w:hyperlink>
          </w:p>
        </w:tc>
      </w:tr>
      <w:tr>
        <w:trPr>
          <w:trHeight w:val="169"/>
        </w:trPr>
        <w:tc>
          <w:tcPr>
            <w:tcW w:w="820" w:type="dxa"/>
            <w:vAlign w:val="bottom"/>
          </w:tcPr>
          <w:p>
            <w:pPr>
              <w:spacing w:after="0"/>
              <w:rPr>
                <w:sz w:val="14"/>
                <w:szCs w:val="14"/>
                <w:color w:val="auto"/>
              </w:rPr>
            </w:pPr>
          </w:p>
        </w:tc>
        <w:tc>
          <w:tcPr>
            <w:tcW w:w="3380" w:type="dxa"/>
            <w:vAlign w:val="bottom"/>
            <w:tcBorders>
              <w:top w:val="single" w:sz="8" w:color="0000FF"/>
            </w:tcBorders>
            <w:gridSpan w:val="14"/>
          </w:tcPr>
          <w:p>
            <w:pPr>
              <w:spacing w:after="0" w:line="169" w:lineRule="exact"/>
              <w:rPr>
                <w:rFonts w:ascii="Calibri" w:cs="Calibri" w:eastAsia="Calibri" w:hAnsi="Calibri"/>
                <w:sz w:val="18"/>
                <w:szCs w:val="18"/>
                <w:color w:val="0000FF"/>
              </w:rPr>
            </w:pPr>
            <w:hyperlink r:id="rId143">
              <w:r>
                <w:rPr>
                  <w:rFonts w:ascii="Calibri" w:cs="Calibri" w:eastAsia="Calibri" w:hAnsi="Calibri"/>
                  <w:sz w:val="18"/>
                  <w:szCs w:val="18"/>
                  <w:color w:val="0000FF"/>
                </w:rPr>
                <w:t>Inc.</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20" w:type="dxa"/>
            <w:vAlign w:val="bottom"/>
          </w:tcPr>
          <w:p>
            <w:pPr>
              <w:jc w:val="center"/>
              <w:ind w:right="372"/>
              <w:spacing w:after="0" w:line="209" w:lineRule="exact"/>
              <w:rPr>
                <w:sz w:val="20"/>
                <w:szCs w:val="20"/>
                <w:color w:val="auto"/>
              </w:rPr>
            </w:pPr>
            <w:r>
              <w:rPr>
                <w:rFonts w:ascii="Calibri" w:cs="Calibri" w:eastAsia="Calibri" w:hAnsi="Calibri"/>
                <w:sz w:val="18"/>
                <w:szCs w:val="18"/>
                <w:color w:val="auto"/>
              </w:rPr>
              <w:t>3.2</w:t>
            </w:r>
          </w:p>
        </w:tc>
        <w:tc>
          <w:tcPr>
            <w:tcW w:w="3520" w:type="dxa"/>
            <w:vAlign w:val="bottom"/>
            <w:gridSpan w:val="20"/>
          </w:tcPr>
          <w:p>
            <w:pPr>
              <w:spacing w:after="0" w:line="209" w:lineRule="exact"/>
              <w:rPr>
                <w:rFonts w:ascii="Calibri" w:cs="Calibri" w:eastAsia="Calibri" w:hAnsi="Calibri"/>
                <w:sz w:val="18"/>
                <w:szCs w:val="18"/>
                <w:color w:val="0000FF"/>
              </w:rPr>
            </w:pPr>
            <w:hyperlink r:id="rId144">
              <w:r>
                <w:rPr>
                  <w:rFonts w:ascii="Calibri" w:cs="Calibri" w:eastAsia="Calibri" w:hAnsi="Calibri"/>
                  <w:sz w:val="18"/>
                  <w:szCs w:val="18"/>
                  <w:color w:val="0000FF"/>
                </w:rPr>
                <w:t>Certfcate of Change of Registered Agent and/or</w:t>
              </w:r>
            </w:hyperlink>
          </w:p>
        </w:tc>
      </w:tr>
      <w:tr>
        <w:trPr>
          <w:trHeight w:val="169"/>
        </w:trPr>
        <w:tc>
          <w:tcPr>
            <w:tcW w:w="820" w:type="dxa"/>
            <w:vAlign w:val="bottom"/>
          </w:tcPr>
          <w:p>
            <w:pPr>
              <w:spacing w:after="0"/>
              <w:rPr>
                <w:sz w:val="14"/>
                <w:szCs w:val="14"/>
                <w:color w:val="auto"/>
              </w:rPr>
            </w:pPr>
          </w:p>
        </w:tc>
        <w:tc>
          <w:tcPr>
            <w:tcW w:w="1220" w:type="dxa"/>
            <w:vAlign w:val="bottom"/>
            <w:tcBorders>
              <w:top w:val="single" w:sz="8" w:color="0000FF"/>
              <w:bottom w:val="single" w:sz="8" w:color="0000FF"/>
            </w:tcBorders>
            <w:gridSpan w:val="3"/>
          </w:tcPr>
          <w:p>
            <w:pPr>
              <w:spacing w:after="0" w:line="169" w:lineRule="exact"/>
              <w:rPr>
                <w:rFonts w:ascii="Calibri" w:cs="Calibri" w:eastAsia="Calibri" w:hAnsi="Calibri"/>
                <w:sz w:val="18"/>
                <w:szCs w:val="18"/>
                <w:color w:val="0000FF"/>
              </w:rPr>
            </w:pPr>
            <w:hyperlink r:id="rId144">
              <w:r>
                <w:rPr>
                  <w:rFonts w:ascii="Calibri" w:cs="Calibri" w:eastAsia="Calibri" w:hAnsi="Calibri"/>
                  <w:sz w:val="18"/>
                  <w:szCs w:val="18"/>
                  <w:color w:val="0000FF"/>
                </w:rPr>
                <w:t>Registered Ofce</w:t>
              </w:r>
            </w:hyperlink>
          </w:p>
        </w:tc>
        <w:tc>
          <w:tcPr>
            <w:tcW w:w="22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20" w:type="dxa"/>
            <w:vAlign w:val="bottom"/>
          </w:tcPr>
          <w:p>
            <w:pPr>
              <w:jc w:val="center"/>
              <w:ind w:right="372"/>
              <w:spacing w:after="0" w:line="209" w:lineRule="exact"/>
              <w:rPr>
                <w:sz w:val="20"/>
                <w:szCs w:val="20"/>
                <w:color w:val="auto"/>
              </w:rPr>
            </w:pPr>
            <w:r>
              <w:rPr>
                <w:rFonts w:ascii="Calibri" w:cs="Calibri" w:eastAsia="Calibri" w:hAnsi="Calibri"/>
                <w:sz w:val="18"/>
                <w:szCs w:val="18"/>
                <w:color w:val="auto"/>
              </w:rPr>
              <w:t>3.3</w:t>
            </w:r>
          </w:p>
        </w:tc>
        <w:tc>
          <w:tcPr>
            <w:tcW w:w="3280" w:type="dxa"/>
            <w:vAlign w:val="bottom"/>
            <w:tcBorders>
              <w:bottom w:val="single" w:sz="8" w:color="0000FF"/>
            </w:tcBorders>
            <w:gridSpan w:val="13"/>
          </w:tcPr>
          <w:p>
            <w:pPr>
              <w:spacing w:after="0" w:line="209" w:lineRule="exact"/>
              <w:rPr>
                <w:rFonts w:ascii="Calibri" w:cs="Calibri" w:eastAsia="Calibri" w:hAnsi="Calibri"/>
                <w:sz w:val="18"/>
                <w:szCs w:val="18"/>
                <w:color w:val="0000FF"/>
                <w:w w:val="96"/>
              </w:rPr>
            </w:pPr>
            <w:hyperlink r:id="rId145">
              <w:r>
                <w:rPr>
                  <w:rFonts w:ascii="Calibri" w:cs="Calibri" w:eastAsia="Calibri" w:hAnsi="Calibri"/>
                  <w:sz w:val="18"/>
                  <w:szCs w:val="18"/>
                  <w:color w:val="0000FF"/>
                  <w:w w:val="96"/>
                </w:rPr>
                <w:t>Amended and Restated Bylaws of Exelixis, Inc.</w:t>
              </w:r>
            </w:hyperlink>
          </w:p>
        </w:tc>
        <w:tc>
          <w:tcPr>
            <w:tcW w:w="240" w:type="dxa"/>
            <w:vAlign w:val="bottom"/>
            <w:gridSpan w:val="7"/>
          </w:tcPr>
          <w:p>
            <w:pPr>
              <w:spacing w:after="0"/>
              <w:rPr>
                <w:sz w:val="18"/>
                <w:szCs w:val="18"/>
                <w:color w:val="auto"/>
              </w:rPr>
            </w:pPr>
          </w:p>
        </w:tc>
      </w:tr>
      <w:tr>
        <w:trPr>
          <w:trHeight w:val="210"/>
        </w:trPr>
        <w:tc>
          <w:tcPr>
            <w:tcW w:w="820" w:type="dxa"/>
            <w:vAlign w:val="bottom"/>
          </w:tcPr>
          <w:p>
            <w:pPr>
              <w:jc w:val="center"/>
              <w:ind w:right="372"/>
              <w:spacing w:after="0" w:line="209" w:lineRule="exact"/>
              <w:rPr>
                <w:sz w:val="20"/>
                <w:szCs w:val="20"/>
                <w:color w:val="auto"/>
              </w:rPr>
            </w:pPr>
            <w:r>
              <w:rPr>
                <w:rFonts w:ascii="Calibri" w:cs="Calibri" w:eastAsia="Calibri" w:hAnsi="Calibri"/>
                <w:sz w:val="18"/>
                <w:szCs w:val="18"/>
                <w:color w:val="auto"/>
              </w:rPr>
              <w:t>4.1</w:t>
            </w:r>
          </w:p>
        </w:tc>
        <w:tc>
          <w:tcPr>
            <w:tcW w:w="2640" w:type="dxa"/>
            <w:vAlign w:val="bottom"/>
            <w:tcBorders>
              <w:bottom w:val="single" w:sz="8" w:color="0000FF"/>
            </w:tcBorders>
            <w:gridSpan w:val="5"/>
          </w:tcPr>
          <w:p>
            <w:pPr>
              <w:spacing w:after="0" w:line="209" w:lineRule="exact"/>
              <w:rPr>
                <w:rFonts w:ascii="Calibri" w:cs="Calibri" w:eastAsia="Calibri" w:hAnsi="Calibri"/>
                <w:sz w:val="18"/>
                <w:szCs w:val="18"/>
                <w:color w:val="0000FF"/>
              </w:rPr>
            </w:pPr>
            <w:hyperlink r:id="rId146">
              <w:r>
                <w:rPr>
                  <w:rFonts w:ascii="Calibri" w:cs="Calibri" w:eastAsia="Calibri" w:hAnsi="Calibri"/>
                  <w:sz w:val="18"/>
                  <w:szCs w:val="18"/>
                  <w:color w:val="0000FF"/>
                </w:rPr>
                <w:t>Specimen Common Stock Certfcate.</w:t>
              </w:r>
            </w:hyperlink>
          </w:p>
        </w:tc>
        <w:tc>
          <w:tcPr>
            <w:tcW w:w="880" w:type="dxa"/>
            <w:vAlign w:val="bottom"/>
            <w:gridSpan w:val="15"/>
          </w:tcPr>
          <w:p>
            <w:pPr>
              <w:spacing w:after="0"/>
              <w:rPr>
                <w:sz w:val="18"/>
                <w:szCs w:val="18"/>
                <w:color w:val="auto"/>
              </w:rPr>
            </w:pPr>
          </w:p>
        </w:tc>
      </w:tr>
      <w:tr>
        <w:trPr>
          <w:trHeight w:val="210"/>
        </w:trPr>
        <w:tc>
          <w:tcPr>
            <w:tcW w:w="820" w:type="dxa"/>
            <w:vAlign w:val="bottom"/>
          </w:tcPr>
          <w:p>
            <w:pPr>
              <w:jc w:val="center"/>
              <w:ind w:right="372"/>
              <w:spacing w:after="0" w:line="209" w:lineRule="exact"/>
              <w:rPr>
                <w:sz w:val="20"/>
                <w:szCs w:val="20"/>
                <w:color w:val="auto"/>
              </w:rPr>
            </w:pPr>
            <w:r>
              <w:rPr>
                <w:rFonts w:ascii="Calibri" w:cs="Calibri" w:eastAsia="Calibri" w:hAnsi="Calibri"/>
                <w:sz w:val="18"/>
                <w:szCs w:val="18"/>
                <w:color w:val="auto"/>
              </w:rPr>
              <w:t>4.2</w:t>
            </w:r>
          </w:p>
        </w:tc>
        <w:tc>
          <w:tcPr>
            <w:tcW w:w="3520" w:type="dxa"/>
            <w:vAlign w:val="bottom"/>
            <w:gridSpan w:val="20"/>
          </w:tcPr>
          <w:p>
            <w:pPr>
              <w:spacing w:after="0" w:line="209" w:lineRule="exact"/>
              <w:rPr>
                <w:rFonts w:ascii="Calibri" w:cs="Calibri" w:eastAsia="Calibri" w:hAnsi="Calibri"/>
                <w:sz w:val="18"/>
                <w:szCs w:val="18"/>
                <w:color w:val="0000FF"/>
                <w:w w:val="99"/>
              </w:rPr>
            </w:pPr>
            <w:hyperlink r:id="rId147">
              <w:r>
                <w:rPr>
                  <w:rFonts w:ascii="Calibri" w:cs="Calibri" w:eastAsia="Calibri" w:hAnsi="Calibri"/>
                  <w:sz w:val="18"/>
                  <w:szCs w:val="18"/>
                  <w:color w:val="0000FF"/>
                  <w:w w:val="99"/>
                </w:rPr>
                <w:t>Descripton of the Common Stock of Exelixis, Inc.</w:t>
              </w:r>
            </w:hyperlink>
          </w:p>
        </w:tc>
      </w:tr>
      <w:tr>
        <w:trPr>
          <w:trHeight w:val="169"/>
        </w:trPr>
        <w:tc>
          <w:tcPr>
            <w:tcW w:w="82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7"/>
          </w:tcPr>
          <w:p>
            <w:pPr>
              <w:spacing w:after="0" w:line="169" w:lineRule="exact"/>
              <w:rPr>
                <w:rFonts w:ascii="Calibri" w:cs="Calibri" w:eastAsia="Calibri" w:hAnsi="Calibri"/>
                <w:sz w:val="18"/>
                <w:szCs w:val="18"/>
                <w:color w:val="0000FF"/>
                <w:w w:val="98"/>
              </w:rPr>
            </w:pPr>
            <w:hyperlink r:id="rId147">
              <w:r>
                <w:rPr>
                  <w:rFonts w:ascii="Calibri" w:cs="Calibri" w:eastAsia="Calibri" w:hAnsi="Calibri"/>
                  <w:sz w:val="18"/>
                  <w:szCs w:val="18"/>
                  <w:color w:val="0000FF"/>
                  <w:w w:val="98"/>
                </w:rPr>
                <w:t>Registered Pursuant to Secton 12 of the</w:t>
              </w:r>
            </w:hyperlink>
          </w:p>
        </w:tc>
        <w:tc>
          <w:tcPr>
            <w:tcW w:w="60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820" w:type="dxa"/>
            <w:vAlign w:val="bottom"/>
          </w:tcPr>
          <w:p>
            <w:pPr>
              <w:spacing w:after="0"/>
              <w:rPr>
                <w:sz w:val="13"/>
                <w:szCs w:val="13"/>
                <w:color w:val="auto"/>
              </w:rPr>
            </w:pPr>
          </w:p>
        </w:tc>
        <w:tc>
          <w:tcPr>
            <w:tcW w:w="3220" w:type="dxa"/>
            <w:vAlign w:val="bottom"/>
            <w:tcBorders>
              <w:bottom w:val="single" w:sz="8" w:color="0000FF"/>
            </w:tcBorders>
            <w:gridSpan w:val="12"/>
          </w:tcPr>
          <w:p>
            <w:pPr>
              <w:spacing w:after="0" w:line="156" w:lineRule="exact"/>
              <w:rPr>
                <w:rFonts w:ascii="Calibri" w:cs="Calibri" w:eastAsia="Calibri" w:hAnsi="Calibri"/>
                <w:sz w:val="16"/>
                <w:szCs w:val="16"/>
                <w:color w:val="0000FF"/>
              </w:rPr>
            </w:pPr>
            <w:hyperlink r:id="rId147">
              <w:r>
                <w:rPr>
                  <w:rFonts w:ascii="Calibri" w:cs="Calibri" w:eastAsia="Calibri" w:hAnsi="Calibri"/>
                  <w:sz w:val="16"/>
                  <w:szCs w:val="16"/>
                  <w:color w:val="0000FF"/>
                </w:rPr>
                <w:t>Securites Exchange Act of 1934, as amended</w:t>
              </w:r>
            </w:hyperlink>
          </w:p>
        </w:tc>
        <w:tc>
          <w:tcPr>
            <w:tcW w:w="300" w:type="dxa"/>
            <w:vAlign w:val="bottom"/>
            <w:gridSpan w:val="8"/>
          </w:tcPr>
          <w:p>
            <w:pPr>
              <w:spacing w:after="0"/>
              <w:rPr>
                <w:sz w:val="13"/>
                <w:szCs w:val="13"/>
                <w:color w:val="auto"/>
              </w:rPr>
            </w:pPr>
          </w:p>
        </w:tc>
      </w:tr>
      <w:tr>
        <w:trPr>
          <w:trHeight w:val="210"/>
        </w:trPr>
        <w:tc>
          <w:tcPr>
            <w:tcW w:w="820" w:type="dxa"/>
            <w:vAlign w:val="bottom"/>
          </w:tcPr>
          <w:p>
            <w:pPr>
              <w:jc w:val="center"/>
              <w:ind w:right="372"/>
              <w:spacing w:after="0" w:line="210" w:lineRule="exact"/>
              <w:rPr>
                <w:sz w:val="20"/>
                <w:szCs w:val="20"/>
                <w:color w:val="auto"/>
              </w:rPr>
            </w:pPr>
            <w:r>
              <w:rPr>
                <w:rFonts w:ascii="Calibri" w:cs="Calibri" w:eastAsia="Calibri" w:hAnsi="Calibri"/>
                <w:sz w:val="17"/>
                <w:szCs w:val="17"/>
                <w:color w:val="auto"/>
                <w:w w:val="96"/>
              </w:rPr>
              <w:t>10.1</w:t>
            </w:r>
            <w:r>
              <w:rPr>
                <w:rFonts w:ascii="Calibri" w:cs="Calibri" w:eastAsia="Calibri" w:hAnsi="Calibri"/>
                <w:sz w:val="22"/>
                <w:szCs w:val="22"/>
                <w:color w:val="auto"/>
                <w:w w:val="96"/>
                <w:vertAlign w:val="superscript"/>
              </w:rPr>
              <w:t>†</w:t>
            </w:r>
          </w:p>
        </w:tc>
        <w:tc>
          <w:tcPr>
            <w:tcW w:w="2560" w:type="dxa"/>
            <w:vAlign w:val="bottom"/>
            <w:tcBorders>
              <w:bottom w:val="single" w:sz="8" w:color="0000FF"/>
            </w:tcBorders>
            <w:gridSpan w:val="4"/>
          </w:tcPr>
          <w:p>
            <w:pPr>
              <w:spacing w:after="0" w:line="209" w:lineRule="exact"/>
              <w:rPr>
                <w:rFonts w:ascii="Calibri" w:cs="Calibri" w:eastAsia="Calibri" w:hAnsi="Calibri"/>
                <w:sz w:val="18"/>
                <w:szCs w:val="18"/>
                <w:color w:val="0000FF"/>
                <w:w w:val="99"/>
              </w:rPr>
            </w:pPr>
            <w:hyperlink r:id="rId148">
              <w:r>
                <w:rPr>
                  <w:rFonts w:ascii="Calibri" w:cs="Calibri" w:eastAsia="Calibri" w:hAnsi="Calibri"/>
                  <w:sz w:val="18"/>
                  <w:szCs w:val="18"/>
                  <w:color w:val="0000FF"/>
                  <w:w w:val="99"/>
                </w:rPr>
                <w:t>Form of Indemnifcaton Agreement</w:t>
              </w:r>
            </w:hyperlink>
          </w:p>
        </w:tc>
        <w:tc>
          <w:tcPr>
            <w:tcW w:w="960" w:type="dxa"/>
            <w:vAlign w:val="bottom"/>
            <w:gridSpan w:val="16"/>
          </w:tcPr>
          <w:p>
            <w:pPr>
              <w:spacing w:after="0"/>
              <w:rPr>
                <w:sz w:val="18"/>
                <w:szCs w:val="18"/>
                <w:color w:val="auto"/>
              </w:rPr>
            </w:pPr>
          </w:p>
        </w:tc>
      </w:tr>
      <w:tr>
        <w:trPr>
          <w:trHeight w:val="210"/>
        </w:trPr>
        <w:tc>
          <w:tcPr>
            <w:tcW w:w="820" w:type="dxa"/>
            <w:vAlign w:val="bottom"/>
          </w:tcPr>
          <w:p>
            <w:pPr>
              <w:jc w:val="center"/>
              <w:ind w:right="372"/>
              <w:spacing w:after="0" w:line="210" w:lineRule="exact"/>
              <w:rPr>
                <w:sz w:val="20"/>
                <w:szCs w:val="20"/>
                <w:color w:val="auto"/>
              </w:rPr>
            </w:pPr>
            <w:r>
              <w:rPr>
                <w:rFonts w:ascii="Calibri" w:cs="Calibri" w:eastAsia="Calibri" w:hAnsi="Calibri"/>
                <w:sz w:val="17"/>
                <w:szCs w:val="17"/>
                <w:color w:val="auto"/>
                <w:w w:val="96"/>
              </w:rPr>
              <w:t>10.2</w:t>
            </w:r>
            <w:r>
              <w:rPr>
                <w:rFonts w:ascii="Calibri" w:cs="Calibri" w:eastAsia="Calibri" w:hAnsi="Calibri"/>
                <w:sz w:val="22"/>
                <w:szCs w:val="22"/>
                <w:color w:val="auto"/>
                <w:w w:val="96"/>
                <w:vertAlign w:val="superscript"/>
              </w:rPr>
              <w:t>†</w:t>
            </w:r>
          </w:p>
        </w:tc>
        <w:tc>
          <w:tcPr>
            <w:tcW w:w="3520" w:type="dxa"/>
            <w:vAlign w:val="bottom"/>
            <w:gridSpan w:val="20"/>
          </w:tcPr>
          <w:p>
            <w:pPr>
              <w:spacing w:after="0" w:line="209" w:lineRule="exact"/>
              <w:rPr>
                <w:rFonts w:ascii="Calibri" w:cs="Calibri" w:eastAsia="Calibri" w:hAnsi="Calibri"/>
                <w:sz w:val="18"/>
                <w:szCs w:val="18"/>
                <w:color w:val="0000FF"/>
                <w:w w:val="98"/>
              </w:rPr>
            </w:pPr>
            <w:hyperlink r:id="rId149">
              <w:r>
                <w:rPr>
                  <w:rFonts w:ascii="Calibri" w:cs="Calibri" w:eastAsia="Calibri" w:hAnsi="Calibri"/>
                  <w:sz w:val="18"/>
                  <w:szCs w:val="18"/>
                  <w:color w:val="0000FF"/>
                  <w:w w:val="98"/>
                </w:rPr>
                <w:t>Exelixis, Inc. 2000 Employee Stock Purchase Plan</w:t>
              </w:r>
            </w:hyperlink>
          </w:p>
        </w:tc>
      </w:tr>
      <w:tr>
        <w:trPr>
          <w:trHeight w:val="210"/>
        </w:trPr>
        <w:tc>
          <w:tcPr>
            <w:tcW w:w="820" w:type="dxa"/>
            <w:vAlign w:val="bottom"/>
          </w:tcPr>
          <w:p>
            <w:pPr>
              <w:jc w:val="center"/>
              <w:ind w:right="372"/>
              <w:spacing w:after="0" w:line="210" w:lineRule="exact"/>
              <w:rPr>
                <w:sz w:val="20"/>
                <w:szCs w:val="20"/>
                <w:color w:val="auto"/>
              </w:rPr>
            </w:pPr>
            <w:r>
              <w:rPr>
                <w:rFonts w:ascii="Calibri" w:cs="Calibri" w:eastAsia="Calibri" w:hAnsi="Calibri"/>
                <w:sz w:val="17"/>
                <w:szCs w:val="17"/>
                <w:color w:val="auto"/>
                <w:w w:val="96"/>
              </w:rPr>
              <w:t>10.3</w:t>
            </w:r>
            <w:r>
              <w:rPr>
                <w:rFonts w:ascii="Calibri" w:cs="Calibri" w:eastAsia="Calibri" w:hAnsi="Calibri"/>
                <w:sz w:val="22"/>
                <w:szCs w:val="22"/>
                <w:color w:val="auto"/>
                <w:w w:val="96"/>
                <w:vertAlign w:val="superscript"/>
              </w:rPr>
              <w:t>†</w:t>
            </w:r>
          </w:p>
        </w:tc>
        <w:tc>
          <w:tcPr>
            <w:tcW w:w="2780" w:type="dxa"/>
            <w:vAlign w:val="bottom"/>
            <w:tcBorders>
              <w:top w:val="single" w:sz="8" w:color="0000FF"/>
              <w:bottom w:val="single" w:sz="8" w:color="0000FF"/>
            </w:tcBorders>
            <w:gridSpan w:val="6"/>
          </w:tcPr>
          <w:p>
            <w:pPr>
              <w:spacing w:after="0" w:line="209" w:lineRule="exact"/>
              <w:rPr>
                <w:rFonts w:ascii="Calibri" w:cs="Calibri" w:eastAsia="Calibri" w:hAnsi="Calibri"/>
                <w:sz w:val="18"/>
                <w:szCs w:val="18"/>
                <w:color w:val="0000FF"/>
                <w:w w:val="98"/>
              </w:rPr>
            </w:pPr>
            <w:hyperlink r:id="rId150">
              <w:r>
                <w:rPr>
                  <w:rFonts w:ascii="Calibri" w:cs="Calibri" w:eastAsia="Calibri" w:hAnsi="Calibri"/>
                  <w:sz w:val="18"/>
                  <w:szCs w:val="18"/>
                  <w:color w:val="0000FF"/>
                  <w:w w:val="98"/>
                </w:rPr>
                <w:t>Exelixis, Inc. 2014 Equity Incentve Plan</w:t>
              </w:r>
            </w:hyperlink>
          </w:p>
        </w:tc>
        <w:tc>
          <w:tcPr>
            <w:tcW w:w="660" w:type="dxa"/>
            <w:vAlign w:val="bottom"/>
            <w:tcBorders>
              <w:top w:val="single" w:sz="8" w:color="0000FF"/>
            </w:tcBorders>
            <w:gridSpan w:val="10"/>
          </w:tcPr>
          <w:p>
            <w:pPr>
              <w:spacing w:after="0"/>
              <w:rPr>
                <w:sz w:val="18"/>
                <w:szCs w:val="18"/>
                <w:color w:val="auto"/>
              </w:rPr>
            </w:pPr>
          </w:p>
        </w:tc>
        <w:tc>
          <w:tcPr>
            <w:tcW w:w="80" w:type="dxa"/>
            <w:vAlign w:val="bottom"/>
            <w:gridSpan w:val="4"/>
          </w:tcPr>
          <w:p>
            <w:pPr>
              <w:spacing w:after="0"/>
              <w:rPr>
                <w:sz w:val="18"/>
                <w:szCs w:val="18"/>
                <w:color w:val="auto"/>
              </w:rPr>
            </w:pPr>
          </w:p>
        </w:tc>
      </w:tr>
      <w:tr>
        <w:trPr>
          <w:trHeight w:val="209"/>
        </w:trPr>
        <w:tc>
          <w:tcPr>
            <w:tcW w:w="820" w:type="dxa"/>
            <w:vAlign w:val="bottom"/>
          </w:tcPr>
          <w:p>
            <w:pPr>
              <w:jc w:val="center"/>
              <w:ind w:right="372"/>
              <w:spacing w:after="0" w:line="210" w:lineRule="exact"/>
              <w:rPr>
                <w:sz w:val="20"/>
                <w:szCs w:val="20"/>
                <w:color w:val="auto"/>
              </w:rPr>
            </w:pPr>
            <w:r>
              <w:rPr>
                <w:rFonts w:ascii="Calibri" w:cs="Calibri" w:eastAsia="Calibri" w:hAnsi="Calibri"/>
                <w:sz w:val="17"/>
                <w:szCs w:val="17"/>
                <w:color w:val="auto"/>
                <w:w w:val="96"/>
              </w:rPr>
              <w:t>10.4</w:t>
            </w:r>
            <w:r>
              <w:rPr>
                <w:rFonts w:ascii="Calibri" w:cs="Calibri" w:eastAsia="Calibri" w:hAnsi="Calibri"/>
                <w:sz w:val="22"/>
                <w:szCs w:val="22"/>
                <w:color w:val="auto"/>
                <w:w w:val="96"/>
                <w:vertAlign w:val="superscript"/>
              </w:rPr>
              <w:t>†</w:t>
            </w:r>
          </w:p>
        </w:tc>
        <w:tc>
          <w:tcPr>
            <w:tcW w:w="3520" w:type="dxa"/>
            <w:vAlign w:val="bottom"/>
            <w:gridSpan w:val="20"/>
          </w:tcPr>
          <w:p>
            <w:pPr>
              <w:spacing w:after="0" w:line="209" w:lineRule="exact"/>
              <w:rPr>
                <w:rFonts w:ascii="Calibri" w:cs="Calibri" w:eastAsia="Calibri" w:hAnsi="Calibri"/>
                <w:sz w:val="18"/>
                <w:szCs w:val="18"/>
                <w:color w:val="0000FF"/>
              </w:rPr>
            </w:pPr>
            <w:hyperlink r:id="rId151">
              <w:r>
                <w:rPr>
                  <w:rFonts w:ascii="Calibri" w:cs="Calibri" w:eastAsia="Calibri" w:hAnsi="Calibri"/>
                  <w:sz w:val="18"/>
                  <w:szCs w:val="18"/>
                  <w:color w:val="0000FF"/>
                </w:rPr>
                <w:t>Form of Stock Opton Agreement under the</w:t>
              </w:r>
            </w:hyperlink>
          </w:p>
        </w:tc>
      </w:tr>
      <w:tr>
        <w:trPr>
          <w:trHeight w:val="169"/>
        </w:trPr>
        <w:tc>
          <w:tcPr>
            <w:tcW w:w="82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6"/>
          </w:tcPr>
          <w:p>
            <w:pPr>
              <w:spacing w:after="0" w:line="169" w:lineRule="exact"/>
              <w:rPr>
                <w:rFonts w:ascii="Calibri" w:cs="Calibri" w:eastAsia="Calibri" w:hAnsi="Calibri"/>
                <w:sz w:val="18"/>
                <w:szCs w:val="18"/>
                <w:color w:val="0000FF"/>
                <w:w w:val="98"/>
              </w:rPr>
            </w:pPr>
            <w:hyperlink r:id="rId151">
              <w:r>
                <w:rPr>
                  <w:rFonts w:ascii="Calibri" w:cs="Calibri" w:eastAsia="Calibri" w:hAnsi="Calibri"/>
                  <w:sz w:val="18"/>
                  <w:szCs w:val="18"/>
                  <w:color w:val="0000FF"/>
                  <w:w w:val="98"/>
                </w:rPr>
                <w:t>Exelixis, Inc. 2014 Equity Incentve Plan</w:t>
              </w:r>
            </w:hyperlink>
          </w:p>
        </w:tc>
        <w:tc>
          <w:tcPr>
            <w:tcW w:w="320" w:type="dxa"/>
            <w:vAlign w:val="bottom"/>
            <w:tcBorders>
              <w:top w:val="single" w:sz="8" w:color="0000FF"/>
            </w:tcBorders>
            <w:gridSpan w:val="4"/>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20" w:type="dxa"/>
            <w:vAlign w:val="bottom"/>
          </w:tcPr>
          <w:p>
            <w:pPr>
              <w:jc w:val="center"/>
              <w:ind w:right="372"/>
              <w:spacing w:after="0" w:line="210" w:lineRule="exact"/>
              <w:rPr>
                <w:sz w:val="20"/>
                <w:szCs w:val="20"/>
                <w:color w:val="auto"/>
              </w:rPr>
            </w:pPr>
            <w:r>
              <w:rPr>
                <w:rFonts w:ascii="Calibri" w:cs="Calibri" w:eastAsia="Calibri" w:hAnsi="Calibri"/>
                <w:sz w:val="17"/>
                <w:szCs w:val="17"/>
                <w:color w:val="auto"/>
                <w:w w:val="96"/>
              </w:rPr>
              <w:t>10.5</w:t>
            </w:r>
            <w:r>
              <w:rPr>
                <w:rFonts w:ascii="Calibri" w:cs="Calibri" w:eastAsia="Calibri" w:hAnsi="Calibri"/>
                <w:sz w:val="22"/>
                <w:szCs w:val="22"/>
                <w:color w:val="auto"/>
                <w:w w:val="96"/>
                <w:vertAlign w:val="superscript"/>
              </w:rPr>
              <w:t>†</w:t>
            </w:r>
          </w:p>
        </w:tc>
        <w:tc>
          <w:tcPr>
            <w:tcW w:w="3520" w:type="dxa"/>
            <w:vAlign w:val="bottom"/>
            <w:gridSpan w:val="20"/>
          </w:tcPr>
          <w:p>
            <w:pPr>
              <w:spacing w:after="0" w:line="209" w:lineRule="exact"/>
              <w:rPr>
                <w:rFonts w:ascii="Calibri" w:cs="Calibri" w:eastAsia="Calibri" w:hAnsi="Calibri"/>
                <w:sz w:val="18"/>
                <w:szCs w:val="18"/>
                <w:color w:val="0000FF"/>
                <w:w w:val="98"/>
              </w:rPr>
            </w:pPr>
            <w:hyperlink r:id="rId152">
              <w:r>
                <w:rPr>
                  <w:rFonts w:ascii="Calibri" w:cs="Calibri" w:eastAsia="Calibri" w:hAnsi="Calibri"/>
                  <w:sz w:val="18"/>
                  <w:szCs w:val="18"/>
                  <w:color w:val="0000FF"/>
                  <w:w w:val="98"/>
                </w:rPr>
                <w:t>Form of Stock Opton Agreement (Non-Employee</w:t>
              </w:r>
            </w:hyperlink>
          </w:p>
        </w:tc>
      </w:tr>
      <w:tr>
        <w:trPr>
          <w:trHeight w:val="169"/>
        </w:trPr>
        <w:tc>
          <w:tcPr>
            <w:tcW w:w="820" w:type="dxa"/>
            <w:vAlign w:val="bottom"/>
          </w:tcPr>
          <w:p>
            <w:pPr>
              <w:spacing w:after="0"/>
              <w:rPr>
                <w:sz w:val="14"/>
                <w:szCs w:val="14"/>
                <w:color w:val="auto"/>
              </w:rPr>
            </w:pPr>
          </w:p>
        </w:tc>
        <w:tc>
          <w:tcPr>
            <w:tcW w:w="3500" w:type="dxa"/>
            <w:vAlign w:val="bottom"/>
            <w:tcBorders>
              <w:top w:val="single" w:sz="8" w:color="0000FF"/>
            </w:tcBorders>
            <w:gridSpan w:val="19"/>
          </w:tcPr>
          <w:p>
            <w:pPr>
              <w:spacing w:after="0" w:line="169" w:lineRule="exact"/>
              <w:rPr>
                <w:rFonts w:ascii="Calibri" w:cs="Calibri" w:eastAsia="Calibri" w:hAnsi="Calibri"/>
                <w:sz w:val="18"/>
                <w:szCs w:val="18"/>
                <w:color w:val="0000FF"/>
              </w:rPr>
            </w:pPr>
            <w:hyperlink r:id="rId152">
              <w:r>
                <w:rPr>
                  <w:rFonts w:ascii="Calibri" w:cs="Calibri" w:eastAsia="Calibri" w:hAnsi="Calibri"/>
                  <w:sz w:val="18"/>
                  <w:szCs w:val="18"/>
                  <w:color w:val="0000FF"/>
                </w:rPr>
                <w:t>Director) under the Exelixis, Inc. 2014 Equity</w:t>
              </w:r>
            </w:hyperlink>
          </w:p>
        </w:tc>
        <w:tc>
          <w:tcPr>
            <w:tcW w:w="20" w:type="dxa"/>
            <w:vAlign w:val="bottom"/>
          </w:tcPr>
          <w:p>
            <w:pPr>
              <w:spacing w:after="0"/>
              <w:rPr>
                <w:sz w:val="14"/>
                <w:szCs w:val="14"/>
                <w:color w:val="auto"/>
              </w:rPr>
            </w:pPr>
          </w:p>
        </w:tc>
      </w:tr>
      <w:tr>
        <w:trPr>
          <w:trHeight w:val="155"/>
        </w:trPr>
        <w:tc>
          <w:tcPr>
            <w:tcW w:w="820" w:type="dxa"/>
            <w:vAlign w:val="bottom"/>
          </w:tcPr>
          <w:p>
            <w:pPr>
              <w:spacing w:after="0"/>
              <w:rPr>
                <w:sz w:val="13"/>
                <w:szCs w:val="13"/>
                <w:color w:val="auto"/>
              </w:rPr>
            </w:pPr>
          </w:p>
        </w:tc>
        <w:tc>
          <w:tcPr>
            <w:tcW w:w="3160" w:type="dxa"/>
            <w:vAlign w:val="bottom"/>
            <w:tcBorders>
              <w:top w:val="single" w:sz="8" w:color="0000FF"/>
            </w:tcBorders>
            <w:gridSpan w:val="11"/>
          </w:tcPr>
          <w:p>
            <w:pPr>
              <w:spacing w:after="0" w:line="156" w:lineRule="exact"/>
              <w:rPr>
                <w:rFonts w:ascii="Calibri" w:cs="Calibri" w:eastAsia="Calibri" w:hAnsi="Calibri"/>
                <w:sz w:val="16"/>
                <w:szCs w:val="16"/>
                <w:color w:val="0000FF"/>
              </w:rPr>
            </w:pPr>
            <w:hyperlink r:id="rId152">
              <w:r>
                <w:rPr>
                  <w:rFonts w:ascii="Calibri" w:cs="Calibri" w:eastAsia="Calibri" w:hAnsi="Calibri"/>
                  <w:sz w:val="16"/>
                  <w:szCs w:val="16"/>
                  <w:color w:val="0000FF"/>
                </w:rPr>
                <w:t>Incentve Plan</w:t>
              </w:r>
            </w:hyperlink>
          </w:p>
        </w:tc>
        <w:tc>
          <w:tcPr>
            <w:tcW w:w="240" w:type="dxa"/>
            <w:vAlign w:val="bottom"/>
            <w:gridSpan w:val="4"/>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10"/>
        </w:trPr>
        <w:tc>
          <w:tcPr>
            <w:tcW w:w="820" w:type="dxa"/>
            <w:vAlign w:val="bottom"/>
          </w:tcPr>
          <w:p>
            <w:pPr>
              <w:jc w:val="center"/>
              <w:ind w:right="372"/>
              <w:spacing w:after="0" w:line="210" w:lineRule="exact"/>
              <w:rPr>
                <w:sz w:val="20"/>
                <w:szCs w:val="20"/>
                <w:color w:val="auto"/>
              </w:rPr>
            </w:pPr>
            <w:r>
              <w:rPr>
                <w:rFonts w:ascii="Calibri" w:cs="Calibri" w:eastAsia="Calibri" w:hAnsi="Calibri"/>
                <w:sz w:val="17"/>
                <w:szCs w:val="17"/>
                <w:color w:val="auto"/>
                <w:w w:val="96"/>
              </w:rPr>
              <w:t>10.6</w:t>
            </w:r>
            <w:r>
              <w:rPr>
                <w:rFonts w:ascii="Calibri" w:cs="Calibri" w:eastAsia="Calibri" w:hAnsi="Calibri"/>
                <w:sz w:val="22"/>
                <w:szCs w:val="22"/>
                <w:color w:val="auto"/>
                <w:w w:val="96"/>
                <w:vertAlign w:val="superscript"/>
              </w:rPr>
              <w:t>†</w:t>
            </w:r>
          </w:p>
        </w:tc>
        <w:tc>
          <w:tcPr>
            <w:tcW w:w="3520" w:type="dxa"/>
            <w:vAlign w:val="bottom"/>
            <w:gridSpan w:val="20"/>
          </w:tcPr>
          <w:p>
            <w:pPr>
              <w:spacing w:after="0" w:line="209" w:lineRule="exact"/>
              <w:rPr>
                <w:rFonts w:ascii="Calibri" w:cs="Calibri" w:eastAsia="Calibri" w:hAnsi="Calibri"/>
                <w:sz w:val="18"/>
                <w:szCs w:val="18"/>
                <w:color w:val="0000FF"/>
              </w:rPr>
            </w:pPr>
            <w:hyperlink r:id="rId153">
              <w:r>
                <w:rPr>
                  <w:rFonts w:ascii="Calibri" w:cs="Calibri" w:eastAsia="Calibri" w:hAnsi="Calibri"/>
                  <w:sz w:val="18"/>
                  <w:szCs w:val="18"/>
                  <w:color w:val="0000FF"/>
                </w:rPr>
                <w:t>Form of Restricted Stock Unit Agreement under</w:t>
              </w:r>
            </w:hyperlink>
          </w:p>
        </w:tc>
      </w:tr>
      <w:tr>
        <w:trPr>
          <w:trHeight w:val="169"/>
        </w:trPr>
        <w:tc>
          <w:tcPr>
            <w:tcW w:w="820" w:type="dxa"/>
            <w:vAlign w:val="bottom"/>
          </w:tcPr>
          <w:p>
            <w:pPr>
              <w:spacing w:after="0"/>
              <w:rPr>
                <w:sz w:val="14"/>
                <w:szCs w:val="14"/>
                <w:color w:val="auto"/>
              </w:rPr>
            </w:pPr>
          </w:p>
        </w:tc>
        <w:tc>
          <w:tcPr>
            <w:tcW w:w="3060" w:type="dxa"/>
            <w:vAlign w:val="bottom"/>
            <w:tcBorders>
              <w:top w:val="single" w:sz="8" w:color="0000FF"/>
              <w:bottom w:val="single" w:sz="8" w:color="0000FF"/>
            </w:tcBorders>
            <w:gridSpan w:val="9"/>
          </w:tcPr>
          <w:p>
            <w:pPr>
              <w:spacing w:after="0" w:line="169" w:lineRule="exact"/>
              <w:rPr>
                <w:rFonts w:ascii="Calibri" w:cs="Calibri" w:eastAsia="Calibri" w:hAnsi="Calibri"/>
                <w:sz w:val="18"/>
                <w:szCs w:val="18"/>
                <w:color w:val="0000FF"/>
                <w:w w:val="98"/>
              </w:rPr>
            </w:pPr>
            <w:hyperlink r:id="rId153">
              <w:r>
                <w:rPr>
                  <w:rFonts w:ascii="Calibri" w:cs="Calibri" w:eastAsia="Calibri" w:hAnsi="Calibri"/>
                  <w:sz w:val="18"/>
                  <w:szCs w:val="18"/>
                  <w:color w:val="0000FF"/>
                  <w:w w:val="98"/>
                </w:rPr>
                <w:t>the Exelixis, Inc. 2014 Equity Incentve Plan</w:t>
              </w:r>
            </w:hyperlink>
          </w:p>
        </w:tc>
        <w:tc>
          <w:tcPr>
            <w:tcW w:w="340" w:type="dxa"/>
            <w:vAlign w:val="bottom"/>
            <w:tcBorders>
              <w:top w:val="single" w:sz="8" w:color="0000FF"/>
            </w:tcBorders>
            <w:gridSpan w:val="6"/>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10"/>
        </w:trPr>
        <w:tc>
          <w:tcPr>
            <w:tcW w:w="820" w:type="dxa"/>
            <w:vAlign w:val="bottom"/>
          </w:tcPr>
          <w:p>
            <w:pPr>
              <w:jc w:val="center"/>
              <w:ind w:right="372"/>
              <w:spacing w:after="0" w:line="210" w:lineRule="exact"/>
              <w:rPr>
                <w:sz w:val="20"/>
                <w:szCs w:val="20"/>
                <w:color w:val="auto"/>
              </w:rPr>
            </w:pPr>
            <w:r>
              <w:rPr>
                <w:rFonts w:ascii="Calibri" w:cs="Calibri" w:eastAsia="Calibri" w:hAnsi="Calibri"/>
                <w:sz w:val="17"/>
                <w:szCs w:val="17"/>
                <w:color w:val="auto"/>
                <w:w w:val="96"/>
              </w:rPr>
              <w:t>10.7</w:t>
            </w:r>
            <w:r>
              <w:rPr>
                <w:rFonts w:ascii="Calibri" w:cs="Calibri" w:eastAsia="Calibri" w:hAnsi="Calibri"/>
                <w:sz w:val="22"/>
                <w:szCs w:val="22"/>
                <w:color w:val="auto"/>
                <w:w w:val="96"/>
                <w:vertAlign w:val="superscript"/>
              </w:rPr>
              <w:t>†</w:t>
            </w:r>
          </w:p>
        </w:tc>
        <w:tc>
          <w:tcPr>
            <w:tcW w:w="3000" w:type="dxa"/>
            <w:vAlign w:val="bottom"/>
            <w:tcBorders>
              <w:bottom w:val="single" w:sz="8" w:color="0000FF"/>
            </w:tcBorders>
            <w:gridSpan w:val="8"/>
          </w:tcPr>
          <w:p>
            <w:pPr>
              <w:spacing w:after="0" w:line="209" w:lineRule="exact"/>
              <w:rPr>
                <w:rFonts w:ascii="Calibri" w:cs="Calibri" w:eastAsia="Calibri" w:hAnsi="Calibri"/>
                <w:sz w:val="18"/>
                <w:szCs w:val="18"/>
                <w:color w:val="0000FF"/>
                <w:w w:val="96"/>
              </w:rPr>
            </w:pPr>
            <w:hyperlink r:id="rId154">
              <w:r>
                <w:rPr>
                  <w:rFonts w:ascii="Calibri" w:cs="Calibri" w:eastAsia="Calibri" w:hAnsi="Calibri"/>
                  <w:sz w:val="18"/>
                  <w:szCs w:val="18"/>
                  <w:color w:val="0000FF"/>
                  <w:w w:val="96"/>
                </w:rPr>
                <w:t>Exelixis, Inc. 2016 Inducement Award Plan</w:t>
              </w:r>
            </w:hyperlink>
          </w:p>
        </w:tc>
        <w:tc>
          <w:tcPr>
            <w:tcW w:w="520" w:type="dxa"/>
            <w:vAlign w:val="bottom"/>
            <w:gridSpan w:val="12"/>
          </w:tcPr>
          <w:p>
            <w:pPr>
              <w:spacing w:after="0"/>
              <w:rPr>
                <w:sz w:val="18"/>
                <w:szCs w:val="18"/>
                <w:color w:val="auto"/>
              </w:rPr>
            </w:pPr>
          </w:p>
        </w:tc>
      </w:tr>
      <w:tr>
        <w:trPr>
          <w:trHeight w:val="209"/>
        </w:trPr>
        <w:tc>
          <w:tcPr>
            <w:tcW w:w="820" w:type="dxa"/>
            <w:vAlign w:val="bottom"/>
          </w:tcPr>
          <w:p>
            <w:pPr>
              <w:jc w:val="center"/>
              <w:ind w:right="372"/>
              <w:spacing w:after="0" w:line="210" w:lineRule="exact"/>
              <w:rPr>
                <w:sz w:val="20"/>
                <w:szCs w:val="20"/>
                <w:color w:val="auto"/>
              </w:rPr>
            </w:pPr>
            <w:r>
              <w:rPr>
                <w:rFonts w:ascii="Calibri" w:cs="Calibri" w:eastAsia="Calibri" w:hAnsi="Calibri"/>
                <w:sz w:val="17"/>
                <w:szCs w:val="17"/>
                <w:color w:val="auto"/>
                <w:w w:val="96"/>
              </w:rPr>
              <w:t>10.8</w:t>
            </w:r>
            <w:r>
              <w:rPr>
                <w:rFonts w:ascii="Calibri" w:cs="Calibri" w:eastAsia="Calibri" w:hAnsi="Calibri"/>
                <w:sz w:val="22"/>
                <w:szCs w:val="22"/>
                <w:color w:val="auto"/>
                <w:w w:val="96"/>
                <w:vertAlign w:val="superscript"/>
              </w:rPr>
              <w:t>†</w:t>
            </w:r>
          </w:p>
        </w:tc>
        <w:tc>
          <w:tcPr>
            <w:tcW w:w="2780" w:type="dxa"/>
            <w:vAlign w:val="bottom"/>
            <w:tcBorders>
              <w:bottom w:val="single" w:sz="8" w:color="0000FF"/>
            </w:tcBorders>
            <w:gridSpan w:val="6"/>
          </w:tcPr>
          <w:p>
            <w:pPr>
              <w:spacing w:after="0" w:line="209" w:lineRule="exact"/>
              <w:rPr>
                <w:rFonts w:ascii="Calibri" w:cs="Calibri" w:eastAsia="Calibri" w:hAnsi="Calibri"/>
                <w:sz w:val="18"/>
                <w:szCs w:val="18"/>
                <w:color w:val="0000FF"/>
                <w:w w:val="98"/>
              </w:rPr>
            </w:pPr>
            <w:hyperlink r:id="rId155">
              <w:r>
                <w:rPr>
                  <w:rFonts w:ascii="Calibri" w:cs="Calibri" w:eastAsia="Calibri" w:hAnsi="Calibri"/>
                  <w:sz w:val="18"/>
                  <w:szCs w:val="18"/>
                  <w:color w:val="0000FF"/>
                  <w:w w:val="98"/>
                </w:rPr>
                <w:t>Exelixis, Inc. 2017 Equity Incentve Plan</w:t>
              </w:r>
            </w:hyperlink>
          </w:p>
        </w:tc>
        <w:tc>
          <w:tcPr>
            <w:tcW w:w="740" w:type="dxa"/>
            <w:vAlign w:val="bottom"/>
            <w:gridSpan w:val="14"/>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w w:val="96"/>
              </w:rPr>
              <w:t>3.1</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8"/>
              </w:rPr>
              <w:t>8/5/2021</w:t>
            </w:r>
          </w:p>
        </w:tc>
      </w:tr>
      <w:tr>
        <w:trPr>
          <w:trHeight w:val="418"/>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7"/>
              </w:rPr>
              <w:t>4/30/2024</w:t>
            </w:r>
          </w:p>
        </w:tc>
      </w:tr>
      <w:tr>
        <w:trPr>
          <w:trHeight w:val="324"/>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w w:val="99"/>
              </w:rPr>
              <w:t>8-K</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w w:val="96"/>
              </w:rPr>
              <w:t>3.1</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6"/>
              </w:rPr>
              <w:t>12/20/2023</w:t>
            </w:r>
          </w:p>
        </w:tc>
      </w:tr>
      <w:tr>
        <w:trPr>
          <w:trHeight w:val="229"/>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8"/>
              </w:rPr>
              <w:t>8/5/2021</w:t>
            </w:r>
          </w:p>
        </w:tc>
      </w:tr>
      <w:tr>
        <w:trPr>
          <w:trHeight w:val="405"/>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w w:val="96"/>
              </w:rPr>
              <w:t>10-K</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7"/>
              </w:rPr>
              <w:t>2/18/2022</w:t>
            </w:r>
          </w:p>
        </w:tc>
      </w:tr>
      <w:tr>
        <w:trPr>
          <w:trHeight w:val="419"/>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w w:val="96"/>
              </w:rPr>
              <w:t>10-K</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7"/>
              </w:rPr>
              <w:t>2/18/2022</w:t>
            </w:r>
          </w:p>
        </w:tc>
      </w:tr>
      <w:tr>
        <w:trPr>
          <w:trHeight w:val="229"/>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8"/>
              </w:rPr>
              <w:t>8/6/2024</w:t>
            </w:r>
          </w:p>
        </w:tc>
      </w:tr>
      <w:tr>
        <w:trPr>
          <w:trHeight w:val="230"/>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8"/>
              </w:rPr>
              <w:t>8/6/2020</w:t>
            </w:r>
          </w:p>
        </w:tc>
      </w:tr>
      <w:tr>
        <w:trPr>
          <w:trHeight w:val="230"/>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rPr>
              <w:t>10.2</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7"/>
              </w:rPr>
              <w:t>7/31/2014</w:t>
            </w:r>
          </w:p>
        </w:tc>
      </w:tr>
      <w:tr>
        <w:trPr>
          <w:trHeight w:val="418"/>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rPr>
              <w:t>10.4</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7"/>
              </w:rPr>
              <w:t>7/31/2014</w:t>
            </w:r>
          </w:p>
        </w:tc>
      </w:tr>
      <w:tr>
        <w:trPr>
          <w:trHeight w:val="594"/>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rPr>
              <w:t>10.5</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7"/>
              </w:rPr>
              <w:t>7/31/2014</w:t>
            </w:r>
          </w:p>
        </w:tc>
      </w:tr>
      <w:tr>
        <w:trPr>
          <w:trHeight w:val="418"/>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rPr>
              <w:t>10.2</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8"/>
              </w:rPr>
              <w:t>8/6/2020</w:t>
            </w:r>
          </w:p>
        </w:tc>
      </w:tr>
      <w:tr>
        <w:trPr>
          <w:trHeight w:val="230"/>
        </w:trPr>
        <w:tc>
          <w:tcPr>
            <w:tcW w:w="760" w:type="dxa"/>
            <w:vAlign w:val="bottom"/>
          </w:tcPr>
          <w:p>
            <w:pPr>
              <w:jc w:val="center"/>
              <w:ind w:right="310"/>
              <w:spacing w:after="0"/>
              <w:rPr>
                <w:sz w:val="20"/>
                <w:szCs w:val="20"/>
                <w:color w:val="auto"/>
              </w:rPr>
            </w:pPr>
            <w:r>
              <w:rPr>
                <w:rFonts w:ascii="Calibri" w:cs="Calibri" w:eastAsia="Calibri" w:hAnsi="Calibri"/>
                <w:sz w:val="18"/>
                <w:szCs w:val="18"/>
                <w:color w:val="auto"/>
              </w:rPr>
              <w:t>10-Q</w:t>
            </w:r>
          </w:p>
        </w:tc>
        <w:tc>
          <w:tcPr>
            <w:tcW w:w="1560" w:type="dxa"/>
            <w:vAlign w:val="bottom"/>
          </w:tcPr>
          <w:p>
            <w:pPr>
              <w:jc w:val="right"/>
              <w:ind w:right="310"/>
              <w:spacing w:after="0"/>
              <w:rPr>
                <w:sz w:val="20"/>
                <w:szCs w:val="20"/>
                <w:color w:val="auto"/>
              </w:rPr>
            </w:pPr>
            <w:r>
              <w:rPr>
                <w:rFonts w:ascii="Calibri" w:cs="Calibri" w:eastAsia="Calibri" w:hAnsi="Calibri"/>
                <w:sz w:val="18"/>
                <w:szCs w:val="18"/>
                <w:color w:val="auto"/>
              </w:rPr>
              <w:t>000-30235</w:t>
            </w:r>
          </w:p>
        </w:tc>
        <w:tc>
          <w:tcPr>
            <w:tcW w:w="11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240" w:type="dxa"/>
            <w:vAlign w:val="bottom"/>
          </w:tcPr>
          <w:p>
            <w:pPr>
              <w:jc w:val="center"/>
              <w:ind w:left="310"/>
              <w:spacing w:after="0"/>
              <w:rPr>
                <w:sz w:val="20"/>
                <w:szCs w:val="20"/>
                <w:color w:val="auto"/>
              </w:rPr>
            </w:pPr>
            <w:r>
              <w:rPr>
                <w:rFonts w:ascii="Calibri" w:cs="Calibri" w:eastAsia="Calibri" w:hAnsi="Calibri"/>
                <w:sz w:val="18"/>
                <w:szCs w:val="18"/>
                <w:color w:val="auto"/>
                <w:w w:val="98"/>
              </w:rPr>
              <w:t>8/9/2022</w:t>
            </w:r>
          </w:p>
        </w:tc>
      </w:tr>
    </w:tbl>
    <w:p>
      <w:pPr>
        <w:spacing w:after="0" w:line="200" w:lineRule="exact"/>
        <w:rPr>
          <w:sz w:val="20"/>
          <w:szCs w:val="20"/>
          <w:color w:val="auto"/>
        </w:rPr>
      </w:pPr>
    </w:p>
    <w:p>
      <w:pPr>
        <w:sectPr>
          <w:pgSz w:w="11900" w:h="16838" w:orient="portrait"/>
          <w:cols w:equalWidth="0" w:num="2">
            <w:col w:w="4640" w:space="600"/>
            <w:col w:w="5840"/>
          </w:cols>
          <w:pgMar w:left="320" w:top="27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73" w:right="499"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4"/>
          </w:tcPr>
          <w:p>
            <w:pPr>
              <w:ind w:left="380"/>
              <w:spacing w:after="0"/>
              <w:rPr>
                <w:sz w:val="20"/>
                <w:szCs w:val="20"/>
                <w:color w:val="auto"/>
              </w:rPr>
            </w:pPr>
            <w:r>
              <w:rPr>
                <w:rFonts w:ascii="Calibri" w:cs="Calibri" w:eastAsia="Calibri" w:hAnsi="Calibri"/>
                <w:sz w:val="16"/>
                <w:szCs w:val="16"/>
                <w:b w:val="1"/>
                <w:bCs w:val="1"/>
                <w:color w:val="auto"/>
              </w:rPr>
              <w:t>Incorporaton by Reference</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140"/>
              <w:spacing w:after="0" w:line="178" w:lineRule="exact"/>
              <w:rPr>
                <w:sz w:val="20"/>
                <w:szCs w:val="20"/>
                <w:color w:val="auto"/>
              </w:rPr>
            </w:pPr>
            <w:r>
              <w:rPr>
                <w:rFonts w:ascii="Calibri" w:cs="Calibri" w:eastAsia="Calibri" w:hAnsi="Calibri"/>
                <w:sz w:val="16"/>
                <w:szCs w:val="16"/>
                <w:b w:val="1"/>
                <w:bCs w:val="1"/>
                <w:color w:val="auto"/>
                <w:w w:val="98"/>
              </w:rPr>
              <w:t>Exhibit/</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20" w:type="dxa"/>
            <w:vAlign w:val="bottom"/>
            <w:gridSpan w:val="2"/>
          </w:tcPr>
          <w:p>
            <w:pPr>
              <w:jc w:val="center"/>
              <w:ind w:right="120"/>
              <w:spacing w:after="0" w:line="162" w:lineRule="exact"/>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line="162" w:lineRule="exact"/>
              <w:rPr>
                <w:sz w:val="20"/>
                <w:szCs w:val="20"/>
                <w:color w:val="auto"/>
              </w:rPr>
            </w:pPr>
            <w:r>
              <w:rPr>
                <w:rFonts w:ascii="Calibri" w:cs="Calibri" w:eastAsia="Calibri" w:hAnsi="Calibri"/>
                <w:sz w:val="16"/>
                <w:szCs w:val="16"/>
                <w:b w:val="1"/>
                <w:bCs w:val="1"/>
                <w:color w:val="auto"/>
              </w:rPr>
              <w:t>Appendix</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Filed</w:t>
            </w:r>
          </w:p>
        </w:tc>
        <w:tc>
          <w:tcPr>
            <w:tcW w:w="0" w:type="dxa"/>
            <w:vAlign w:val="bottom"/>
          </w:tcPr>
          <w:p>
            <w:pPr>
              <w:spacing w:after="0"/>
              <w:rPr>
                <w:sz w:val="1"/>
                <w:szCs w:val="1"/>
                <w:color w:val="auto"/>
              </w:rPr>
            </w:pPr>
          </w:p>
        </w:tc>
      </w:tr>
      <w:tr>
        <w:trPr>
          <w:trHeight w:val="193"/>
        </w:trPr>
        <w:tc>
          <w:tcPr>
            <w:tcW w:w="1120" w:type="dxa"/>
            <w:vAlign w:val="bottom"/>
            <w:gridSpan w:val="2"/>
          </w:tcPr>
          <w:p>
            <w:pPr>
              <w:jc w:val="center"/>
              <w:ind w:right="1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31"/>
          </w:tcPr>
          <w:p>
            <w:pPr>
              <w:ind w:left="120"/>
              <w:spacing w:after="0" w:line="193" w:lineRule="exact"/>
              <w:rPr>
                <w:sz w:val="20"/>
                <w:szCs w:val="20"/>
                <w:color w:val="auto"/>
              </w:rPr>
            </w:pPr>
            <w:r>
              <w:rPr>
                <w:rFonts w:ascii="Calibri" w:cs="Calibri" w:eastAsia="Calibri" w:hAnsi="Calibri"/>
                <w:sz w:val="16"/>
                <w:szCs w:val="16"/>
                <w:b w:val="1"/>
                <w:bCs w:val="1"/>
                <w:color w:val="auto"/>
              </w:rPr>
              <w:t>Exhibit Descripton</w:t>
            </w:r>
          </w:p>
        </w:tc>
        <w:tc>
          <w:tcPr>
            <w:tcW w:w="1340" w:type="dxa"/>
            <w:vAlign w:val="bottom"/>
            <w:gridSpan w:val="2"/>
          </w:tcPr>
          <w:p>
            <w:pPr>
              <w:jc w:val="center"/>
              <w:ind w:right="140"/>
              <w:spacing w:after="0" w:line="193" w:lineRule="exact"/>
              <w:rPr>
                <w:sz w:val="20"/>
                <w:szCs w:val="20"/>
                <w:color w:val="auto"/>
              </w:rPr>
            </w:pPr>
            <w:r>
              <w:rPr>
                <w:rFonts w:ascii="Calibri" w:cs="Calibri" w:eastAsia="Calibri" w:hAnsi="Calibri"/>
                <w:sz w:val="16"/>
                <w:szCs w:val="16"/>
                <w:b w:val="1"/>
                <w:bCs w:val="1"/>
                <w:color w:val="auto"/>
              </w:rPr>
              <w:t>Form</w:t>
            </w:r>
          </w:p>
        </w:tc>
        <w:tc>
          <w:tcPr>
            <w:tcW w:w="1360" w:type="dxa"/>
            <w:vAlign w:val="bottom"/>
            <w:gridSpan w:val="2"/>
          </w:tcPr>
          <w:p>
            <w:pPr>
              <w:jc w:val="center"/>
              <w:ind w:right="140"/>
              <w:spacing w:after="0" w:line="193" w:lineRule="exact"/>
              <w:rPr>
                <w:sz w:val="20"/>
                <w:szCs w:val="20"/>
                <w:color w:val="auto"/>
              </w:rPr>
            </w:pPr>
            <w:r>
              <w:rPr>
                <w:rFonts w:ascii="Calibri" w:cs="Calibri" w:eastAsia="Calibri" w:hAnsi="Calibri"/>
                <w:sz w:val="16"/>
                <w:szCs w:val="16"/>
                <w:b w:val="1"/>
                <w:bCs w:val="1"/>
                <w:color w:val="auto"/>
              </w:rPr>
              <w:t>File Number</w:t>
            </w:r>
          </w:p>
        </w:tc>
        <w:tc>
          <w:tcPr>
            <w:tcW w:w="1340" w:type="dxa"/>
            <w:vAlign w:val="bottom"/>
            <w:gridSpan w:val="2"/>
          </w:tcPr>
          <w:p>
            <w:pPr>
              <w:jc w:val="center"/>
              <w:ind w:right="140"/>
              <w:spacing w:after="0" w:line="193" w:lineRule="exact"/>
              <w:rPr>
                <w:sz w:val="20"/>
                <w:szCs w:val="20"/>
                <w:color w:val="auto"/>
              </w:rPr>
            </w:pPr>
            <w:r>
              <w:rPr>
                <w:rFonts w:ascii="Calibri" w:cs="Calibri" w:eastAsia="Calibri" w:hAnsi="Calibri"/>
                <w:sz w:val="16"/>
                <w:szCs w:val="16"/>
                <w:b w:val="1"/>
                <w:bCs w:val="1"/>
                <w:color w:val="auto"/>
              </w:rPr>
              <w:t>Reference</w:t>
            </w:r>
          </w:p>
        </w:tc>
        <w:tc>
          <w:tcPr>
            <w:tcW w:w="1240" w:type="dxa"/>
            <w:vAlign w:val="bottom"/>
          </w:tcPr>
          <w:p>
            <w:pPr>
              <w:ind w:left="260"/>
              <w:spacing w:after="0" w:line="193" w:lineRule="exact"/>
              <w:rPr>
                <w:sz w:val="20"/>
                <w:szCs w:val="20"/>
                <w:color w:val="auto"/>
              </w:rPr>
            </w:pPr>
            <w:r>
              <w:rPr>
                <w:rFonts w:ascii="Calibri" w:cs="Calibri" w:eastAsia="Calibri" w:hAnsi="Calibri"/>
                <w:sz w:val="16"/>
                <w:szCs w:val="16"/>
                <w:b w:val="1"/>
                <w:bCs w:val="1"/>
                <w:color w:val="auto"/>
              </w:rPr>
              <w:t>Filing Date</w:t>
            </w:r>
          </w:p>
        </w:tc>
        <w:tc>
          <w:tcPr>
            <w:tcW w:w="120" w:type="dxa"/>
            <w:vAlign w:val="bottom"/>
          </w:tcPr>
          <w:p>
            <w:pPr>
              <w:spacing w:after="0"/>
              <w:rPr>
                <w:sz w:val="16"/>
                <w:szCs w:val="16"/>
                <w:color w:val="auto"/>
              </w:rPr>
            </w:pPr>
          </w:p>
        </w:tc>
        <w:tc>
          <w:tcPr>
            <w:tcW w:w="10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Herewith</w:t>
            </w:r>
          </w:p>
        </w:tc>
        <w:tc>
          <w:tcPr>
            <w:tcW w:w="0" w:type="dxa"/>
            <w:vAlign w:val="bottom"/>
          </w:tcPr>
          <w:p>
            <w:pPr>
              <w:spacing w:after="0"/>
              <w:rPr>
                <w:sz w:val="1"/>
                <w:szCs w:val="1"/>
                <w:color w:val="auto"/>
              </w:rPr>
            </w:pPr>
          </w:p>
        </w:tc>
      </w:tr>
      <w:tr>
        <w:trPr>
          <w:trHeight w:val="28"/>
        </w:trPr>
        <w:tc>
          <w:tcPr>
            <w:tcW w:w="10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center"/>
              <w:spacing w:after="0" w:line="169" w:lineRule="exact"/>
              <w:rPr>
                <w:sz w:val="20"/>
                <w:szCs w:val="20"/>
                <w:color w:val="auto"/>
              </w:rPr>
            </w:pPr>
            <w:r>
              <w:rPr>
                <w:rFonts w:ascii="Calibri" w:cs="Calibri" w:eastAsia="Calibri" w:hAnsi="Calibri"/>
                <w:sz w:val="14"/>
                <w:szCs w:val="14"/>
                <w:color w:val="auto"/>
              </w:rPr>
              <w:t>10.9</w:t>
            </w:r>
            <w:r>
              <w:rPr>
                <w:rFonts w:ascii="Calibri" w:cs="Calibri" w:eastAsia="Calibri" w:hAnsi="Calibri"/>
                <w:sz w:val="18"/>
                <w:szCs w:val="18"/>
                <w:color w:val="auto"/>
                <w:vertAlign w:val="superscript"/>
              </w:rPr>
              <w:t>†</w:t>
            </w:r>
          </w:p>
        </w:tc>
        <w:tc>
          <w:tcPr>
            <w:tcW w:w="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34"/>
          </w:tcPr>
          <w:p>
            <w:pPr>
              <w:spacing w:after="0" w:line="169" w:lineRule="exact"/>
              <w:rPr>
                <w:rFonts w:ascii="Calibri" w:cs="Calibri" w:eastAsia="Calibri" w:hAnsi="Calibri"/>
                <w:sz w:val="18"/>
                <w:szCs w:val="18"/>
                <w:color w:val="0000FF"/>
              </w:rPr>
            </w:pPr>
            <w:hyperlink r:id="rId157">
              <w:r>
                <w:rPr>
                  <w:rFonts w:ascii="Calibri" w:cs="Calibri" w:eastAsia="Calibri" w:hAnsi="Calibri"/>
                  <w:sz w:val="18"/>
                  <w:szCs w:val="18"/>
                  <w:color w:val="0000FF"/>
                </w:rPr>
                <w:t>Form of Stock Opton Agreement under the</w:t>
              </w:r>
            </w:hyperlink>
          </w:p>
        </w:tc>
        <w:tc>
          <w:tcPr>
            <w:tcW w:w="14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Calibri" w:cs="Calibri" w:eastAsia="Calibri" w:hAnsi="Calibri"/>
                <w:sz w:val="18"/>
                <w:szCs w:val="18"/>
                <w:color w:val="auto"/>
                <w:w w:val="96"/>
              </w:rPr>
              <w:t>10-K</w:t>
            </w:r>
          </w:p>
        </w:tc>
        <w:tc>
          <w:tcPr>
            <w:tcW w:w="14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Calibri" w:cs="Calibri" w:eastAsia="Calibri" w:hAnsi="Calibri"/>
                <w:sz w:val="18"/>
                <w:szCs w:val="18"/>
                <w:color w:val="auto"/>
                <w:w w:val="97"/>
              </w:rPr>
              <w:t>10.11</w:t>
            </w:r>
          </w:p>
        </w:tc>
        <w:tc>
          <w:tcPr>
            <w:tcW w:w="14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Calibri" w:cs="Calibri" w:eastAsia="Calibri" w:hAnsi="Calibri"/>
                <w:sz w:val="18"/>
                <w:szCs w:val="18"/>
                <w:color w:val="auto"/>
                <w:w w:val="97"/>
              </w:rPr>
              <w:t>2/11/2021</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9"/>
          </w:tcPr>
          <w:p>
            <w:pPr>
              <w:spacing w:after="0" w:line="156" w:lineRule="exact"/>
              <w:rPr>
                <w:rFonts w:ascii="Calibri" w:cs="Calibri" w:eastAsia="Calibri" w:hAnsi="Calibri"/>
                <w:sz w:val="16"/>
                <w:szCs w:val="16"/>
                <w:color w:val="0000FF"/>
              </w:rPr>
            </w:pPr>
            <w:hyperlink r:id="rId157">
              <w:r>
                <w:rPr>
                  <w:rFonts w:ascii="Calibri" w:cs="Calibri" w:eastAsia="Calibri" w:hAnsi="Calibri"/>
                  <w:sz w:val="16"/>
                  <w:szCs w:val="16"/>
                  <w:color w:val="0000FF"/>
                </w:rPr>
                <w:t>Exelixis, Inc. 2017 Equity Incentve Plan</w:t>
              </w:r>
            </w:hyperlink>
          </w:p>
        </w:tc>
        <w:tc>
          <w:tcPr>
            <w:tcW w:w="34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right="120"/>
              <w:spacing w:after="0" w:line="223" w:lineRule="exact"/>
              <w:rPr>
                <w:sz w:val="20"/>
                <w:szCs w:val="20"/>
                <w:color w:val="auto"/>
              </w:rPr>
            </w:pPr>
            <w:r>
              <w:rPr>
                <w:rFonts w:ascii="Calibri" w:cs="Calibri" w:eastAsia="Calibri" w:hAnsi="Calibri"/>
                <w:sz w:val="18"/>
                <w:szCs w:val="18"/>
                <w:color w:val="auto"/>
                <w:w w:val="90"/>
              </w:rPr>
              <w:t>10.10</w:t>
            </w:r>
            <w:r>
              <w:rPr>
                <w:rFonts w:ascii="Calibri" w:cs="Calibri" w:eastAsia="Calibri" w:hAnsi="Calibri"/>
                <w:sz w:val="23"/>
                <w:szCs w:val="23"/>
                <w:color w:val="auto"/>
                <w:w w:val="90"/>
                <w:vertAlign w:val="superscript"/>
              </w:rPr>
              <w:t>†</w:t>
            </w: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58">
              <w:r>
                <w:rPr>
                  <w:rFonts w:ascii="Calibri" w:cs="Calibri" w:eastAsia="Calibri" w:hAnsi="Calibri"/>
                  <w:sz w:val="18"/>
                  <w:szCs w:val="18"/>
                  <w:color w:val="0000FF"/>
                </w:rPr>
                <w:t>Form of Stock Opton Agreement (Non-Employee</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w w:val="97"/>
              </w:rPr>
              <w:t>10.22</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7"/>
              </w:rPr>
              <w:t>2/26/2018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33"/>
          </w:tcPr>
          <w:p>
            <w:pPr>
              <w:spacing w:after="0" w:line="156" w:lineRule="exact"/>
              <w:rPr>
                <w:rFonts w:ascii="Calibri" w:cs="Calibri" w:eastAsia="Calibri" w:hAnsi="Calibri"/>
                <w:sz w:val="16"/>
                <w:szCs w:val="16"/>
                <w:color w:val="0000FF"/>
              </w:rPr>
            </w:pPr>
            <w:hyperlink r:id="rId158">
              <w:r>
                <w:rPr>
                  <w:rFonts w:ascii="Calibri" w:cs="Calibri" w:eastAsia="Calibri" w:hAnsi="Calibri"/>
                  <w:sz w:val="16"/>
                  <w:szCs w:val="16"/>
                  <w:color w:val="0000FF"/>
                </w:rPr>
                <w:t>Director) under the Exelixis, Inc. 2017 Equity</w:t>
              </w:r>
            </w:hyperlink>
          </w:p>
        </w:tc>
        <w:tc>
          <w:tcPr>
            <w:tcW w:w="18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FF"/>
            </w:tcBorders>
            <w:gridSpan w:val="19"/>
          </w:tcPr>
          <w:p>
            <w:pPr>
              <w:spacing w:after="0" w:line="169" w:lineRule="exact"/>
              <w:rPr>
                <w:rFonts w:ascii="Calibri" w:cs="Calibri" w:eastAsia="Calibri" w:hAnsi="Calibri"/>
                <w:sz w:val="18"/>
                <w:szCs w:val="18"/>
                <w:color w:val="0000FF"/>
              </w:rPr>
            </w:pPr>
            <w:hyperlink r:id="rId158">
              <w:r>
                <w:rPr>
                  <w:rFonts w:ascii="Calibri" w:cs="Calibri" w:eastAsia="Calibri" w:hAnsi="Calibri"/>
                  <w:sz w:val="18"/>
                  <w:szCs w:val="18"/>
                  <w:color w:val="0000FF"/>
                </w:rPr>
                <w:t>Incentve Plan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jc w:val="center"/>
              <w:ind w:right="120"/>
              <w:spacing w:after="0" w:line="230" w:lineRule="exact"/>
              <w:rPr>
                <w:sz w:val="20"/>
                <w:szCs w:val="20"/>
                <w:color w:val="auto"/>
              </w:rPr>
            </w:pPr>
            <w:r>
              <w:rPr>
                <w:rFonts w:ascii="Calibri" w:cs="Calibri" w:eastAsia="Calibri" w:hAnsi="Calibri"/>
                <w:sz w:val="18"/>
                <w:szCs w:val="18"/>
                <w:color w:val="auto"/>
                <w:w w:val="90"/>
              </w:rPr>
              <w:t>10.11</w:t>
            </w:r>
            <w:r>
              <w:rPr>
                <w:rFonts w:ascii="Calibri" w:cs="Calibri" w:eastAsia="Calibri" w:hAnsi="Calibri"/>
                <w:sz w:val="23"/>
                <w:szCs w:val="23"/>
                <w:color w:val="auto"/>
                <w:w w:val="90"/>
                <w:vertAlign w:val="superscript"/>
              </w:rPr>
              <w:t>†</w:t>
            </w: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5"/>
          </w:tcPr>
          <w:p>
            <w:pPr>
              <w:spacing w:after="0" w:line="209" w:lineRule="exact"/>
              <w:rPr>
                <w:rFonts w:ascii="Calibri" w:cs="Calibri" w:eastAsia="Calibri" w:hAnsi="Calibri"/>
                <w:sz w:val="18"/>
                <w:szCs w:val="18"/>
                <w:color w:val="0000FF"/>
              </w:rPr>
            </w:pPr>
            <w:hyperlink r:id="rId159">
              <w:r>
                <w:rPr>
                  <w:rFonts w:ascii="Calibri" w:cs="Calibri" w:eastAsia="Calibri" w:hAnsi="Calibri"/>
                  <w:sz w:val="18"/>
                  <w:szCs w:val="18"/>
                  <w:color w:val="0000FF"/>
                </w:rPr>
                <w:t>Form of Restricted Stock Unit Agreement under</w:t>
              </w:r>
            </w:hyperlink>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10.5</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8/6/2020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15"/>
          </w:tcPr>
          <w:p>
            <w:pPr>
              <w:spacing w:after="0" w:line="156" w:lineRule="exact"/>
              <w:rPr>
                <w:rFonts w:ascii="Calibri" w:cs="Calibri" w:eastAsia="Calibri" w:hAnsi="Calibri"/>
                <w:sz w:val="16"/>
                <w:szCs w:val="16"/>
                <w:color w:val="0000FF"/>
              </w:rPr>
            </w:pPr>
            <w:hyperlink r:id="rId159">
              <w:r>
                <w:rPr>
                  <w:rFonts w:ascii="Calibri" w:cs="Calibri" w:eastAsia="Calibri" w:hAnsi="Calibri"/>
                  <w:sz w:val="16"/>
                  <w:szCs w:val="16"/>
                  <w:color w:val="0000FF"/>
                </w:rPr>
                <w:t>the Exelixis, Inc. 2017 Equity Incentve Plan</w:t>
              </w:r>
            </w:hyperlink>
          </w:p>
        </w:tc>
        <w:tc>
          <w:tcPr>
            <w:tcW w:w="3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right="120"/>
              <w:spacing w:after="0" w:line="223" w:lineRule="exact"/>
              <w:rPr>
                <w:sz w:val="20"/>
                <w:szCs w:val="20"/>
                <w:color w:val="auto"/>
              </w:rPr>
            </w:pPr>
            <w:r>
              <w:rPr>
                <w:rFonts w:ascii="Calibri" w:cs="Calibri" w:eastAsia="Calibri" w:hAnsi="Calibri"/>
                <w:sz w:val="18"/>
                <w:szCs w:val="18"/>
                <w:color w:val="auto"/>
                <w:w w:val="90"/>
              </w:rPr>
              <w:t>10.12</w:t>
            </w:r>
            <w:r>
              <w:rPr>
                <w:rFonts w:ascii="Calibri" w:cs="Calibri" w:eastAsia="Calibri" w:hAnsi="Calibri"/>
                <w:sz w:val="23"/>
                <w:szCs w:val="23"/>
                <w:color w:val="auto"/>
                <w:w w:val="90"/>
                <w:vertAlign w:val="superscript"/>
              </w:rPr>
              <w:t>†</w:t>
            </w: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60">
              <w:r>
                <w:rPr>
                  <w:rFonts w:ascii="Calibri" w:cs="Calibri" w:eastAsia="Calibri" w:hAnsi="Calibri"/>
                  <w:sz w:val="18"/>
                  <w:szCs w:val="18"/>
                  <w:color w:val="0000FF"/>
                </w:rPr>
                <w:t>Form of Restricted Stock Unit Agreement (Non-</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rPr>
              <w:t>10.6</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8/6/2020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27"/>
          </w:tcPr>
          <w:p>
            <w:pPr>
              <w:spacing w:after="0" w:line="156" w:lineRule="exact"/>
              <w:rPr>
                <w:rFonts w:ascii="Calibri" w:cs="Calibri" w:eastAsia="Calibri" w:hAnsi="Calibri"/>
                <w:sz w:val="16"/>
                <w:szCs w:val="16"/>
                <w:color w:val="0000FF"/>
              </w:rPr>
            </w:pPr>
            <w:hyperlink r:id="rId160">
              <w:r>
                <w:rPr>
                  <w:rFonts w:ascii="Calibri" w:cs="Calibri" w:eastAsia="Calibri" w:hAnsi="Calibri"/>
                  <w:sz w:val="16"/>
                  <w:szCs w:val="16"/>
                  <w:color w:val="0000FF"/>
                </w:rPr>
                <w:t>Employee Director) under the Exelixis, Inc. 2017</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0000FF"/>
            </w:tcBorders>
            <w:gridSpan w:val="6"/>
          </w:tcPr>
          <w:p>
            <w:pPr>
              <w:spacing w:after="0" w:line="169" w:lineRule="exact"/>
              <w:rPr>
                <w:rFonts w:ascii="Calibri" w:cs="Calibri" w:eastAsia="Calibri" w:hAnsi="Calibri"/>
                <w:sz w:val="18"/>
                <w:szCs w:val="18"/>
                <w:color w:val="0000FF"/>
                <w:w w:val="99"/>
              </w:rPr>
            </w:pPr>
            <w:hyperlink r:id="rId160">
              <w:r>
                <w:rPr>
                  <w:rFonts w:ascii="Calibri" w:cs="Calibri" w:eastAsia="Calibri" w:hAnsi="Calibri"/>
                  <w:sz w:val="18"/>
                  <w:szCs w:val="18"/>
                  <w:color w:val="0000FF"/>
                  <w:w w:val="99"/>
                </w:rPr>
                <w:t>Equity Incentve Plan</w:t>
              </w:r>
            </w:hyperlink>
          </w:p>
        </w:tc>
        <w:tc>
          <w:tcPr>
            <w:tcW w:w="1920" w:type="dxa"/>
            <w:vAlign w:val="bottom"/>
            <w:gridSpan w:val="2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center"/>
              <w:ind w:right="120"/>
              <w:spacing w:after="0" w:line="210" w:lineRule="exact"/>
              <w:rPr>
                <w:sz w:val="20"/>
                <w:szCs w:val="20"/>
                <w:color w:val="auto"/>
              </w:rPr>
            </w:pPr>
            <w:r>
              <w:rPr>
                <w:rFonts w:ascii="Calibri" w:cs="Calibri" w:eastAsia="Calibri" w:hAnsi="Calibri"/>
                <w:sz w:val="17"/>
                <w:szCs w:val="17"/>
                <w:color w:val="auto"/>
                <w:w w:val="95"/>
              </w:rPr>
              <w:t>10.13</w:t>
            </w:r>
            <w:r>
              <w:rPr>
                <w:rFonts w:ascii="Calibri" w:cs="Calibri" w:eastAsia="Calibri" w:hAnsi="Calibri"/>
                <w:sz w:val="22"/>
                <w:szCs w:val="22"/>
                <w:color w:val="auto"/>
                <w:w w:val="95"/>
                <w:vertAlign w:val="superscript"/>
              </w:rPr>
              <w:t>†</w:t>
            </w:r>
          </w:p>
        </w:tc>
        <w:tc>
          <w:tcPr>
            <w:tcW w:w="20" w:type="dxa"/>
            <w:vAlign w:val="bottom"/>
          </w:tcPr>
          <w:p>
            <w:pPr>
              <w:spacing w:after="0"/>
              <w:rPr>
                <w:sz w:val="18"/>
                <w:szCs w:val="18"/>
                <w:color w:val="auto"/>
              </w:rPr>
            </w:pPr>
          </w:p>
        </w:tc>
        <w:tc>
          <w:tcPr>
            <w:tcW w:w="3680" w:type="dxa"/>
            <w:vAlign w:val="bottom"/>
            <w:gridSpan w:val="35"/>
          </w:tcPr>
          <w:p>
            <w:pPr>
              <w:spacing w:after="0" w:line="209" w:lineRule="exact"/>
              <w:rPr>
                <w:rFonts w:ascii="Calibri" w:cs="Calibri" w:eastAsia="Calibri" w:hAnsi="Calibri"/>
                <w:sz w:val="18"/>
                <w:szCs w:val="18"/>
                <w:color w:val="0000FF"/>
              </w:rPr>
            </w:pPr>
            <w:hyperlink r:id="rId161">
              <w:r>
                <w:rPr>
                  <w:rFonts w:ascii="Calibri" w:cs="Calibri" w:eastAsia="Calibri" w:hAnsi="Calibri"/>
                  <w:sz w:val="18"/>
                  <w:szCs w:val="18"/>
                  <w:color w:val="0000FF"/>
                </w:rPr>
                <w:t>Non-Employee Director Equity Compensaton</w:t>
              </w:r>
            </w:hyperlink>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10.4</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5/5/2020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23"/>
          </w:tcPr>
          <w:p>
            <w:pPr>
              <w:spacing w:after="0" w:line="156" w:lineRule="exact"/>
              <w:rPr>
                <w:rFonts w:ascii="Calibri" w:cs="Calibri" w:eastAsia="Calibri" w:hAnsi="Calibri"/>
                <w:sz w:val="16"/>
                <w:szCs w:val="16"/>
                <w:color w:val="0000FF"/>
              </w:rPr>
            </w:pPr>
            <w:hyperlink r:id="rId161">
              <w:r>
                <w:rPr>
                  <w:rFonts w:ascii="Calibri" w:cs="Calibri" w:eastAsia="Calibri" w:hAnsi="Calibri"/>
                  <w:sz w:val="16"/>
                  <w:szCs w:val="16"/>
                  <w:color w:val="0000FF"/>
                </w:rPr>
                <w:t>Policy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jc w:val="center"/>
              <w:ind w:right="120"/>
              <w:spacing w:after="0" w:line="243" w:lineRule="exact"/>
              <w:rPr>
                <w:sz w:val="20"/>
                <w:szCs w:val="20"/>
                <w:color w:val="auto"/>
              </w:rPr>
            </w:pPr>
            <w:r>
              <w:rPr>
                <w:rFonts w:ascii="Calibri" w:cs="Calibri" w:eastAsia="Calibri" w:hAnsi="Calibri"/>
                <w:sz w:val="18"/>
                <w:szCs w:val="18"/>
                <w:color w:val="auto"/>
                <w:w w:val="90"/>
              </w:rPr>
              <w:t>10.14</w:t>
            </w:r>
            <w:r>
              <w:rPr>
                <w:rFonts w:ascii="Calibri" w:cs="Calibri" w:eastAsia="Calibri" w:hAnsi="Calibri"/>
                <w:sz w:val="23"/>
                <w:szCs w:val="23"/>
                <w:color w:val="auto"/>
                <w:w w:val="90"/>
                <w:vertAlign w:val="superscript"/>
              </w:rPr>
              <w:t>†</w:t>
            </w: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62">
              <w:r>
                <w:rPr>
                  <w:rFonts w:ascii="Calibri" w:cs="Calibri" w:eastAsia="Calibri" w:hAnsi="Calibri"/>
                  <w:sz w:val="18"/>
                  <w:szCs w:val="18"/>
                  <w:color w:val="0000FF"/>
                </w:rPr>
                <w:t>Ofer Leter Agreement, dated February 3, 2000,</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w w:val="97"/>
              </w:rPr>
              <w:t>10.43</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8/5/2004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31"/>
          </w:tcPr>
          <w:p>
            <w:pPr>
              <w:spacing w:after="0" w:line="156" w:lineRule="exact"/>
              <w:rPr>
                <w:rFonts w:ascii="Calibri" w:cs="Calibri" w:eastAsia="Calibri" w:hAnsi="Calibri"/>
                <w:sz w:val="16"/>
                <w:szCs w:val="16"/>
                <w:color w:val="0000FF"/>
              </w:rPr>
            </w:pPr>
            <w:hyperlink r:id="rId162">
              <w:r>
                <w:rPr>
                  <w:rFonts w:ascii="Calibri" w:cs="Calibri" w:eastAsia="Calibri" w:hAnsi="Calibri"/>
                  <w:sz w:val="16"/>
                  <w:szCs w:val="16"/>
                  <w:color w:val="0000FF"/>
                </w:rPr>
                <w:t>between Exelixis, Inc. and Michael Morrissey,</w:t>
              </w:r>
            </w:hyperlink>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tcBorders>
            <w:gridSpan w:val="22"/>
          </w:tcPr>
          <w:p>
            <w:pPr>
              <w:spacing w:after="0" w:line="169" w:lineRule="exact"/>
              <w:rPr>
                <w:rFonts w:ascii="Calibri" w:cs="Calibri" w:eastAsia="Calibri" w:hAnsi="Calibri"/>
                <w:sz w:val="18"/>
                <w:szCs w:val="18"/>
                <w:color w:val="0000FF"/>
              </w:rPr>
            </w:pPr>
            <w:hyperlink r:id="rId162">
              <w:r>
                <w:rPr>
                  <w:rFonts w:ascii="Calibri" w:cs="Calibri" w:eastAsia="Calibri" w:hAnsi="Calibri"/>
                  <w:sz w:val="18"/>
                  <w:szCs w:val="18"/>
                  <w:color w:val="0000FF"/>
                </w:rPr>
                <w:t>Ph.D.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0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jc w:val="center"/>
              <w:ind w:right="120"/>
              <w:spacing w:after="0" w:line="230" w:lineRule="exact"/>
              <w:rPr>
                <w:sz w:val="20"/>
                <w:szCs w:val="20"/>
                <w:color w:val="auto"/>
              </w:rPr>
            </w:pPr>
            <w:r>
              <w:rPr>
                <w:rFonts w:ascii="Calibri" w:cs="Calibri" w:eastAsia="Calibri" w:hAnsi="Calibri"/>
                <w:sz w:val="18"/>
                <w:szCs w:val="18"/>
                <w:color w:val="auto"/>
                <w:w w:val="90"/>
              </w:rPr>
              <w:t>10.15</w:t>
            </w:r>
            <w:r>
              <w:rPr>
                <w:rFonts w:ascii="Calibri" w:cs="Calibri" w:eastAsia="Calibri" w:hAnsi="Calibri"/>
                <w:sz w:val="23"/>
                <w:szCs w:val="23"/>
                <w:color w:val="auto"/>
                <w:w w:val="90"/>
                <w:vertAlign w:val="superscript"/>
              </w:rPr>
              <w:t>†</w:t>
            </w: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tcBorders>
              <w:bottom w:val="single" w:sz="8" w:color="0000FF"/>
            </w:tcBorders>
            <w:gridSpan w:val="16"/>
          </w:tcPr>
          <w:p>
            <w:pPr>
              <w:spacing w:after="0" w:line="209" w:lineRule="exact"/>
              <w:rPr>
                <w:rFonts w:ascii="Calibri" w:cs="Calibri" w:eastAsia="Calibri" w:hAnsi="Calibri"/>
                <w:sz w:val="18"/>
                <w:szCs w:val="18"/>
                <w:color w:val="0000FF"/>
              </w:rPr>
            </w:pPr>
            <w:hyperlink r:id="rId163">
              <w:r>
                <w:rPr>
                  <w:rFonts w:ascii="Calibri" w:cs="Calibri" w:eastAsia="Calibri" w:hAnsi="Calibri"/>
                  <w:sz w:val="18"/>
                  <w:szCs w:val="18"/>
                  <w:color w:val="0000FF"/>
                </w:rPr>
                <w:t>Ofer Leter Agreement, dated July 1, 2015,</w:t>
              </w:r>
            </w:hyperlink>
          </w:p>
        </w:tc>
        <w:tc>
          <w:tcPr>
            <w:tcW w:w="600" w:type="dxa"/>
            <w:vAlign w:val="bottom"/>
            <w:gridSpan w:val="19"/>
          </w:tcPr>
          <w:p>
            <w:pPr>
              <w:spacing w:after="0"/>
              <w:rPr>
                <w:sz w:val="18"/>
                <w:szCs w:val="18"/>
                <w:color w:val="auto"/>
              </w:rPr>
            </w:pPr>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10.5</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11/10/2015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bottom w:val="single" w:sz="8" w:color="0000FF"/>
            </w:tcBorders>
            <w:gridSpan w:val="25"/>
          </w:tcPr>
          <w:p>
            <w:pPr>
              <w:spacing w:after="0" w:line="156" w:lineRule="exact"/>
              <w:rPr>
                <w:rFonts w:ascii="Calibri" w:cs="Calibri" w:eastAsia="Calibri" w:hAnsi="Calibri"/>
                <w:sz w:val="16"/>
                <w:szCs w:val="16"/>
                <w:color w:val="0000FF"/>
              </w:rPr>
            </w:pPr>
            <w:hyperlink r:id="rId163">
              <w:r>
                <w:rPr>
                  <w:rFonts w:ascii="Calibri" w:cs="Calibri" w:eastAsia="Calibri" w:hAnsi="Calibri"/>
                  <w:sz w:val="16"/>
                  <w:szCs w:val="16"/>
                  <w:color w:val="0000FF"/>
                </w:rPr>
                <w:t>between Exelixis, Inc. and Christopher Senner</w:t>
              </w:r>
            </w:hyperlink>
          </w:p>
        </w:tc>
        <w:tc>
          <w:tcPr>
            <w:tcW w:w="400" w:type="dxa"/>
            <w:vAlign w:val="bottom"/>
            <w:gridSpan w:val="10"/>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right="120"/>
              <w:spacing w:after="0" w:line="223" w:lineRule="exact"/>
              <w:rPr>
                <w:sz w:val="20"/>
                <w:szCs w:val="20"/>
                <w:color w:val="auto"/>
              </w:rPr>
            </w:pPr>
            <w:r>
              <w:rPr>
                <w:rFonts w:ascii="Calibri" w:cs="Calibri" w:eastAsia="Calibri" w:hAnsi="Calibri"/>
                <w:sz w:val="18"/>
                <w:szCs w:val="18"/>
                <w:color w:val="auto"/>
                <w:w w:val="90"/>
              </w:rPr>
              <w:t>10.16</w:t>
            </w:r>
            <w:r>
              <w:rPr>
                <w:rFonts w:ascii="Calibri" w:cs="Calibri" w:eastAsia="Calibri" w:hAnsi="Calibri"/>
                <w:sz w:val="23"/>
                <w:szCs w:val="23"/>
                <w:color w:val="auto"/>
                <w:w w:val="90"/>
                <w:vertAlign w:val="superscript"/>
              </w:rPr>
              <w:t>†</w:t>
            </w: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64">
              <w:r>
                <w:rPr>
                  <w:rFonts w:ascii="Calibri" w:cs="Calibri" w:eastAsia="Calibri" w:hAnsi="Calibri"/>
                  <w:sz w:val="18"/>
                  <w:szCs w:val="18"/>
                  <w:color w:val="0000FF"/>
                </w:rPr>
                <w:t>Ofer Leter Agreement, dated August 27, 2023,</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w w:val="97"/>
              </w:rPr>
              <w:t>10.18</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2/6/2024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4"/>
          </w:tcPr>
          <w:p>
            <w:pPr>
              <w:spacing w:after="0" w:line="156" w:lineRule="exact"/>
              <w:rPr>
                <w:rFonts w:ascii="Calibri" w:cs="Calibri" w:eastAsia="Calibri" w:hAnsi="Calibri"/>
                <w:sz w:val="16"/>
                <w:szCs w:val="16"/>
                <w:color w:val="0000FF"/>
              </w:rPr>
            </w:pPr>
            <w:hyperlink r:id="rId164">
              <w:r>
                <w:rPr>
                  <w:rFonts w:ascii="Calibri" w:cs="Calibri" w:eastAsia="Calibri" w:hAnsi="Calibri"/>
                  <w:sz w:val="16"/>
                  <w:szCs w:val="16"/>
                  <w:color w:val="0000FF"/>
                </w:rPr>
                <w:t>between Exelixis, Inc. and Amy C. Peterson</w:t>
              </w:r>
            </w:hyperlink>
          </w:p>
        </w:tc>
        <w:tc>
          <w:tcPr>
            <w:tcW w:w="360" w:type="dxa"/>
            <w:vAlign w:val="bottom"/>
            <w:tcBorders>
              <w:top w:val="single" w:sz="8" w:color="0000FF"/>
            </w:tcBorders>
            <w:gridSpan w:val="15"/>
          </w:tcPr>
          <w:p>
            <w:pPr>
              <w:spacing w:after="0"/>
              <w:rPr>
                <w:sz w:val="13"/>
                <w:szCs w:val="13"/>
                <w:color w:val="auto"/>
              </w:rPr>
            </w:pPr>
          </w:p>
        </w:tc>
        <w:tc>
          <w:tcPr>
            <w:tcW w:w="8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right="120"/>
              <w:spacing w:after="0" w:line="223" w:lineRule="exact"/>
              <w:rPr>
                <w:sz w:val="20"/>
                <w:szCs w:val="20"/>
                <w:color w:val="auto"/>
              </w:rPr>
            </w:pPr>
            <w:r>
              <w:rPr>
                <w:rFonts w:ascii="Calibri" w:cs="Calibri" w:eastAsia="Calibri" w:hAnsi="Calibri"/>
                <w:sz w:val="18"/>
                <w:szCs w:val="18"/>
                <w:color w:val="auto"/>
                <w:w w:val="90"/>
              </w:rPr>
              <w:t>10.17</w:t>
            </w:r>
            <w:r>
              <w:rPr>
                <w:rFonts w:ascii="Calibri" w:cs="Calibri" w:eastAsia="Calibri" w:hAnsi="Calibri"/>
                <w:sz w:val="23"/>
                <w:szCs w:val="23"/>
                <w:color w:val="auto"/>
                <w:w w:val="90"/>
                <w:vertAlign w:val="superscript"/>
              </w:rPr>
              <w:t>†</w:t>
            </w: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65">
              <w:r>
                <w:rPr>
                  <w:rFonts w:ascii="Calibri" w:cs="Calibri" w:eastAsia="Calibri" w:hAnsi="Calibri"/>
                  <w:sz w:val="18"/>
                  <w:szCs w:val="18"/>
                  <w:color w:val="0000FF"/>
                </w:rPr>
                <w:t>Ofer Leter Agreement, dated February 10,</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rPr>
              <w:t>10.4</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5/1/2014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tcBorders>
            <w:gridSpan w:val="17"/>
          </w:tcPr>
          <w:p>
            <w:pPr>
              <w:spacing w:after="0" w:line="156" w:lineRule="exact"/>
              <w:rPr>
                <w:rFonts w:ascii="Calibri" w:cs="Calibri" w:eastAsia="Calibri" w:hAnsi="Calibri"/>
                <w:sz w:val="16"/>
                <w:szCs w:val="16"/>
                <w:color w:val="0000FF"/>
              </w:rPr>
            </w:pPr>
            <w:hyperlink r:id="rId165">
              <w:r>
                <w:rPr>
                  <w:rFonts w:ascii="Calibri" w:cs="Calibri" w:eastAsia="Calibri" w:hAnsi="Calibri"/>
                  <w:sz w:val="16"/>
                  <w:szCs w:val="16"/>
                  <w:color w:val="0000FF"/>
                </w:rPr>
                <w:t>2014, between Exelixis, Inc. and Jefrey J.</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tcBorders>
              <w:top w:val="single" w:sz="8" w:color="0000FF"/>
            </w:tcBorders>
            <w:gridSpan w:val="11"/>
          </w:tcPr>
          <w:p>
            <w:pPr>
              <w:spacing w:after="0" w:line="169" w:lineRule="exact"/>
              <w:rPr>
                <w:rFonts w:ascii="Calibri" w:cs="Calibri" w:eastAsia="Calibri" w:hAnsi="Calibri"/>
                <w:sz w:val="18"/>
                <w:szCs w:val="18"/>
                <w:color w:val="0000FF"/>
              </w:rPr>
            </w:pPr>
            <w:hyperlink r:id="rId165">
              <w:r>
                <w:rPr>
                  <w:rFonts w:ascii="Calibri" w:cs="Calibri" w:eastAsia="Calibri" w:hAnsi="Calibri"/>
                  <w:sz w:val="18"/>
                  <w:szCs w:val="18"/>
                  <w:color w:val="0000FF"/>
                </w:rPr>
                <w:t>Hessekiel.</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6"/>
          </w:tcPr>
          <w:p>
            <w:pPr>
              <w:spacing w:after="0"/>
              <w:rPr>
                <w:sz w:val="14"/>
                <w:szCs w:val="14"/>
                <w:color w:val="auto"/>
              </w:rPr>
            </w:pPr>
          </w:p>
        </w:tc>
        <w:tc>
          <w:tcPr>
            <w:tcW w:w="20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jc w:val="center"/>
              <w:ind w:right="120"/>
              <w:spacing w:after="0" w:line="230" w:lineRule="exact"/>
              <w:rPr>
                <w:sz w:val="20"/>
                <w:szCs w:val="20"/>
                <w:color w:val="auto"/>
              </w:rPr>
            </w:pPr>
            <w:r>
              <w:rPr>
                <w:rFonts w:ascii="Calibri" w:cs="Calibri" w:eastAsia="Calibri" w:hAnsi="Calibri"/>
                <w:sz w:val="18"/>
                <w:szCs w:val="18"/>
                <w:color w:val="auto"/>
                <w:w w:val="90"/>
              </w:rPr>
              <w:t>10.18</w:t>
            </w:r>
            <w:r>
              <w:rPr>
                <w:rFonts w:ascii="Calibri" w:cs="Calibri" w:eastAsia="Calibri" w:hAnsi="Calibri"/>
                <w:sz w:val="23"/>
                <w:szCs w:val="23"/>
                <w:color w:val="auto"/>
                <w:w w:val="90"/>
                <w:vertAlign w:val="superscript"/>
              </w:rPr>
              <w:t>†</w:t>
            </w: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5"/>
          </w:tcPr>
          <w:p>
            <w:pPr>
              <w:spacing w:after="0" w:line="209" w:lineRule="exact"/>
              <w:rPr>
                <w:rFonts w:ascii="Calibri" w:cs="Calibri" w:eastAsia="Calibri" w:hAnsi="Calibri"/>
                <w:sz w:val="18"/>
                <w:szCs w:val="18"/>
                <w:color w:val="0000FF"/>
              </w:rPr>
            </w:pPr>
            <w:hyperlink r:id="rId166">
              <w:r>
                <w:rPr>
                  <w:rFonts w:ascii="Calibri" w:cs="Calibri" w:eastAsia="Calibri" w:hAnsi="Calibri"/>
                  <w:sz w:val="18"/>
                  <w:szCs w:val="18"/>
                  <w:color w:val="0000FF"/>
                </w:rPr>
                <w:t>Terms of Employment Ofer, dated December 15,</w:t>
              </w:r>
            </w:hyperlink>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10.20</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2/7/2023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7"/>
          </w:tcPr>
          <w:p>
            <w:pPr>
              <w:spacing w:after="0" w:line="156" w:lineRule="exact"/>
              <w:rPr>
                <w:rFonts w:ascii="Calibri" w:cs="Calibri" w:eastAsia="Calibri" w:hAnsi="Calibri"/>
                <w:sz w:val="16"/>
                <w:szCs w:val="16"/>
                <w:color w:val="0000FF"/>
              </w:rPr>
            </w:pPr>
            <w:hyperlink r:id="rId166">
              <w:r>
                <w:rPr>
                  <w:rFonts w:ascii="Calibri" w:cs="Calibri" w:eastAsia="Calibri" w:hAnsi="Calibri"/>
                  <w:sz w:val="16"/>
                  <w:szCs w:val="16"/>
                  <w:color w:val="0000FF"/>
                </w:rPr>
                <w:t>2022, for Dana T. Afab, Ph.D.</w:t>
              </w:r>
            </w:hyperlink>
          </w:p>
        </w:tc>
        <w:tc>
          <w:tcPr>
            <w:tcW w:w="1380" w:type="dxa"/>
            <w:vAlign w:val="bottom"/>
            <w:tcBorders>
              <w:top w:val="single" w:sz="8" w:color="0000FF"/>
            </w:tcBorders>
            <w:gridSpan w:val="25"/>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right="120"/>
              <w:spacing w:after="0" w:line="223" w:lineRule="exact"/>
              <w:rPr>
                <w:sz w:val="20"/>
                <w:szCs w:val="20"/>
                <w:color w:val="auto"/>
              </w:rPr>
            </w:pPr>
            <w:r>
              <w:rPr>
                <w:rFonts w:ascii="Calibri" w:cs="Calibri" w:eastAsia="Calibri" w:hAnsi="Calibri"/>
                <w:sz w:val="18"/>
                <w:szCs w:val="18"/>
                <w:color w:val="auto"/>
                <w:w w:val="90"/>
              </w:rPr>
              <w:t>10.19</w:t>
            </w:r>
            <w:r>
              <w:rPr>
                <w:rFonts w:ascii="Calibri" w:cs="Calibri" w:eastAsia="Calibri" w:hAnsi="Calibri"/>
                <w:sz w:val="23"/>
                <w:szCs w:val="23"/>
                <w:color w:val="auto"/>
                <w:w w:val="90"/>
                <w:vertAlign w:val="superscript"/>
              </w:rPr>
              <w:t>†</w:t>
            </w: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67">
              <w:r>
                <w:rPr>
                  <w:rFonts w:ascii="Calibri" w:cs="Calibri" w:eastAsia="Calibri" w:hAnsi="Calibri"/>
                  <w:sz w:val="18"/>
                  <w:szCs w:val="18"/>
                  <w:color w:val="0000FF"/>
                </w:rPr>
                <w:t>Ofer Leter Agreement, dated August 19, 2010,</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w w:val="97"/>
              </w:rPr>
              <w:t>10.26</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7"/>
              </w:rPr>
              <w:t>2/27/2017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12"/>
          </w:tcPr>
          <w:p>
            <w:pPr>
              <w:spacing w:after="0" w:line="156" w:lineRule="exact"/>
              <w:rPr>
                <w:rFonts w:ascii="Calibri" w:cs="Calibri" w:eastAsia="Calibri" w:hAnsi="Calibri"/>
                <w:sz w:val="16"/>
                <w:szCs w:val="16"/>
                <w:color w:val="0000FF"/>
              </w:rPr>
            </w:pPr>
            <w:hyperlink r:id="rId167">
              <w:r>
                <w:rPr>
                  <w:rFonts w:ascii="Calibri" w:cs="Calibri" w:eastAsia="Calibri" w:hAnsi="Calibri"/>
                  <w:sz w:val="16"/>
                  <w:szCs w:val="16"/>
                  <w:color w:val="0000FF"/>
                </w:rPr>
                <w:t>between Exelixis, Inc. and Patrick J. Haley</w:t>
              </w:r>
            </w:hyperlink>
          </w:p>
        </w:tc>
        <w:tc>
          <w:tcPr>
            <w:tcW w:w="460" w:type="dxa"/>
            <w:vAlign w:val="bottom"/>
            <w:tcBorders>
              <w:top w:val="single" w:sz="8" w:color="0000FF"/>
            </w:tcBorders>
            <w:gridSpan w:val="17"/>
          </w:tcPr>
          <w:p>
            <w:pPr>
              <w:spacing w:after="0"/>
              <w:rPr>
                <w:sz w:val="13"/>
                <w:szCs w:val="13"/>
                <w:color w:val="auto"/>
              </w:rPr>
            </w:pPr>
          </w:p>
        </w:tc>
        <w:tc>
          <w:tcPr>
            <w:tcW w:w="280" w:type="dxa"/>
            <w:vAlign w:val="bottom"/>
            <w:gridSpan w:val="6"/>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right="120"/>
              <w:spacing w:after="0" w:line="223" w:lineRule="exact"/>
              <w:rPr>
                <w:sz w:val="20"/>
                <w:szCs w:val="20"/>
                <w:color w:val="auto"/>
              </w:rPr>
            </w:pPr>
            <w:r>
              <w:rPr>
                <w:rFonts w:ascii="Calibri" w:cs="Calibri" w:eastAsia="Calibri" w:hAnsi="Calibri"/>
                <w:sz w:val="18"/>
                <w:szCs w:val="18"/>
                <w:color w:val="auto"/>
                <w:w w:val="90"/>
              </w:rPr>
              <w:t>10.20</w:t>
            </w:r>
            <w:r>
              <w:rPr>
                <w:rFonts w:ascii="Calibri" w:cs="Calibri" w:eastAsia="Calibri" w:hAnsi="Calibri"/>
                <w:sz w:val="23"/>
                <w:szCs w:val="23"/>
                <w:color w:val="auto"/>
                <w:w w:val="90"/>
                <w:vertAlign w:val="superscript"/>
              </w:rPr>
              <w:t>†</w:t>
            </w: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68">
              <w:r>
                <w:rPr>
                  <w:rFonts w:ascii="Calibri" w:cs="Calibri" w:eastAsia="Calibri" w:hAnsi="Calibri"/>
                  <w:sz w:val="18"/>
                  <w:szCs w:val="18"/>
                  <w:color w:val="0000FF"/>
                </w:rPr>
                <w:t>Annual Cash Bonus Compensaton Plan for</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9"/>
              </w:rPr>
              <w:t>8-K</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7"/>
              </w:rPr>
              <w:t>2/16/2018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Calibri" w:cs="Calibri" w:eastAsia="Calibri" w:hAnsi="Calibri"/>
                <w:sz w:val="16"/>
                <w:szCs w:val="16"/>
                <w:color w:val="0000FF"/>
              </w:rPr>
            </w:pPr>
            <w:hyperlink r:id="rId168">
              <w:r>
                <w:rPr>
                  <w:rFonts w:ascii="Calibri" w:cs="Calibri" w:eastAsia="Calibri" w:hAnsi="Calibri"/>
                  <w:sz w:val="16"/>
                  <w:szCs w:val="16"/>
                  <w:color w:val="0000FF"/>
                </w:rPr>
                <w:t>Executves</w:t>
              </w:r>
            </w:hyperlink>
          </w:p>
        </w:tc>
        <w:tc>
          <w:tcPr>
            <w:tcW w:w="2260" w:type="dxa"/>
            <w:vAlign w:val="bottom"/>
            <w:tcBorders>
              <w:top w:val="single" w:sz="8" w:color="0000FF"/>
            </w:tcBorders>
            <w:gridSpan w:val="10"/>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360" w:type="dxa"/>
            <w:vAlign w:val="bottom"/>
            <w:gridSpan w:val="9"/>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right="120"/>
              <w:spacing w:after="0" w:line="223" w:lineRule="exact"/>
              <w:rPr>
                <w:sz w:val="20"/>
                <w:szCs w:val="20"/>
                <w:color w:val="auto"/>
              </w:rPr>
            </w:pPr>
            <w:r>
              <w:rPr>
                <w:rFonts w:ascii="Calibri" w:cs="Calibri" w:eastAsia="Calibri" w:hAnsi="Calibri"/>
                <w:sz w:val="18"/>
                <w:szCs w:val="18"/>
                <w:color w:val="auto"/>
                <w:w w:val="90"/>
              </w:rPr>
              <w:t>10.21</w:t>
            </w:r>
            <w:r>
              <w:rPr>
                <w:rFonts w:ascii="Calibri" w:cs="Calibri" w:eastAsia="Calibri" w:hAnsi="Calibri"/>
                <w:sz w:val="23"/>
                <w:szCs w:val="23"/>
                <w:color w:val="auto"/>
                <w:w w:val="90"/>
                <w:vertAlign w:val="superscript"/>
              </w:rPr>
              <w:t>†</w:t>
            </w: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69">
              <w:r>
                <w:rPr>
                  <w:rFonts w:ascii="Calibri" w:cs="Calibri" w:eastAsia="Calibri" w:hAnsi="Calibri"/>
                  <w:sz w:val="18"/>
                  <w:szCs w:val="18"/>
                  <w:color w:val="0000FF"/>
                </w:rPr>
                <w:t>Cash Compensaton Informaton for Non-</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w w:val="97"/>
              </w:rPr>
              <w:t>10.23</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2/6/2024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5"/>
          </w:tcPr>
          <w:p>
            <w:pPr>
              <w:spacing w:after="0" w:line="156" w:lineRule="exact"/>
              <w:rPr>
                <w:rFonts w:ascii="Calibri" w:cs="Calibri" w:eastAsia="Calibri" w:hAnsi="Calibri"/>
                <w:sz w:val="16"/>
                <w:szCs w:val="16"/>
                <w:color w:val="0000FF"/>
              </w:rPr>
            </w:pPr>
            <w:hyperlink r:id="rId169">
              <w:r>
                <w:rPr>
                  <w:rFonts w:ascii="Calibri" w:cs="Calibri" w:eastAsia="Calibri" w:hAnsi="Calibri"/>
                  <w:sz w:val="16"/>
                  <w:szCs w:val="16"/>
                  <w:color w:val="0000FF"/>
                </w:rPr>
                <w:t>Employee Directors.</w:t>
              </w:r>
            </w:hyperlink>
          </w:p>
        </w:tc>
        <w:tc>
          <w:tcPr>
            <w:tcW w:w="1500" w:type="dxa"/>
            <w:vAlign w:val="bottom"/>
            <w:tcBorders>
              <w:top w:val="single" w:sz="8" w:color="0000FF"/>
            </w:tcBorders>
            <w:gridSpan w:val="7"/>
          </w:tcPr>
          <w:p>
            <w:pPr>
              <w:spacing w:after="0"/>
              <w:rPr>
                <w:sz w:val="13"/>
                <w:szCs w:val="13"/>
                <w:color w:val="auto"/>
              </w:rPr>
            </w:pPr>
          </w:p>
        </w:tc>
        <w:tc>
          <w:tcPr>
            <w:tcW w:w="2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360" w:type="dxa"/>
            <w:vAlign w:val="bottom"/>
            <w:gridSpan w:val="9"/>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right="120"/>
              <w:spacing w:after="0" w:line="223" w:lineRule="exact"/>
              <w:rPr>
                <w:sz w:val="20"/>
                <w:szCs w:val="20"/>
                <w:color w:val="auto"/>
              </w:rPr>
            </w:pPr>
            <w:r>
              <w:rPr>
                <w:rFonts w:ascii="Calibri" w:cs="Calibri" w:eastAsia="Calibri" w:hAnsi="Calibri"/>
                <w:sz w:val="18"/>
                <w:szCs w:val="18"/>
                <w:color w:val="auto"/>
                <w:w w:val="90"/>
              </w:rPr>
              <w:t>10.22</w:t>
            </w:r>
            <w:r>
              <w:rPr>
                <w:rFonts w:ascii="Calibri" w:cs="Calibri" w:eastAsia="Calibri" w:hAnsi="Calibri"/>
                <w:sz w:val="23"/>
                <w:szCs w:val="23"/>
                <w:color w:val="auto"/>
                <w:w w:val="90"/>
                <w:vertAlign w:val="superscript"/>
              </w:rPr>
              <w:t>†</w:t>
            </w: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70">
              <w:r>
                <w:rPr>
                  <w:rFonts w:ascii="Calibri" w:cs="Calibri" w:eastAsia="Calibri" w:hAnsi="Calibri"/>
                  <w:sz w:val="18"/>
                  <w:szCs w:val="18"/>
                  <w:color w:val="0000FF"/>
                </w:rPr>
                <w:t>Exelixis, Inc. Change in Control and Severance</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w w:val="97"/>
              </w:rPr>
              <w:t>10.24</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2/6/2024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10"/>
          </w:tcPr>
          <w:p>
            <w:pPr>
              <w:spacing w:after="0" w:line="156" w:lineRule="exact"/>
              <w:rPr>
                <w:rFonts w:ascii="Calibri" w:cs="Calibri" w:eastAsia="Calibri" w:hAnsi="Calibri"/>
                <w:sz w:val="16"/>
                <w:szCs w:val="16"/>
                <w:color w:val="0000FF"/>
              </w:rPr>
            </w:pPr>
            <w:hyperlink r:id="rId170">
              <w:r>
                <w:rPr>
                  <w:rFonts w:ascii="Calibri" w:cs="Calibri" w:eastAsia="Calibri" w:hAnsi="Calibri"/>
                  <w:sz w:val="16"/>
                  <w:szCs w:val="16"/>
                  <w:color w:val="0000FF"/>
                </w:rPr>
                <w:t>Beneft Plan, as amended and restated.</w:t>
              </w:r>
            </w:hyperlink>
          </w:p>
        </w:tc>
        <w:tc>
          <w:tcPr>
            <w:tcW w:w="46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360" w:type="dxa"/>
            <w:vAlign w:val="bottom"/>
            <w:gridSpan w:val="9"/>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jc w:val="center"/>
              <w:spacing w:after="0"/>
              <w:rPr>
                <w:sz w:val="20"/>
                <w:szCs w:val="20"/>
                <w:color w:val="auto"/>
              </w:rPr>
            </w:pPr>
            <w:r>
              <w:rPr>
                <w:rFonts w:ascii="Calibri" w:cs="Calibri" w:eastAsia="Calibri" w:hAnsi="Calibri"/>
                <w:sz w:val="18"/>
                <w:szCs w:val="18"/>
                <w:color w:val="auto"/>
                <w:w w:val="97"/>
              </w:rPr>
              <w:t>10.23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71">
              <w:r>
                <w:rPr>
                  <w:rFonts w:ascii="Calibri" w:cs="Calibri" w:eastAsia="Calibri" w:hAnsi="Calibri"/>
                  <w:sz w:val="18"/>
                  <w:szCs w:val="18"/>
                  <w:color w:val="0000FF"/>
                </w:rPr>
                <w:t>Lease Agreement dated May 2, 2017, between</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8/2/2017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tcBorders>
            <w:gridSpan w:val="26"/>
          </w:tcPr>
          <w:p>
            <w:pPr>
              <w:spacing w:after="0" w:line="156" w:lineRule="exact"/>
              <w:rPr>
                <w:rFonts w:ascii="Calibri" w:cs="Calibri" w:eastAsia="Calibri" w:hAnsi="Calibri"/>
                <w:sz w:val="16"/>
                <w:szCs w:val="16"/>
                <w:color w:val="0000FF"/>
              </w:rPr>
            </w:pPr>
            <w:hyperlink r:id="rId171">
              <w:r>
                <w:rPr>
                  <w:rFonts w:ascii="Calibri" w:cs="Calibri" w:eastAsia="Calibri" w:hAnsi="Calibri"/>
                  <w:sz w:val="16"/>
                  <w:szCs w:val="16"/>
                  <w:color w:val="0000FF"/>
                </w:rPr>
                <w:t>Ascentris 105, LLC and Exelixis, Inc.</w:t>
              </w:r>
            </w:hyperlink>
          </w:p>
        </w:tc>
        <w:tc>
          <w:tcPr>
            <w:tcW w:w="360" w:type="dxa"/>
            <w:vAlign w:val="bottom"/>
            <w:gridSpan w:val="9"/>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1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jc w:val="center"/>
              <w:spacing w:after="0"/>
              <w:rPr>
                <w:sz w:val="20"/>
                <w:szCs w:val="20"/>
                <w:color w:val="auto"/>
              </w:rPr>
            </w:pPr>
            <w:r>
              <w:rPr>
                <w:rFonts w:ascii="Calibri" w:cs="Calibri" w:eastAsia="Calibri" w:hAnsi="Calibri"/>
                <w:sz w:val="18"/>
                <w:szCs w:val="18"/>
                <w:color w:val="auto"/>
                <w:w w:val="97"/>
              </w:rPr>
              <w:t>10.24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35"/>
          </w:tcPr>
          <w:p>
            <w:pPr>
              <w:spacing w:after="0"/>
              <w:rPr>
                <w:rFonts w:ascii="Calibri" w:cs="Calibri" w:eastAsia="Calibri" w:hAnsi="Calibri"/>
                <w:sz w:val="18"/>
                <w:szCs w:val="18"/>
                <w:color w:val="0000FF"/>
              </w:rPr>
            </w:pPr>
            <w:hyperlink r:id="rId172">
              <w:r>
                <w:rPr>
                  <w:rFonts w:ascii="Calibri" w:cs="Calibri" w:eastAsia="Calibri" w:hAnsi="Calibri"/>
                  <w:sz w:val="18"/>
                  <w:szCs w:val="18"/>
                  <w:color w:val="0000FF"/>
                </w:rPr>
                <w:t>First Amendment dated October 16, 2017, to</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w w:val="97"/>
              </w:rPr>
              <w:t>10.39</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7"/>
              </w:rPr>
              <w:t>2/26/2018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tcBorders>
            <w:gridSpan w:val="21"/>
          </w:tcPr>
          <w:p>
            <w:pPr>
              <w:spacing w:after="0" w:line="156" w:lineRule="exact"/>
              <w:rPr>
                <w:rFonts w:ascii="Calibri" w:cs="Calibri" w:eastAsia="Calibri" w:hAnsi="Calibri"/>
                <w:sz w:val="16"/>
                <w:szCs w:val="16"/>
                <w:color w:val="0000FF"/>
              </w:rPr>
            </w:pPr>
            <w:hyperlink r:id="rId172">
              <w:r>
                <w:rPr>
                  <w:rFonts w:ascii="Calibri" w:cs="Calibri" w:eastAsia="Calibri" w:hAnsi="Calibri"/>
                  <w:sz w:val="16"/>
                  <w:szCs w:val="16"/>
                  <w:color w:val="0000FF"/>
                </w:rPr>
                <w:t>Lease Agreement dated May 2, 2017, between</w:t>
              </w:r>
            </w:hyperlink>
          </w:p>
        </w:tc>
        <w:tc>
          <w:tcPr>
            <w:tcW w:w="480" w:type="dxa"/>
            <w:vAlign w:val="bottom"/>
            <w:gridSpan w:val="14"/>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tcBorders>
            <w:gridSpan w:val="26"/>
          </w:tcPr>
          <w:p>
            <w:pPr>
              <w:spacing w:after="0" w:line="169" w:lineRule="exact"/>
              <w:rPr>
                <w:rFonts w:ascii="Calibri" w:cs="Calibri" w:eastAsia="Calibri" w:hAnsi="Calibri"/>
                <w:sz w:val="18"/>
                <w:szCs w:val="18"/>
                <w:color w:val="0000FF"/>
              </w:rPr>
            </w:pPr>
            <w:hyperlink r:id="rId172">
              <w:r>
                <w:rPr>
                  <w:rFonts w:ascii="Calibri" w:cs="Calibri" w:eastAsia="Calibri" w:hAnsi="Calibri"/>
                  <w:sz w:val="18"/>
                  <w:szCs w:val="18"/>
                  <w:color w:val="0000FF"/>
                </w:rPr>
                <w:t>Ascentris 105, LLC and Exelixis, Inc.</w:t>
              </w:r>
            </w:hyperlink>
          </w:p>
        </w:tc>
        <w:tc>
          <w:tcPr>
            <w:tcW w:w="360" w:type="dxa"/>
            <w:vAlign w:val="bottom"/>
            <w:gridSpan w:val="9"/>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tcBorders>
              <w:bottom w:val="single" w:sz="8" w:color="0000FF"/>
            </w:tcBorders>
            <w:gridSpan w:val="20"/>
          </w:tcPr>
          <w:p>
            <w:pPr>
              <w:spacing w:after="0" w:line="209" w:lineRule="exact"/>
              <w:rPr>
                <w:rFonts w:ascii="Calibri" w:cs="Calibri" w:eastAsia="Calibri" w:hAnsi="Calibri"/>
                <w:sz w:val="18"/>
                <w:szCs w:val="18"/>
                <w:color w:val="0000FF"/>
                <w:w w:val="97"/>
              </w:rPr>
            </w:pPr>
            <w:hyperlink r:id="rId173">
              <w:r>
                <w:rPr>
                  <w:rFonts w:ascii="Calibri" w:cs="Calibri" w:eastAsia="Calibri" w:hAnsi="Calibri"/>
                  <w:sz w:val="18"/>
                  <w:szCs w:val="18"/>
                  <w:color w:val="0000FF"/>
                  <w:w w:val="97"/>
                </w:rPr>
                <w:t>Second Amendment dated June 13, 2018, to</w:t>
              </w:r>
            </w:hyperlink>
          </w:p>
        </w:tc>
        <w:tc>
          <w:tcPr>
            <w:tcW w:w="500" w:type="dxa"/>
            <w:vAlign w:val="bottom"/>
            <w:gridSpan w:val="15"/>
          </w:tcPr>
          <w:p>
            <w:pPr>
              <w:spacing w:after="0"/>
              <w:rPr>
                <w:sz w:val="18"/>
                <w:szCs w:val="18"/>
                <w:color w:val="auto"/>
              </w:rPr>
            </w:pPr>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10.2</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8/1/2018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gridSpan w:val="35"/>
          </w:tcPr>
          <w:p>
            <w:pPr>
              <w:spacing w:after="0" w:line="156" w:lineRule="exact"/>
              <w:rPr>
                <w:rFonts w:ascii="Calibri" w:cs="Calibri" w:eastAsia="Calibri" w:hAnsi="Calibri"/>
                <w:sz w:val="16"/>
                <w:szCs w:val="16"/>
                <w:color w:val="0000FF"/>
              </w:rPr>
            </w:pPr>
            <w:hyperlink r:id="rId173">
              <w:r>
                <w:rPr>
                  <w:rFonts w:ascii="Calibri" w:cs="Calibri" w:eastAsia="Calibri" w:hAnsi="Calibri"/>
                  <w:sz w:val="16"/>
                  <w:szCs w:val="16"/>
                  <w:color w:val="0000FF"/>
                </w:rPr>
                <w:t>Lease Agreement dated May 2, 2017, between</w:t>
              </w:r>
            </w:hyperlink>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tcBorders>
            <w:gridSpan w:val="26"/>
          </w:tcPr>
          <w:p>
            <w:pPr>
              <w:spacing w:after="0" w:line="169" w:lineRule="exact"/>
              <w:rPr>
                <w:rFonts w:ascii="Calibri" w:cs="Calibri" w:eastAsia="Calibri" w:hAnsi="Calibri"/>
                <w:sz w:val="18"/>
                <w:szCs w:val="18"/>
                <w:color w:val="0000FF"/>
              </w:rPr>
            </w:pPr>
            <w:hyperlink r:id="rId173">
              <w:r>
                <w:rPr>
                  <w:rFonts w:ascii="Calibri" w:cs="Calibri" w:eastAsia="Calibri" w:hAnsi="Calibri"/>
                  <w:sz w:val="18"/>
                  <w:szCs w:val="18"/>
                  <w:color w:val="0000FF"/>
                </w:rPr>
                <w:t>Ascentris 105, LLC and Exelixis, Inc.</w:t>
              </w:r>
            </w:hyperlink>
          </w:p>
        </w:tc>
        <w:tc>
          <w:tcPr>
            <w:tcW w:w="360" w:type="dxa"/>
            <w:vAlign w:val="bottom"/>
            <w:gridSpan w:val="9"/>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4"/>
          </w:tcPr>
          <w:p>
            <w:pPr>
              <w:ind w:left="380"/>
              <w:spacing w:after="0"/>
              <w:rPr>
                <w:sz w:val="20"/>
                <w:szCs w:val="20"/>
                <w:color w:val="auto"/>
              </w:rPr>
            </w:pPr>
            <w:r>
              <w:rPr>
                <w:rFonts w:ascii="Calibri" w:cs="Calibri" w:eastAsia="Calibri" w:hAnsi="Calibri"/>
                <w:sz w:val="16"/>
                <w:szCs w:val="16"/>
                <w:b w:val="1"/>
                <w:bCs w:val="1"/>
                <w:color w:val="auto"/>
              </w:rPr>
              <w:t>Incorporaton by Reference</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140"/>
              <w:spacing w:after="0" w:line="178" w:lineRule="exact"/>
              <w:rPr>
                <w:sz w:val="20"/>
                <w:szCs w:val="20"/>
                <w:color w:val="auto"/>
              </w:rPr>
            </w:pPr>
            <w:r>
              <w:rPr>
                <w:rFonts w:ascii="Calibri" w:cs="Calibri" w:eastAsia="Calibri" w:hAnsi="Calibri"/>
                <w:sz w:val="16"/>
                <w:szCs w:val="16"/>
                <w:b w:val="1"/>
                <w:bCs w:val="1"/>
                <w:color w:val="auto"/>
                <w:w w:val="98"/>
              </w:rPr>
              <w:t>Exhibit/</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2"/>
        </w:trPr>
        <w:tc>
          <w:tcPr>
            <w:tcW w:w="1120" w:type="dxa"/>
            <w:vAlign w:val="bottom"/>
            <w:gridSpan w:val="2"/>
          </w:tcPr>
          <w:p>
            <w:pPr>
              <w:jc w:val="center"/>
              <w:ind w:right="120"/>
              <w:spacing w:after="0" w:line="162" w:lineRule="exact"/>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line="162" w:lineRule="exact"/>
              <w:rPr>
                <w:sz w:val="20"/>
                <w:szCs w:val="20"/>
                <w:color w:val="auto"/>
              </w:rPr>
            </w:pPr>
            <w:r>
              <w:rPr>
                <w:rFonts w:ascii="Calibri" w:cs="Calibri" w:eastAsia="Calibri" w:hAnsi="Calibri"/>
                <w:sz w:val="16"/>
                <w:szCs w:val="16"/>
                <w:b w:val="1"/>
                <w:bCs w:val="1"/>
                <w:color w:val="auto"/>
              </w:rPr>
              <w:t>Appendix</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Filed</w:t>
            </w:r>
          </w:p>
        </w:tc>
      </w:tr>
      <w:tr>
        <w:trPr>
          <w:trHeight w:val="193"/>
        </w:trPr>
        <w:tc>
          <w:tcPr>
            <w:tcW w:w="1120" w:type="dxa"/>
            <w:vAlign w:val="bottom"/>
            <w:gridSpan w:val="2"/>
          </w:tcPr>
          <w:p>
            <w:pPr>
              <w:jc w:val="center"/>
              <w:ind w:right="1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20" w:type="dxa"/>
            <w:vAlign w:val="bottom"/>
            <w:gridSpan w:val="30"/>
          </w:tcPr>
          <w:p>
            <w:pPr>
              <w:ind w:left="260"/>
              <w:spacing w:after="0" w:line="193" w:lineRule="exact"/>
              <w:rPr>
                <w:sz w:val="20"/>
                <w:szCs w:val="20"/>
                <w:color w:val="auto"/>
              </w:rPr>
            </w:pPr>
            <w:r>
              <w:rPr>
                <w:rFonts w:ascii="Calibri" w:cs="Calibri" w:eastAsia="Calibri" w:hAnsi="Calibri"/>
                <w:sz w:val="16"/>
                <w:szCs w:val="16"/>
                <w:b w:val="1"/>
                <w:bCs w:val="1"/>
                <w:color w:val="auto"/>
              </w:rPr>
              <w:t>Exhibit Descripton</w:t>
            </w:r>
          </w:p>
        </w:tc>
        <w:tc>
          <w:tcPr>
            <w:tcW w:w="1340" w:type="dxa"/>
            <w:vAlign w:val="bottom"/>
            <w:gridSpan w:val="2"/>
          </w:tcPr>
          <w:p>
            <w:pPr>
              <w:jc w:val="center"/>
              <w:ind w:right="140"/>
              <w:spacing w:after="0" w:line="193" w:lineRule="exact"/>
              <w:rPr>
                <w:sz w:val="20"/>
                <w:szCs w:val="20"/>
                <w:color w:val="auto"/>
              </w:rPr>
            </w:pPr>
            <w:r>
              <w:rPr>
                <w:rFonts w:ascii="Calibri" w:cs="Calibri" w:eastAsia="Calibri" w:hAnsi="Calibri"/>
                <w:sz w:val="16"/>
                <w:szCs w:val="16"/>
                <w:b w:val="1"/>
                <w:bCs w:val="1"/>
                <w:color w:val="auto"/>
              </w:rPr>
              <w:t>Form</w:t>
            </w:r>
          </w:p>
        </w:tc>
        <w:tc>
          <w:tcPr>
            <w:tcW w:w="1360" w:type="dxa"/>
            <w:vAlign w:val="bottom"/>
            <w:gridSpan w:val="2"/>
          </w:tcPr>
          <w:p>
            <w:pPr>
              <w:jc w:val="center"/>
              <w:ind w:right="140"/>
              <w:spacing w:after="0" w:line="193" w:lineRule="exact"/>
              <w:rPr>
                <w:sz w:val="20"/>
                <w:szCs w:val="20"/>
                <w:color w:val="auto"/>
              </w:rPr>
            </w:pPr>
            <w:r>
              <w:rPr>
                <w:rFonts w:ascii="Calibri" w:cs="Calibri" w:eastAsia="Calibri" w:hAnsi="Calibri"/>
                <w:sz w:val="16"/>
                <w:szCs w:val="16"/>
                <w:b w:val="1"/>
                <w:bCs w:val="1"/>
                <w:color w:val="auto"/>
              </w:rPr>
              <w:t>File Number</w:t>
            </w:r>
          </w:p>
        </w:tc>
        <w:tc>
          <w:tcPr>
            <w:tcW w:w="1340" w:type="dxa"/>
            <w:vAlign w:val="bottom"/>
            <w:gridSpan w:val="2"/>
          </w:tcPr>
          <w:p>
            <w:pPr>
              <w:jc w:val="center"/>
              <w:ind w:right="140"/>
              <w:spacing w:after="0" w:line="193" w:lineRule="exact"/>
              <w:rPr>
                <w:sz w:val="20"/>
                <w:szCs w:val="20"/>
                <w:color w:val="auto"/>
              </w:rPr>
            </w:pPr>
            <w:r>
              <w:rPr>
                <w:rFonts w:ascii="Calibri" w:cs="Calibri" w:eastAsia="Calibri" w:hAnsi="Calibri"/>
                <w:sz w:val="16"/>
                <w:szCs w:val="16"/>
                <w:b w:val="1"/>
                <w:bCs w:val="1"/>
                <w:color w:val="auto"/>
              </w:rPr>
              <w:t>Reference</w:t>
            </w:r>
          </w:p>
        </w:tc>
        <w:tc>
          <w:tcPr>
            <w:tcW w:w="1240" w:type="dxa"/>
            <w:vAlign w:val="bottom"/>
          </w:tcPr>
          <w:p>
            <w:pPr>
              <w:ind w:left="260"/>
              <w:spacing w:after="0" w:line="193" w:lineRule="exact"/>
              <w:rPr>
                <w:sz w:val="20"/>
                <w:szCs w:val="20"/>
                <w:color w:val="auto"/>
              </w:rPr>
            </w:pPr>
            <w:r>
              <w:rPr>
                <w:rFonts w:ascii="Calibri" w:cs="Calibri" w:eastAsia="Calibri" w:hAnsi="Calibri"/>
                <w:sz w:val="16"/>
                <w:szCs w:val="16"/>
                <w:b w:val="1"/>
                <w:bCs w:val="1"/>
                <w:color w:val="auto"/>
              </w:rPr>
              <w:t>Filing Date</w:t>
            </w:r>
          </w:p>
        </w:tc>
        <w:tc>
          <w:tcPr>
            <w:tcW w:w="120" w:type="dxa"/>
            <w:vAlign w:val="bottom"/>
          </w:tcPr>
          <w:p>
            <w:pPr>
              <w:spacing w:after="0"/>
              <w:rPr>
                <w:sz w:val="16"/>
                <w:szCs w:val="16"/>
                <w:color w:val="auto"/>
              </w:rPr>
            </w:pPr>
          </w:p>
        </w:tc>
        <w:tc>
          <w:tcPr>
            <w:tcW w:w="10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Herewith</w:t>
            </w:r>
          </w:p>
        </w:tc>
      </w:tr>
      <w:tr>
        <w:trPr>
          <w:trHeight w:val="28"/>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1000" w:type="dxa"/>
            <w:vAlign w:val="bottom"/>
          </w:tcPr>
          <w:p>
            <w:pPr>
              <w:jc w:val="center"/>
              <w:spacing w:after="0" w:line="169" w:lineRule="exact"/>
              <w:rPr>
                <w:sz w:val="20"/>
                <w:szCs w:val="20"/>
                <w:color w:val="auto"/>
              </w:rPr>
            </w:pPr>
            <w:r>
              <w:rPr>
                <w:rFonts w:ascii="Calibri" w:cs="Calibri" w:eastAsia="Calibri" w:hAnsi="Calibri"/>
                <w:sz w:val="18"/>
                <w:szCs w:val="18"/>
                <w:color w:val="auto"/>
                <w:w w:val="97"/>
              </w:rPr>
              <w:t>10.26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30"/>
          </w:tcPr>
          <w:p>
            <w:pPr>
              <w:spacing w:after="0" w:line="169" w:lineRule="exact"/>
              <w:rPr>
                <w:rFonts w:ascii="Calibri" w:cs="Calibri" w:eastAsia="Calibri" w:hAnsi="Calibri"/>
                <w:sz w:val="18"/>
                <w:szCs w:val="18"/>
                <w:color w:val="0000FF"/>
              </w:rPr>
            </w:pPr>
            <w:hyperlink r:id="rId175">
              <w:r>
                <w:rPr>
                  <w:rFonts w:ascii="Calibri" w:cs="Calibri" w:eastAsia="Calibri" w:hAnsi="Calibri"/>
                  <w:sz w:val="18"/>
                  <w:szCs w:val="18"/>
                  <w:color w:val="0000FF"/>
                </w:rPr>
                <w:t>Third Amendment dated April 1, 2019, to Lease</w:t>
              </w:r>
            </w:hyperlink>
          </w:p>
        </w:tc>
        <w:tc>
          <w:tcPr>
            <w:tcW w:w="1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Calibri" w:cs="Calibri" w:eastAsia="Calibri" w:hAnsi="Calibri"/>
                <w:sz w:val="18"/>
                <w:szCs w:val="18"/>
                <w:color w:val="auto"/>
                <w:w w:val="99"/>
              </w:rPr>
              <w:t>8-K</w:t>
            </w:r>
          </w:p>
        </w:tc>
        <w:tc>
          <w:tcPr>
            <w:tcW w:w="14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Calibri" w:cs="Calibri" w:eastAsia="Calibri" w:hAnsi="Calibri"/>
                <w:sz w:val="18"/>
                <w:szCs w:val="18"/>
                <w:color w:val="auto"/>
                <w:w w:val="98"/>
              </w:rPr>
              <w:t>4/5/2019</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23"/>
          </w:tcPr>
          <w:p>
            <w:pPr>
              <w:spacing w:after="0" w:line="156" w:lineRule="exact"/>
              <w:rPr>
                <w:rFonts w:ascii="Calibri" w:cs="Calibri" w:eastAsia="Calibri" w:hAnsi="Calibri"/>
                <w:sz w:val="16"/>
                <w:szCs w:val="16"/>
                <w:color w:val="0000FF"/>
              </w:rPr>
            </w:pPr>
            <w:hyperlink r:id="rId175">
              <w:r>
                <w:rPr>
                  <w:rFonts w:ascii="Calibri" w:cs="Calibri" w:eastAsia="Calibri" w:hAnsi="Calibri"/>
                  <w:sz w:val="16"/>
                  <w:szCs w:val="16"/>
                  <w:color w:val="0000FF"/>
                </w:rPr>
                <w:t>Agreement dated May 2, 2017, between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Borders>
              <w:top w:val="single" w:sz="8" w:color="0000FF"/>
              <w:bottom w:val="single" w:sz="8" w:color="0000FF"/>
            </w:tcBorders>
            <w:gridSpan w:val="4"/>
          </w:tcPr>
          <w:p>
            <w:pPr>
              <w:spacing w:after="0" w:line="169" w:lineRule="exact"/>
              <w:rPr>
                <w:rFonts w:ascii="Calibri" w:cs="Calibri" w:eastAsia="Calibri" w:hAnsi="Calibri"/>
                <w:sz w:val="18"/>
                <w:szCs w:val="18"/>
                <w:color w:val="0000FF"/>
                <w:w w:val="97"/>
              </w:rPr>
            </w:pPr>
            <w:hyperlink r:id="rId175">
              <w:r>
                <w:rPr>
                  <w:rFonts w:ascii="Calibri" w:cs="Calibri" w:eastAsia="Calibri" w:hAnsi="Calibri"/>
                  <w:sz w:val="18"/>
                  <w:szCs w:val="18"/>
                  <w:color w:val="0000FF"/>
                  <w:w w:val="97"/>
                </w:rPr>
                <w:t>Ascentris 105, LLC and Exelixis, Inc.</w:t>
              </w:r>
            </w:hyperlink>
          </w:p>
        </w:tc>
        <w:tc>
          <w:tcPr>
            <w:tcW w:w="40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1"/>
          </w:tcPr>
          <w:p>
            <w:pPr>
              <w:spacing w:after="0" w:line="209" w:lineRule="exact"/>
              <w:rPr>
                <w:rFonts w:ascii="Calibri" w:cs="Calibri" w:eastAsia="Calibri" w:hAnsi="Calibri"/>
                <w:sz w:val="18"/>
                <w:szCs w:val="18"/>
                <w:color w:val="0000FF"/>
              </w:rPr>
            </w:pPr>
            <w:hyperlink r:id="rId176">
              <w:r>
                <w:rPr>
                  <w:rFonts w:ascii="Calibri" w:cs="Calibri" w:eastAsia="Calibri" w:hAnsi="Calibri"/>
                  <w:sz w:val="18"/>
                  <w:szCs w:val="18"/>
                  <w:color w:val="0000FF"/>
                </w:rPr>
                <w:t>Fourth Amendment dated August 30, 2019, to</w:t>
              </w:r>
            </w:hyperlink>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10.3</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6"/>
              </w:rPr>
              <w:t>10/30/2019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17"/>
          </w:tcPr>
          <w:p>
            <w:pPr>
              <w:spacing w:after="0" w:line="156" w:lineRule="exact"/>
              <w:rPr>
                <w:rFonts w:ascii="Calibri" w:cs="Calibri" w:eastAsia="Calibri" w:hAnsi="Calibri"/>
                <w:sz w:val="16"/>
                <w:szCs w:val="16"/>
                <w:color w:val="0000FF"/>
              </w:rPr>
            </w:pPr>
            <w:hyperlink r:id="rId176">
              <w:r>
                <w:rPr>
                  <w:rFonts w:ascii="Calibri" w:cs="Calibri" w:eastAsia="Calibri" w:hAnsi="Calibri"/>
                  <w:sz w:val="16"/>
                  <w:szCs w:val="16"/>
                  <w:color w:val="0000FF"/>
                </w:rPr>
                <w:t>Lease Agreement dated May 2, 2017, between</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gridSpan w:val="18"/>
          </w:tcPr>
          <w:p>
            <w:pPr>
              <w:spacing w:after="0" w:line="169" w:lineRule="exact"/>
              <w:rPr>
                <w:rFonts w:ascii="Calibri" w:cs="Calibri" w:eastAsia="Calibri" w:hAnsi="Calibri"/>
                <w:sz w:val="18"/>
                <w:szCs w:val="18"/>
                <w:color w:val="0000FF"/>
              </w:rPr>
            </w:pPr>
            <w:hyperlink r:id="rId176">
              <w:r>
                <w:rPr>
                  <w:rFonts w:ascii="Calibri" w:cs="Calibri" w:eastAsia="Calibri" w:hAnsi="Calibri"/>
                  <w:sz w:val="18"/>
                  <w:szCs w:val="18"/>
                  <w:color w:val="0000FF"/>
                </w:rPr>
                <w:t>Hillwood Enterprises, L.P. (as successor 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8"/>
          </w:tcPr>
          <w:p>
            <w:pPr>
              <w:spacing w:after="0" w:line="156" w:lineRule="exact"/>
              <w:rPr>
                <w:rFonts w:ascii="Calibri" w:cs="Calibri" w:eastAsia="Calibri" w:hAnsi="Calibri"/>
                <w:sz w:val="16"/>
                <w:szCs w:val="16"/>
                <w:color w:val="0000FF"/>
              </w:rPr>
            </w:pPr>
            <w:hyperlink r:id="rId176">
              <w:r>
                <w:rPr>
                  <w:rFonts w:ascii="Calibri" w:cs="Calibri" w:eastAsia="Calibri" w:hAnsi="Calibri"/>
                  <w:sz w:val="16"/>
                  <w:szCs w:val="16"/>
                  <w:color w:val="0000FF"/>
                </w:rPr>
                <w:t>interest to Ascentris 105, LLC) and Exelixis,</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80" w:type="dxa"/>
            <w:vAlign w:val="bottom"/>
            <w:tcBorders>
              <w:bottom w:val="single" w:sz="8" w:color="0000FF"/>
            </w:tcBorders>
            <w:gridSpan w:val="8"/>
          </w:tcPr>
          <w:p>
            <w:pPr>
              <w:jc w:val="center"/>
              <w:spacing w:after="0" w:line="156" w:lineRule="exact"/>
              <w:rPr>
                <w:rFonts w:ascii="Calibri" w:cs="Calibri" w:eastAsia="Calibri" w:hAnsi="Calibri"/>
                <w:sz w:val="16"/>
                <w:szCs w:val="16"/>
                <w:color w:val="0000FF"/>
              </w:rPr>
            </w:pPr>
            <w:hyperlink r:id="rId176">
              <w:r>
                <w:rPr>
                  <w:rFonts w:ascii="Calibri" w:cs="Calibri" w:eastAsia="Calibri" w:hAnsi="Calibri"/>
                  <w:sz w:val="16"/>
                  <w:szCs w:val="16"/>
                  <w:color w:val="0000FF"/>
                </w:rPr>
                <w:t>Inc.</w:t>
              </w:r>
            </w:hyperlink>
          </w:p>
        </w:tc>
        <w:tc>
          <w:tcPr>
            <w:tcW w:w="360" w:type="dxa"/>
            <w:vAlign w:val="bottom"/>
            <w:gridSpan w:val="1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0"/>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1"/>
          </w:tcPr>
          <w:p>
            <w:pPr>
              <w:spacing w:after="0" w:line="209" w:lineRule="exact"/>
              <w:rPr>
                <w:rFonts w:ascii="Calibri" w:cs="Calibri" w:eastAsia="Calibri" w:hAnsi="Calibri"/>
                <w:sz w:val="18"/>
                <w:szCs w:val="18"/>
                <w:color w:val="0000FF"/>
              </w:rPr>
            </w:pPr>
            <w:hyperlink r:id="rId177">
              <w:r>
                <w:rPr>
                  <w:rFonts w:ascii="Calibri" w:cs="Calibri" w:eastAsia="Calibri" w:hAnsi="Calibri"/>
                  <w:sz w:val="18"/>
                  <w:szCs w:val="18"/>
                  <w:color w:val="0000FF"/>
                </w:rPr>
                <w:t>Fifh Amendment dated January 16, 2020, to</w:t>
              </w:r>
            </w:hyperlink>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10.37</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2/25/2020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4"/>
          </w:tcPr>
          <w:p>
            <w:pPr>
              <w:spacing w:after="0" w:line="156" w:lineRule="exact"/>
              <w:rPr>
                <w:rFonts w:ascii="Calibri" w:cs="Calibri" w:eastAsia="Calibri" w:hAnsi="Calibri"/>
                <w:sz w:val="16"/>
                <w:szCs w:val="16"/>
                <w:color w:val="0000FF"/>
              </w:rPr>
            </w:pPr>
            <w:hyperlink r:id="rId177">
              <w:r>
                <w:rPr>
                  <w:rFonts w:ascii="Calibri" w:cs="Calibri" w:eastAsia="Calibri" w:hAnsi="Calibri"/>
                  <w:sz w:val="16"/>
                  <w:szCs w:val="16"/>
                  <w:color w:val="0000FF"/>
                </w:rPr>
                <w:t>Lease Agreement dated May 2, 2017, between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bottom w:val="single" w:sz="8" w:color="0000FF"/>
            </w:tcBorders>
            <w:gridSpan w:val="20"/>
          </w:tcPr>
          <w:p>
            <w:pPr>
              <w:spacing w:after="0" w:line="169" w:lineRule="exact"/>
              <w:rPr>
                <w:rFonts w:ascii="Calibri" w:cs="Calibri" w:eastAsia="Calibri" w:hAnsi="Calibri"/>
                <w:sz w:val="18"/>
                <w:szCs w:val="18"/>
                <w:color w:val="0000FF"/>
                <w:w w:val="96"/>
              </w:rPr>
            </w:pPr>
            <w:hyperlink r:id="rId177">
              <w:r>
                <w:rPr>
                  <w:rFonts w:ascii="Calibri" w:cs="Calibri" w:eastAsia="Calibri" w:hAnsi="Calibri"/>
                  <w:sz w:val="18"/>
                  <w:szCs w:val="18"/>
                  <w:color w:val="0000FF"/>
                  <w:w w:val="96"/>
                </w:rPr>
                <w:t>Waterfront EDP, LLC (as successor in interest to</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21"/>
          </w:tcPr>
          <w:p>
            <w:pPr>
              <w:spacing w:after="0" w:line="156" w:lineRule="exact"/>
              <w:rPr>
                <w:rFonts w:ascii="Calibri" w:cs="Calibri" w:eastAsia="Calibri" w:hAnsi="Calibri"/>
                <w:sz w:val="16"/>
                <w:szCs w:val="16"/>
                <w:color w:val="0000FF"/>
              </w:rPr>
            </w:pPr>
            <w:hyperlink r:id="rId177">
              <w:r>
                <w:rPr>
                  <w:rFonts w:ascii="Calibri" w:cs="Calibri" w:eastAsia="Calibri" w:hAnsi="Calibri"/>
                  <w:sz w:val="16"/>
                  <w:szCs w:val="16"/>
                  <w:color w:val="0000FF"/>
                </w:rPr>
                <w:t>Hillwood Enterprises, L.P.) and Exelixis, 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1"/>
          </w:tcPr>
          <w:p>
            <w:pPr>
              <w:spacing w:after="0" w:line="209" w:lineRule="exact"/>
              <w:rPr>
                <w:rFonts w:ascii="Calibri" w:cs="Calibri" w:eastAsia="Calibri" w:hAnsi="Calibri"/>
                <w:sz w:val="18"/>
                <w:szCs w:val="18"/>
                <w:color w:val="0000FF"/>
              </w:rPr>
            </w:pPr>
            <w:hyperlink r:id="rId178">
              <w:r>
                <w:rPr>
                  <w:rFonts w:ascii="Calibri" w:cs="Calibri" w:eastAsia="Calibri" w:hAnsi="Calibri"/>
                  <w:sz w:val="18"/>
                  <w:szCs w:val="18"/>
                  <w:color w:val="0000FF"/>
                </w:rPr>
                <w:t>Sixth Amendment dated December 11, 2020, to</w:t>
              </w:r>
            </w:hyperlink>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10.32</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2/11/2021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tcBorders>
            <w:gridSpan w:val="25"/>
          </w:tcPr>
          <w:p>
            <w:pPr>
              <w:spacing w:after="0" w:line="156" w:lineRule="exact"/>
              <w:rPr>
                <w:rFonts w:ascii="Calibri" w:cs="Calibri" w:eastAsia="Calibri" w:hAnsi="Calibri"/>
                <w:sz w:val="16"/>
                <w:szCs w:val="16"/>
                <w:color w:val="0000FF"/>
              </w:rPr>
            </w:pPr>
            <w:hyperlink r:id="rId178">
              <w:r>
                <w:rPr>
                  <w:rFonts w:ascii="Calibri" w:cs="Calibri" w:eastAsia="Calibri" w:hAnsi="Calibri"/>
                  <w:sz w:val="16"/>
                  <w:szCs w:val="16"/>
                  <w:color w:val="0000FF"/>
                </w:rPr>
                <w:t>Lease Agreement dated May 2, 2017, between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tcBorders>
            <w:gridSpan w:val="18"/>
          </w:tcPr>
          <w:p>
            <w:pPr>
              <w:spacing w:after="0" w:line="169" w:lineRule="exact"/>
              <w:rPr>
                <w:rFonts w:ascii="Calibri" w:cs="Calibri" w:eastAsia="Calibri" w:hAnsi="Calibri"/>
                <w:sz w:val="18"/>
                <w:szCs w:val="18"/>
                <w:color w:val="0000FF"/>
              </w:rPr>
            </w:pPr>
            <w:hyperlink r:id="rId178">
              <w:r>
                <w:rPr>
                  <w:rFonts w:ascii="Calibri" w:cs="Calibri" w:eastAsia="Calibri" w:hAnsi="Calibri"/>
                  <w:sz w:val="18"/>
                  <w:szCs w:val="18"/>
                  <w:color w:val="0000FF"/>
                </w:rPr>
                <w:t>SCG Harbor Bay Parkway Phase I, LLC (as</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tcBorders>
            <w:gridSpan w:val="5"/>
          </w:tcPr>
          <w:p>
            <w:pPr>
              <w:spacing w:after="0" w:line="156" w:lineRule="exact"/>
              <w:rPr>
                <w:rFonts w:ascii="Calibri" w:cs="Calibri" w:eastAsia="Calibri" w:hAnsi="Calibri"/>
                <w:sz w:val="16"/>
                <w:szCs w:val="16"/>
                <w:color w:val="0000FF"/>
              </w:rPr>
            </w:pPr>
            <w:hyperlink r:id="rId178">
              <w:r>
                <w:rPr>
                  <w:rFonts w:ascii="Calibri" w:cs="Calibri" w:eastAsia="Calibri" w:hAnsi="Calibri"/>
                  <w:sz w:val="16"/>
                  <w:szCs w:val="16"/>
                  <w:color w:val="0000FF"/>
                </w:rPr>
                <w:t>successor in interest to Waterfront EDP,</w:t>
              </w:r>
            </w:hyperlink>
          </w:p>
        </w:tc>
        <w:tc>
          <w:tcPr>
            <w:tcW w:w="800" w:type="dxa"/>
            <w:vAlign w:val="bottom"/>
            <w:gridSpan w:val="26"/>
          </w:tcPr>
          <w:p>
            <w:pPr>
              <w:jc w:val="center"/>
              <w:ind w:right="220"/>
              <w:spacing w:after="0" w:line="156" w:lineRule="exact"/>
              <w:rPr>
                <w:rFonts w:ascii="Calibri" w:cs="Calibri" w:eastAsia="Calibri" w:hAnsi="Calibri"/>
                <w:sz w:val="16"/>
                <w:szCs w:val="16"/>
                <w:color w:val="0000FF"/>
              </w:rPr>
            </w:pPr>
            <w:hyperlink r:id="rId178">
              <w:r>
                <w:rPr>
                  <w:rFonts w:ascii="Calibri" w:cs="Calibri" w:eastAsia="Calibri" w:hAnsi="Calibri"/>
                  <w:sz w:val="16"/>
                  <w:szCs w:val="16"/>
                  <w:color w:val="0000FF"/>
                </w:rPr>
                <w:t>LLC) and</w:t>
              </w:r>
            </w:hyperlink>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78">
              <w:r>
                <w:rPr>
                  <w:rFonts w:ascii="Calibri" w:cs="Calibri" w:eastAsia="Calibri" w:hAnsi="Calibri"/>
                  <w:sz w:val="16"/>
                  <w:szCs w:val="16"/>
                  <w:color w:val="0000FF"/>
                </w:rPr>
                <w:t>Exelixis, Inc.</w:t>
              </w:r>
            </w:hyperlink>
          </w:p>
        </w:tc>
        <w:tc>
          <w:tcPr>
            <w:tcW w:w="26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3"/>
        </w:trPr>
        <w:tc>
          <w:tcPr>
            <w:tcW w:w="1000" w:type="dxa"/>
            <w:vAlign w:val="bottom"/>
          </w:tcPr>
          <w:p>
            <w:pPr>
              <w:jc w:val="center"/>
              <w:spacing w:after="0"/>
              <w:rPr>
                <w:sz w:val="20"/>
                <w:szCs w:val="20"/>
                <w:color w:val="auto"/>
              </w:rPr>
            </w:pPr>
            <w:r>
              <w:rPr>
                <w:rFonts w:ascii="Calibri" w:cs="Calibri" w:eastAsia="Calibri" w:hAnsi="Calibri"/>
                <w:sz w:val="18"/>
                <w:szCs w:val="18"/>
                <w:color w:val="auto"/>
                <w:w w:val="97"/>
              </w:rPr>
              <w:t>10.30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31"/>
          </w:tcPr>
          <w:p>
            <w:pPr>
              <w:spacing w:after="0"/>
              <w:rPr>
                <w:rFonts w:ascii="Calibri" w:cs="Calibri" w:eastAsia="Calibri" w:hAnsi="Calibri"/>
                <w:sz w:val="18"/>
                <w:szCs w:val="18"/>
                <w:color w:val="0000FF"/>
              </w:rPr>
            </w:pPr>
            <w:hyperlink r:id="rId179">
              <w:r>
                <w:rPr>
                  <w:rFonts w:ascii="Calibri" w:cs="Calibri" w:eastAsia="Calibri" w:hAnsi="Calibri"/>
                  <w:sz w:val="18"/>
                  <w:szCs w:val="18"/>
                  <w:color w:val="0000FF"/>
                </w:rPr>
                <w:t>Seventh Amendment dated May 16, 2022, to</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rPr>
              <w:t>10.3</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8/9/2022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15"/>
          </w:tcPr>
          <w:p>
            <w:pPr>
              <w:spacing w:after="0" w:line="156" w:lineRule="exact"/>
              <w:rPr>
                <w:rFonts w:ascii="Calibri" w:cs="Calibri" w:eastAsia="Calibri" w:hAnsi="Calibri"/>
                <w:sz w:val="16"/>
                <w:szCs w:val="16"/>
                <w:color w:val="0000FF"/>
              </w:rPr>
            </w:pPr>
            <w:hyperlink r:id="rId179">
              <w:r>
                <w:rPr>
                  <w:rFonts w:ascii="Calibri" w:cs="Calibri" w:eastAsia="Calibri" w:hAnsi="Calibri"/>
                  <w:sz w:val="16"/>
                  <w:szCs w:val="16"/>
                  <w:color w:val="0000FF"/>
                </w:rPr>
                <w:t>Lease Agreement dated May 2, 2017, between</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tcBorders>
            <w:gridSpan w:val="18"/>
          </w:tcPr>
          <w:p>
            <w:pPr>
              <w:spacing w:after="0" w:line="169" w:lineRule="exact"/>
              <w:rPr>
                <w:rFonts w:ascii="Calibri" w:cs="Calibri" w:eastAsia="Calibri" w:hAnsi="Calibri"/>
                <w:sz w:val="18"/>
                <w:szCs w:val="18"/>
                <w:color w:val="0000FF"/>
              </w:rPr>
            </w:pPr>
            <w:hyperlink r:id="rId179">
              <w:r>
                <w:rPr>
                  <w:rFonts w:ascii="Calibri" w:cs="Calibri" w:eastAsia="Calibri" w:hAnsi="Calibri"/>
                  <w:sz w:val="18"/>
                  <w:szCs w:val="18"/>
                  <w:color w:val="0000FF"/>
                </w:rPr>
                <w:t>SCG Harbor Bay Parkway Phase I, LLC and</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79">
              <w:r>
                <w:rPr>
                  <w:rFonts w:ascii="Calibri" w:cs="Calibri" w:eastAsia="Calibri" w:hAnsi="Calibri"/>
                  <w:sz w:val="16"/>
                  <w:szCs w:val="16"/>
                  <w:color w:val="0000FF"/>
                </w:rPr>
                <w:t>Exelixis, Inc.</w:t>
              </w:r>
            </w:hyperlink>
          </w:p>
        </w:tc>
        <w:tc>
          <w:tcPr>
            <w:tcW w:w="20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50"/>
        </w:trPr>
        <w:tc>
          <w:tcPr>
            <w:tcW w:w="1000" w:type="dxa"/>
            <w:vAlign w:val="bottom"/>
          </w:tcPr>
          <w:p>
            <w:pPr>
              <w:jc w:val="center"/>
              <w:spacing w:after="0"/>
              <w:rPr>
                <w:sz w:val="20"/>
                <w:szCs w:val="20"/>
                <w:color w:val="auto"/>
              </w:rPr>
            </w:pPr>
            <w:r>
              <w:rPr>
                <w:rFonts w:ascii="Calibri" w:cs="Calibri" w:eastAsia="Calibri" w:hAnsi="Calibri"/>
                <w:sz w:val="18"/>
                <w:szCs w:val="18"/>
                <w:color w:val="auto"/>
                <w:w w:val="97"/>
              </w:rPr>
              <w:t>10.31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80" w:type="dxa"/>
            <w:vAlign w:val="bottom"/>
            <w:gridSpan w:val="31"/>
          </w:tcPr>
          <w:p>
            <w:pPr>
              <w:spacing w:after="0"/>
              <w:rPr>
                <w:rFonts w:ascii="Calibri" w:cs="Calibri" w:eastAsia="Calibri" w:hAnsi="Calibri"/>
                <w:sz w:val="18"/>
                <w:szCs w:val="18"/>
                <w:color w:val="0000FF"/>
              </w:rPr>
            </w:pPr>
            <w:hyperlink r:id="rId180">
              <w:r>
                <w:rPr>
                  <w:rFonts w:ascii="Calibri" w:cs="Calibri" w:eastAsia="Calibri" w:hAnsi="Calibri"/>
                  <w:sz w:val="18"/>
                  <w:szCs w:val="18"/>
                  <w:color w:val="0000FF"/>
                </w:rPr>
                <w:t>Lease Agreement dated October 25, 2019,</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rPr>
              <w:t>10.2</w:t>
            </w:r>
          </w:p>
        </w:tc>
        <w:tc>
          <w:tcPr>
            <w:tcW w:w="1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6"/>
              </w:rPr>
              <w:t>10/30/2019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tcBorders>
            <w:gridSpan w:val="10"/>
          </w:tcPr>
          <w:p>
            <w:pPr>
              <w:spacing w:after="0" w:line="156" w:lineRule="exact"/>
              <w:rPr>
                <w:rFonts w:ascii="Calibri" w:cs="Calibri" w:eastAsia="Calibri" w:hAnsi="Calibri"/>
                <w:sz w:val="16"/>
                <w:szCs w:val="16"/>
                <w:color w:val="0000FF"/>
              </w:rPr>
            </w:pPr>
            <w:hyperlink r:id="rId180">
              <w:r>
                <w:rPr>
                  <w:rFonts w:ascii="Calibri" w:cs="Calibri" w:eastAsia="Calibri" w:hAnsi="Calibri"/>
                  <w:sz w:val="16"/>
                  <w:szCs w:val="16"/>
                  <w:color w:val="0000FF"/>
                </w:rPr>
                <w:t>between Ernst Development Partners, Inc.</w:t>
              </w:r>
            </w:hyperlink>
          </w:p>
        </w:tc>
        <w:tc>
          <w:tcPr>
            <w:tcW w:w="640" w:type="dxa"/>
            <w:vAlign w:val="bottom"/>
            <w:gridSpan w:val="21"/>
          </w:tcPr>
          <w:p>
            <w:pPr>
              <w:jc w:val="center"/>
              <w:ind w:right="340"/>
              <w:spacing w:after="0" w:line="156" w:lineRule="exact"/>
              <w:rPr>
                <w:rFonts w:ascii="Calibri" w:cs="Calibri" w:eastAsia="Calibri" w:hAnsi="Calibri"/>
                <w:sz w:val="16"/>
                <w:szCs w:val="16"/>
                <w:color w:val="0000FF"/>
              </w:rPr>
            </w:pPr>
            <w:hyperlink r:id="rId180">
              <w:r>
                <w:rPr>
                  <w:rFonts w:ascii="Calibri" w:cs="Calibri" w:eastAsia="Calibri" w:hAnsi="Calibri"/>
                  <w:sz w:val="16"/>
                  <w:szCs w:val="16"/>
                  <w:color w:val="0000FF"/>
                </w:rPr>
                <w:t>and</w:t>
              </w:r>
            </w:hyperlink>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80">
              <w:r>
                <w:rPr>
                  <w:rFonts w:ascii="Calibri" w:cs="Calibri" w:eastAsia="Calibri" w:hAnsi="Calibri"/>
                  <w:sz w:val="16"/>
                  <w:szCs w:val="16"/>
                  <w:color w:val="0000FF"/>
                </w:rPr>
                <w:t>Exelixis, Inc.</w:t>
              </w:r>
            </w:hyperlink>
          </w:p>
        </w:tc>
        <w:tc>
          <w:tcPr>
            <w:tcW w:w="248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50"/>
        </w:trPr>
        <w:tc>
          <w:tcPr>
            <w:tcW w:w="1000" w:type="dxa"/>
            <w:vAlign w:val="bottom"/>
          </w:tcPr>
          <w:p>
            <w:pPr>
              <w:jc w:val="center"/>
              <w:spacing w:after="0"/>
              <w:rPr>
                <w:sz w:val="20"/>
                <w:szCs w:val="20"/>
                <w:color w:val="auto"/>
              </w:rPr>
            </w:pPr>
            <w:r>
              <w:rPr>
                <w:rFonts w:ascii="Calibri" w:cs="Calibri" w:eastAsia="Calibri" w:hAnsi="Calibri"/>
                <w:sz w:val="18"/>
                <w:szCs w:val="18"/>
                <w:color w:val="auto"/>
                <w:w w:val="97"/>
              </w:rPr>
              <w:t>10.32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80" w:type="dxa"/>
            <w:vAlign w:val="bottom"/>
            <w:gridSpan w:val="31"/>
          </w:tcPr>
          <w:p>
            <w:pPr>
              <w:spacing w:after="0"/>
              <w:rPr>
                <w:rFonts w:ascii="Calibri" w:cs="Calibri" w:eastAsia="Calibri" w:hAnsi="Calibri"/>
                <w:sz w:val="18"/>
                <w:szCs w:val="18"/>
                <w:color w:val="0000FF"/>
              </w:rPr>
            </w:pPr>
            <w:hyperlink r:id="rId181">
              <w:r>
                <w:rPr>
                  <w:rFonts w:ascii="Calibri" w:cs="Calibri" w:eastAsia="Calibri" w:hAnsi="Calibri"/>
                  <w:sz w:val="18"/>
                  <w:szCs w:val="18"/>
                  <w:color w:val="0000FF"/>
                </w:rPr>
                <w:t>First Amendment dated January 16, 2020, to</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6"/>
              </w:rPr>
              <w:t>10-K</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w w:val="97"/>
              </w:rPr>
              <w:t>10.39</w:t>
            </w:r>
          </w:p>
        </w:tc>
        <w:tc>
          <w:tcPr>
            <w:tcW w:w="1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7"/>
              </w:rPr>
              <w:t>2/25/2020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0"/>
          </w:tcPr>
          <w:p>
            <w:pPr>
              <w:spacing w:after="0" w:line="156" w:lineRule="exact"/>
              <w:rPr>
                <w:rFonts w:ascii="Calibri" w:cs="Calibri" w:eastAsia="Calibri" w:hAnsi="Calibri"/>
                <w:sz w:val="16"/>
                <w:szCs w:val="16"/>
                <w:color w:val="0000FF"/>
              </w:rPr>
            </w:pPr>
            <w:hyperlink r:id="rId181">
              <w:r>
                <w:rPr>
                  <w:rFonts w:ascii="Calibri" w:cs="Calibri" w:eastAsia="Calibri" w:hAnsi="Calibri"/>
                  <w:sz w:val="16"/>
                  <w:szCs w:val="16"/>
                  <w:color w:val="0000FF"/>
                </w:rPr>
                <w:t>Lease Agreement dated October 25, 2019,</w:t>
              </w:r>
            </w:hyperlink>
          </w:p>
        </w:tc>
        <w:tc>
          <w:tcPr>
            <w:tcW w:w="140" w:type="dxa"/>
            <w:vAlign w:val="bottom"/>
            <w:tcBorders>
              <w:top w:val="single" w:sz="8" w:color="0000FF"/>
            </w:tcBorders>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bottom w:val="single" w:sz="8" w:color="0000FF"/>
            </w:tcBorders>
            <w:gridSpan w:val="24"/>
          </w:tcPr>
          <w:p>
            <w:pPr>
              <w:spacing w:after="0" w:line="169" w:lineRule="exact"/>
              <w:rPr>
                <w:rFonts w:ascii="Calibri" w:cs="Calibri" w:eastAsia="Calibri" w:hAnsi="Calibri"/>
                <w:sz w:val="18"/>
                <w:szCs w:val="18"/>
                <w:color w:val="0000FF"/>
                <w:w w:val="98"/>
              </w:rPr>
            </w:pPr>
            <w:hyperlink r:id="rId181">
              <w:r>
                <w:rPr>
                  <w:rFonts w:ascii="Calibri" w:cs="Calibri" w:eastAsia="Calibri" w:hAnsi="Calibri"/>
                  <w:sz w:val="18"/>
                  <w:szCs w:val="18"/>
                  <w:color w:val="0000FF"/>
                  <w:w w:val="98"/>
                </w:rPr>
                <w:t>between Alameda BTS EDP, LLC (as successor in</w:t>
              </w:r>
            </w:hyperlink>
          </w:p>
        </w:tc>
        <w:tc>
          <w:tcPr>
            <w:tcW w:w="240" w:type="dxa"/>
            <w:vAlign w:val="bottom"/>
            <w:gridSpan w:val="7"/>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gridSpan w:val="31"/>
          </w:tcPr>
          <w:p>
            <w:pPr>
              <w:spacing w:after="0" w:line="156" w:lineRule="exact"/>
              <w:rPr>
                <w:rFonts w:ascii="Calibri" w:cs="Calibri" w:eastAsia="Calibri" w:hAnsi="Calibri"/>
                <w:sz w:val="16"/>
                <w:szCs w:val="16"/>
                <w:color w:val="0000FF"/>
              </w:rPr>
            </w:pPr>
            <w:hyperlink r:id="rId181">
              <w:r>
                <w:rPr>
                  <w:rFonts w:ascii="Calibri" w:cs="Calibri" w:eastAsia="Calibri" w:hAnsi="Calibri"/>
                  <w:sz w:val="16"/>
                  <w:szCs w:val="16"/>
                  <w:color w:val="0000FF"/>
                </w:rPr>
                <w:t>interest to Ernst Development Partners, Inc.) and</w:t>
              </w:r>
            </w:hyperlink>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Calibri" w:cs="Calibri" w:eastAsia="Calibri" w:hAnsi="Calibri"/>
                <w:sz w:val="16"/>
                <w:szCs w:val="16"/>
                <w:color w:val="0000FF"/>
              </w:rPr>
            </w:pPr>
            <w:hyperlink r:id="rId181">
              <w:r>
                <w:rPr>
                  <w:rFonts w:ascii="Calibri" w:cs="Calibri" w:eastAsia="Calibri" w:hAnsi="Calibri"/>
                  <w:sz w:val="16"/>
                  <w:szCs w:val="16"/>
                  <w:color w:val="0000FF"/>
                </w:rPr>
                <w:t>Exelixis, Inc.</w:t>
              </w:r>
            </w:hyperlink>
          </w:p>
        </w:tc>
        <w:tc>
          <w:tcPr>
            <w:tcW w:w="2680" w:type="dxa"/>
            <w:vAlign w:val="bottom"/>
            <w:tcBorders>
              <w:top w:val="single" w:sz="8" w:color="0000FF"/>
            </w:tcBorders>
            <w:gridSpan w:val="28"/>
          </w:tcPr>
          <w:p>
            <w:pPr>
              <w:spacing w:after="0"/>
              <w:rPr>
                <w:sz w:val="13"/>
                <w:szCs w:val="13"/>
                <w:color w:val="auto"/>
              </w:rPr>
            </w:pPr>
          </w:p>
        </w:tc>
        <w:tc>
          <w:tcPr>
            <w:tcW w:w="1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3"/>
        </w:trPr>
        <w:tc>
          <w:tcPr>
            <w:tcW w:w="1000" w:type="dxa"/>
            <w:vAlign w:val="bottom"/>
          </w:tcPr>
          <w:p>
            <w:pPr>
              <w:jc w:val="center"/>
              <w:spacing w:after="0"/>
              <w:rPr>
                <w:sz w:val="20"/>
                <w:szCs w:val="20"/>
                <w:color w:val="auto"/>
              </w:rPr>
            </w:pPr>
            <w:r>
              <w:rPr>
                <w:rFonts w:ascii="Calibri" w:cs="Calibri" w:eastAsia="Calibri" w:hAnsi="Calibri"/>
                <w:sz w:val="18"/>
                <w:szCs w:val="18"/>
                <w:color w:val="auto"/>
                <w:w w:val="98"/>
              </w:rPr>
              <w:t>10.33**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31"/>
          </w:tcPr>
          <w:p>
            <w:pPr>
              <w:spacing w:after="0"/>
              <w:rPr>
                <w:rFonts w:ascii="Calibri" w:cs="Calibri" w:eastAsia="Calibri" w:hAnsi="Calibri"/>
                <w:sz w:val="18"/>
                <w:szCs w:val="18"/>
                <w:color w:val="0000FF"/>
              </w:rPr>
            </w:pPr>
            <w:hyperlink r:id="rId182">
              <w:r>
                <w:rPr>
                  <w:rFonts w:ascii="Calibri" w:cs="Calibri" w:eastAsia="Calibri" w:hAnsi="Calibri"/>
                  <w:sz w:val="18"/>
                  <w:szCs w:val="18"/>
                  <w:color w:val="0000FF"/>
                </w:rPr>
                <w:t>Collaboraton and License Agreement dated</w:t>
              </w:r>
            </w:hyperlink>
          </w:p>
        </w:tc>
        <w:tc>
          <w:tcPr>
            <w:tcW w:w="1340" w:type="dxa"/>
            <w:vAlign w:val="bottom"/>
            <w:gridSpan w:val="2"/>
          </w:tcPr>
          <w:p>
            <w:pPr>
              <w:jc w:val="center"/>
              <w:ind w:right="140"/>
              <w:spacing w:after="0"/>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5/6/2021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tcBorders>
            <w:gridSpan w:val="11"/>
          </w:tcPr>
          <w:p>
            <w:pPr>
              <w:spacing w:after="0" w:line="156" w:lineRule="exact"/>
              <w:rPr>
                <w:rFonts w:ascii="Calibri" w:cs="Calibri" w:eastAsia="Calibri" w:hAnsi="Calibri"/>
                <w:sz w:val="16"/>
                <w:szCs w:val="16"/>
                <w:color w:val="0000FF"/>
              </w:rPr>
            </w:pPr>
            <w:hyperlink r:id="rId182">
              <w:r>
                <w:rPr>
                  <w:rFonts w:ascii="Calibri" w:cs="Calibri" w:eastAsia="Calibri" w:hAnsi="Calibri"/>
                  <w:sz w:val="16"/>
                  <w:szCs w:val="16"/>
                  <w:color w:val="0000FF"/>
                </w:rPr>
                <w:t>February 29, 2016, by and between Exelixis,</w:t>
              </w:r>
            </w:hyperlink>
          </w:p>
        </w:tc>
        <w:tc>
          <w:tcPr>
            <w:tcW w:w="20" w:type="dxa"/>
            <w:vAlign w:val="bottom"/>
          </w:tcPr>
          <w:p>
            <w:pPr>
              <w:spacing w:after="0"/>
              <w:rPr>
                <w:sz w:val="13"/>
                <w:szCs w:val="13"/>
                <w:color w:val="auto"/>
              </w:rPr>
            </w:pPr>
          </w:p>
        </w:tc>
        <w:tc>
          <w:tcPr>
            <w:tcW w:w="540" w:type="dxa"/>
            <w:vAlign w:val="bottom"/>
            <w:gridSpan w:val="19"/>
          </w:tcPr>
          <w:p>
            <w:pPr>
              <w:ind w:left="20"/>
              <w:spacing w:after="0" w:line="156" w:lineRule="exact"/>
              <w:rPr>
                <w:rFonts w:ascii="Calibri" w:cs="Calibri" w:eastAsia="Calibri" w:hAnsi="Calibri"/>
                <w:sz w:val="16"/>
                <w:szCs w:val="16"/>
                <w:color w:val="0000FF"/>
              </w:rPr>
            </w:pPr>
            <w:hyperlink r:id="rId182">
              <w:r>
                <w:rPr>
                  <w:rFonts w:ascii="Calibri" w:cs="Calibri" w:eastAsia="Calibri" w:hAnsi="Calibri"/>
                  <w:sz w:val="16"/>
                  <w:szCs w:val="16"/>
                  <w:color w:val="0000FF"/>
                </w:rPr>
                <w:t>Inc.</w:t>
              </w:r>
            </w:hyperlink>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2"/>
          </w:tcPr>
          <w:p>
            <w:pPr>
              <w:spacing w:after="0" w:line="169" w:lineRule="exact"/>
              <w:rPr>
                <w:rFonts w:ascii="Calibri" w:cs="Calibri" w:eastAsia="Calibri" w:hAnsi="Calibri"/>
                <w:sz w:val="18"/>
                <w:szCs w:val="18"/>
                <w:color w:val="0000FF"/>
                <w:w w:val="97"/>
              </w:rPr>
            </w:pPr>
            <w:hyperlink r:id="rId182">
              <w:r>
                <w:rPr>
                  <w:rFonts w:ascii="Calibri" w:cs="Calibri" w:eastAsia="Calibri" w:hAnsi="Calibri"/>
                  <w:sz w:val="18"/>
                  <w:szCs w:val="18"/>
                  <w:color w:val="0000FF"/>
                  <w:w w:val="97"/>
                </w:rPr>
                <w:t>and Ipsen Pharma SAS</w:t>
              </w:r>
            </w:hyperlink>
          </w:p>
        </w:tc>
        <w:tc>
          <w:tcPr>
            <w:tcW w:w="188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1"/>
          </w:tcPr>
          <w:p>
            <w:pPr>
              <w:spacing w:after="0" w:line="209" w:lineRule="exact"/>
              <w:rPr>
                <w:rFonts w:ascii="Calibri" w:cs="Calibri" w:eastAsia="Calibri" w:hAnsi="Calibri"/>
                <w:sz w:val="18"/>
                <w:szCs w:val="18"/>
                <w:color w:val="0000FF"/>
              </w:rPr>
            </w:pPr>
            <w:hyperlink r:id="rId183">
              <w:r>
                <w:rPr>
                  <w:rFonts w:ascii="Calibri" w:cs="Calibri" w:eastAsia="Calibri" w:hAnsi="Calibri"/>
                  <w:sz w:val="18"/>
                  <w:szCs w:val="18"/>
                  <w:color w:val="0000FF"/>
                </w:rPr>
                <w:t>First Amendment dated December 20, 2016, to</w:t>
              </w:r>
            </w:hyperlink>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10.2</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5/6/2021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22"/>
          </w:tcPr>
          <w:p>
            <w:pPr>
              <w:spacing w:after="0" w:line="156" w:lineRule="exact"/>
              <w:rPr>
                <w:rFonts w:ascii="Calibri" w:cs="Calibri" w:eastAsia="Calibri" w:hAnsi="Calibri"/>
                <w:sz w:val="16"/>
                <w:szCs w:val="16"/>
                <w:color w:val="0000FF"/>
              </w:rPr>
            </w:pPr>
            <w:hyperlink r:id="rId183">
              <w:r>
                <w:rPr>
                  <w:rFonts w:ascii="Calibri" w:cs="Calibri" w:eastAsia="Calibri" w:hAnsi="Calibri"/>
                  <w:sz w:val="16"/>
                  <w:szCs w:val="16"/>
                  <w:color w:val="0000FF"/>
                </w:rPr>
                <w:t>the Collaboraton and License Agreement dated</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24"/>
          </w:tcPr>
          <w:p>
            <w:pPr>
              <w:spacing w:after="0" w:line="169" w:lineRule="exact"/>
              <w:rPr>
                <w:rFonts w:ascii="Calibri" w:cs="Calibri" w:eastAsia="Calibri" w:hAnsi="Calibri"/>
                <w:sz w:val="18"/>
                <w:szCs w:val="18"/>
                <w:color w:val="0000FF"/>
                <w:w w:val="97"/>
              </w:rPr>
            </w:pPr>
            <w:hyperlink r:id="rId183">
              <w:r>
                <w:rPr>
                  <w:rFonts w:ascii="Calibri" w:cs="Calibri" w:eastAsia="Calibri" w:hAnsi="Calibri"/>
                  <w:sz w:val="18"/>
                  <w:szCs w:val="18"/>
                  <w:color w:val="0000FF"/>
                  <w:w w:val="97"/>
                </w:rPr>
                <w:t>February 29, 2016, by and between Exelixis, Inc.</w:t>
              </w:r>
            </w:hyperlink>
          </w:p>
        </w:tc>
        <w:tc>
          <w:tcPr>
            <w:tcW w:w="60" w:type="dxa"/>
            <w:vAlign w:val="bottom"/>
            <w:gridSpan w:val="3"/>
          </w:tcPr>
          <w:p>
            <w:pPr>
              <w:spacing w:after="0"/>
              <w:rPr>
                <w:sz w:val="14"/>
                <w:szCs w:val="14"/>
                <w:color w:val="auto"/>
              </w:rPr>
            </w:pPr>
          </w:p>
        </w:tc>
        <w:tc>
          <w:tcPr>
            <w:tcW w:w="180" w:type="dxa"/>
            <w:vAlign w:val="bottom"/>
            <w:gridSpan w:val="4"/>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2"/>
          </w:tcPr>
          <w:p>
            <w:pPr>
              <w:spacing w:after="0" w:line="156" w:lineRule="exact"/>
              <w:rPr>
                <w:rFonts w:ascii="Calibri" w:cs="Calibri" w:eastAsia="Calibri" w:hAnsi="Calibri"/>
                <w:sz w:val="16"/>
                <w:szCs w:val="16"/>
                <w:color w:val="0000FF"/>
              </w:rPr>
            </w:pPr>
            <w:hyperlink r:id="rId183">
              <w:r>
                <w:rPr>
                  <w:rFonts w:ascii="Calibri" w:cs="Calibri" w:eastAsia="Calibri" w:hAnsi="Calibri"/>
                  <w:sz w:val="16"/>
                  <w:szCs w:val="16"/>
                  <w:color w:val="0000FF"/>
                </w:rPr>
                <w:t>and Ipsen Pharma SAS</w:t>
              </w:r>
            </w:hyperlink>
          </w:p>
        </w:tc>
        <w:tc>
          <w:tcPr>
            <w:tcW w:w="18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0"/>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1"/>
          </w:tcPr>
          <w:p>
            <w:pPr>
              <w:spacing w:after="0" w:line="209" w:lineRule="exact"/>
              <w:rPr>
                <w:rFonts w:ascii="Calibri" w:cs="Calibri" w:eastAsia="Calibri" w:hAnsi="Calibri"/>
                <w:sz w:val="18"/>
                <w:szCs w:val="18"/>
                <w:color w:val="0000FF"/>
              </w:rPr>
            </w:pPr>
            <w:hyperlink r:id="rId184">
              <w:r>
                <w:rPr>
                  <w:rFonts w:ascii="Calibri" w:cs="Calibri" w:eastAsia="Calibri" w:hAnsi="Calibri"/>
                  <w:sz w:val="18"/>
                  <w:szCs w:val="18"/>
                  <w:color w:val="0000FF"/>
                </w:rPr>
                <w:t>Second Amendment dated September 14, 2017,</w:t>
              </w:r>
            </w:hyperlink>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10.3</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5/6/2021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27"/>
          </w:tcPr>
          <w:p>
            <w:pPr>
              <w:spacing w:after="0" w:line="156" w:lineRule="exact"/>
              <w:rPr>
                <w:rFonts w:ascii="Calibri" w:cs="Calibri" w:eastAsia="Calibri" w:hAnsi="Calibri"/>
                <w:sz w:val="16"/>
                <w:szCs w:val="16"/>
                <w:color w:val="0000FF"/>
              </w:rPr>
            </w:pPr>
            <w:hyperlink r:id="rId184">
              <w:r>
                <w:rPr>
                  <w:rFonts w:ascii="Calibri" w:cs="Calibri" w:eastAsia="Calibri" w:hAnsi="Calibri"/>
                  <w:sz w:val="16"/>
                  <w:szCs w:val="16"/>
                  <w:color w:val="0000FF"/>
                </w:rPr>
                <w:t>to the Collaboraton and License Agreement</w:t>
              </w:r>
            </w:hyperlink>
          </w:p>
        </w:tc>
        <w:tc>
          <w:tcPr>
            <w:tcW w:w="18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top w:val="single" w:sz="8" w:color="0000FF"/>
            </w:tcBorders>
            <w:gridSpan w:val="12"/>
          </w:tcPr>
          <w:p>
            <w:pPr>
              <w:spacing w:after="0" w:line="169" w:lineRule="exact"/>
              <w:rPr>
                <w:rFonts w:ascii="Calibri" w:cs="Calibri" w:eastAsia="Calibri" w:hAnsi="Calibri"/>
                <w:sz w:val="18"/>
                <w:szCs w:val="18"/>
                <w:color w:val="0000FF"/>
              </w:rPr>
            </w:pPr>
            <w:hyperlink r:id="rId184">
              <w:r>
                <w:rPr>
                  <w:rFonts w:ascii="Calibri" w:cs="Calibri" w:eastAsia="Calibri" w:hAnsi="Calibri"/>
                  <w:sz w:val="18"/>
                  <w:szCs w:val="18"/>
                  <w:color w:val="0000FF"/>
                </w:rPr>
                <w:t>dated February 29, 2016, by and between</w:t>
              </w:r>
            </w:hyperlink>
          </w:p>
        </w:tc>
        <w:tc>
          <w:tcPr>
            <w:tcW w:w="120" w:type="dxa"/>
            <w:vAlign w:val="bottom"/>
            <w:gridSpan w:val="4"/>
          </w:tcPr>
          <w:p>
            <w:pPr>
              <w:spacing w:after="0"/>
              <w:rPr>
                <w:sz w:val="14"/>
                <w:szCs w:val="14"/>
                <w:color w:val="auto"/>
              </w:rPr>
            </w:pPr>
          </w:p>
        </w:tc>
        <w:tc>
          <w:tcPr>
            <w:tcW w:w="420" w:type="dxa"/>
            <w:vAlign w:val="bottom"/>
            <w:gridSpan w:val="15"/>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Borders>
              <w:top w:val="single" w:sz="8" w:color="0000FF"/>
            </w:tcBorders>
            <w:gridSpan w:val="9"/>
          </w:tcPr>
          <w:p>
            <w:pPr>
              <w:spacing w:after="0" w:line="156" w:lineRule="exact"/>
              <w:rPr>
                <w:rFonts w:ascii="Calibri" w:cs="Calibri" w:eastAsia="Calibri" w:hAnsi="Calibri"/>
                <w:sz w:val="16"/>
                <w:szCs w:val="16"/>
                <w:color w:val="0000FF"/>
              </w:rPr>
            </w:pPr>
            <w:hyperlink r:id="rId184">
              <w:r>
                <w:rPr>
                  <w:rFonts w:ascii="Calibri" w:cs="Calibri" w:eastAsia="Calibri" w:hAnsi="Calibri"/>
                  <w:sz w:val="16"/>
                  <w:szCs w:val="16"/>
                  <w:color w:val="0000FF"/>
                </w:rPr>
                <w:t>Exelixis, Inc. and Ipsen Pharma SAS</w:t>
              </w:r>
            </w:hyperlink>
          </w:p>
        </w:tc>
        <w:tc>
          <w:tcPr>
            <w:tcW w:w="280" w:type="dxa"/>
            <w:vAlign w:val="bottom"/>
            <w:gridSpan w:val="7"/>
          </w:tcPr>
          <w:p>
            <w:pPr>
              <w:spacing w:after="0"/>
              <w:rPr>
                <w:sz w:val="13"/>
                <w:szCs w:val="13"/>
                <w:color w:val="auto"/>
              </w:rPr>
            </w:pPr>
          </w:p>
        </w:tc>
        <w:tc>
          <w:tcPr>
            <w:tcW w:w="420" w:type="dxa"/>
            <w:vAlign w:val="bottom"/>
            <w:gridSpan w:val="15"/>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780" w:type="dxa"/>
            <w:vAlign w:val="bottom"/>
            <w:gridSpan w:val="13"/>
          </w:tcPr>
          <w:p>
            <w:pPr>
              <w:spacing w:after="0" w:line="20" w:lineRule="exact"/>
              <w:rPr>
                <w:sz w:val="1"/>
                <w:szCs w:val="1"/>
                <w:color w:val="auto"/>
              </w:rPr>
            </w:pPr>
          </w:p>
        </w:tc>
        <w:tc>
          <w:tcPr>
            <w:tcW w:w="420" w:type="dxa"/>
            <w:vAlign w:val="bottom"/>
            <w:gridSpan w:val="1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1"/>
          </w:tcPr>
          <w:p>
            <w:pPr>
              <w:spacing w:after="0" w:line="209" w:lineRule="exact"/>
              <w:rPr>
                <w:rFonts w:ascii="Calibri" w:cs="Calibri" w:eastAsia="Calibri" w:hAnsi="Calibri"/>
                <w:sz w:val="18"/>
                <w:szCs w:val="18"/>
                <w:color w:val="0000FF"/>
              </w:rPr>
            </w:pPr>
            <w:hyperlink r:id="rId185">
              <w:r>
                <w:rPr>
                  <w:rFonts w:ascii="Calibri" w:cs="Calibri" w:eastAsia="Calibri" w:hAnsi="Calibri"/>
                  <w:sz w:val="18"/>
                  <w:szCs w:val="18"/>
                  <w:color w:val="0000FF"/>
                </w:rPr>
                <w:t>Third Amendment dated October 26, 2017, to</w:t>
              </w:r>
            </w:hyperlink>
          </w:p>
        </w:tc>
        <w:tc>
          <w:tcPr>
            <w:tcW w:w="1340" w:type="dxa"/>
            <w:vAlign w:val="bottom"/>
            <w:gridSpan w:val="2"/>
          </w:tcPr>
          <w:p>
            <w:pPr>
              <w:jc w:val="center"/>
              <w:ind w:right="14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10.4</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5/6/2021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16"/>
            <w:shd w:val="clear" w:color="auto" w:fill="0000FF"/>
          </w:tcPr>
          <w:p>
            <w:pPr>
              <w:spacing w:after="0" w:line="20" w:lineRule="exact"/>
              <w:rPr>
                <w:sz w:val="1"/>
                <w:szCs w:val="1"/>
                <w:color w:val="auto"/>
              </w:rPr>
            </w:pPr>
          </w:p>
        </w:tc>
        <w:tc>
          <w:tcPr>
            <w:tcW w:w="420" w:type="dxa"/>
            <w:vAlign w:val="bottom"/>
            <w:gridSpan w:val="1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bottom w:val="single" w:sz="8" w:color="0000FF"/>
            </w:tcBorders>
            <w:gridSpan w:val="24"/>
          </w:tcPr>
          <w:p>
            <w:pPr>
              <w:spacing w:after="0" w:line="156" w:lineRule="exact"/>
              <w:rPr>
                <w:rFonts w:ascii="Calibri" w:cs="Calibri" w:eastAsia="Calibri" w:hAnsi="Calibri"/>
                <w:sz w:val="16"/>
                <w:szCs w:val="16"/>
                <w:color w:val="0000FF"/>
              </w:rPr>
            </w:pPr>
            <w:hyperlink r:id="rId185">
              <w:r>
                <w:rPr>
                  <w:rFonts w:ascii="Calibri" w:cs="Calibri" w:eastAsia="Calibri" w:hAnsi="Calibri"/>
                  <w:sz w:val="16"/>
                  <w:szCs w:val="16"/>
                  <w:color w:val="0000FF"/>
                </w:rPr>
                <w:t>the Collaboraton and License Agreement dated</w:t>
              </w:r>
            </w:hyperlink>
          </w:p>
        </w:tc>
        <w:tc>
          <w:tcPr>
            <w:tcW w:w="240" w:type="dxa"/>
            <w:vAlign w:val="bottom"/>
            <w:gridSpan w:val="7"/>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ind w:left="1140"/>
        <w:spacing w:after="0" w:line="221" w:lineRule="auto"/>
        <w:rPr>
          <w:rFonts w:ascii="Calibri" w:cs="Calibri" w:eastAsia="Calibri" w:hAnsi="Calibri"/>
          <w:sz w:val="18"/>
          <w:szCs w:val="18"/>
          <w:u w:val="single" w:color="auto"/>
          <w:color w:val="0000FF"/>
        </w:rPr>
      </w:pPr>
      <w:hyperlink r:id="rId185">
        <w:r>
          <w:rPr>
            <w:rFonts w:ascii="Calibri" w:cs="Calibri" w:eastAsia="Calibri" w:hAnsi="Calibri"/>
            <w:sz w:val="18"/>
            <w:szCs w:val="18"/>
            <w:u w:val="single" w:color="auto"/>
            <w:color w:val="0000FF"/>
          </w:rPr>
          <w:t>February 29, 2016, by and between Exelixis, Inc.</w:t>
        </w:r>
      </w:hyperlink>
    </w:p>
    <w:p>
      <w:pPr>
        <w:ind w:left="1140"/>
        <w:spacing w:after="0" w:line="195" w:lineRule="auto"/>
        <w:rPr>
          <w:rFonts w:ascii="Calibri" w:cs="Calibri" w:eastAsia="Calibri" w:hAnsi="Calibri"/>
          <w:sz w:val="18"/>
          <w:szCs w:val="18"/>
          <w:u w:val="single" w:color="auto"/>
          <w:color w:val="0000FF"/>
        </w:rPr>
      </w:pPr>
      <w:hyperlink r:id="rId185">
        <w:r>
          <w:rPr>
            <w:rFonts w:ascii="Calibri" w:cs="Calibri" w:eastAsia="Calibri" w:hAnsi="Calibri"/>
            <w:sz w:val="18"/>
            <w:szCs w:val="18"/>
            <w:u w:val="single" w:color="auto"/>
            <w:color w:val="0000FF"/>
          </w:rPr>
          <w:t>and Ipsen Pharma SAS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1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4"/>
          </w:tcPr>
          <w:p>
            <w:pPr>
              <w:ind w:left="380"/>
              <w:spacing w:after="0"/>
              <w:rPr>
                <w:sz w:val="20"/>
                <w:szCs w:val="20"/>
                <w:color w:val="auto"/>
              </w:rPr>
            </w:pPr>
            <w:r>
              <w:rPr>
                <w:rFonts w:ascii="Calibri" w:cs="Calibri" w:eastAsia="Calibri" w:hAnsi="Calibri"/>
                <w:sz w:val="16"/>
                <w:szCs w:val="16"/>
                <w:b w:val="1"/>
                <w:bCs w:val="1"/>
                <w:color w:val="auto"/>
              </w:rPr>
              <w:t>Incorporaton by Reference</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177"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140"/>
              <w:spacing w:after="0" w:line="178" w:lineRule="exact"/>
              <w:rPr>
                <w:sz w:val="20"/>
                <w:szCs w:val="20"/>
                <w:color w:val="auto"/>
              </w:rPr>
            </w:pPr>
            <w:r>
              <w:rPr>
                <w:rFonts w:ascii="Calibri" w:cs="Calibri" w:eastAsia="Calibri" w:hAnsi="Calibri"/>
                <w:sz w:val="16"/>
                <w:szCs w:val="16"/>
                <w:b w:val="1"/>
                <w:bCs w:val="1"/>
                <w:color w:val="auto"/>
                <w:w w:val="98"/>
              </w:rPr>
              <w:t>Exhibit/</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2"/>
        </w:trPr>
        <w:tc>
          <w:tcPr>
            <w:tcW w:w="1120" w:type="dxa"/>
            <w:vAlign w:val="bottom"/>
            <w:gridSpan w:val="2"/>
          </w:tcPr>
          <w:p>
            <w:pPr>
              <w:jc w:val="center"/>
              <w:ind w:right="120"/>
              <w:spacing w:after="0" w:line="162" w:lineRule="exact"/>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line="162" w:lineRule="exact"/>
              <w:rPr>
                <w:sz w:val="20"/>
                <w:szCs w:val="20"/>
                <w:color w:val="auto"/>
              </w:rPr>
            </w:pPr>
            <w:r>
              <w:rPr>
                <w:rFonts w:ascii="Calibri" w:cs="Calibri" w:eastAsia="Calibri" w:hAnsi="Calibri"/>
                <w:sz w:val="16"/>
                <w:szCs w:val="16"/>
                <w:b w:val="1"/>
                <w:bCs w:val="1"/>
                <w:color w:val="auto"/>
              </w:rPr>
              <w:t>Appendix</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Filed</w:t>
            </w:r>
          </w:p>
        </w:tc>
      </w:tr>
      <w:tr>
        <w:trPr>
          <w:trHeight w:val="193"/>
        </w:trPr>
        <w:tc>
          <w:tcPr>
            <w:tcW w:w="1120" w:type="dxa"/>
            <w:vAlign w:val="bottom"/>
            <w:gridSpan w:val="2"/>
          </w:tcPr>
          <w:p>
            <w:pPr>
              <w:jc w:val="center"/>
              <w:ind w:right="1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29"/>
          </w:tcPr>
          <w:p>
            <w:pPr>
              <w:ind w:left="860"/>
              <w:spacing w:after="0" w:line="193" w:lineRule="exact"/>
              <w:rPr>
                <w:sz w:val="20"/>
                <w:szCs w:val="20"/>
                <w:color w:val="auto"/>
              </w:rPr>
            </w:pPr>
            <w:r>
              <w:rPr>
                <w:rFonts w:ascii="Calibri" w:cs="Calibri" w:eastAsia="Calibri" w:hAnsi="Calibri"/>
                <w:sz w:val="16"/>
                <w:szCs w:val="16"/>
                <w:b w:val="1"/>
                <w:bCs w:val="1"/>
                <w:color w:val="auto"/>
              </w:rPr>
              <w:t>Exhibit Descripton</w:t>
            </w:r>
          </w:p>
        </w:tc>
        <w:tc>
          <w:tcPr>
            <w:tcW w:w="1340" w:type="dxa"/>
            <w:vAlign w:val="bottom"/>
            <w:gridSpan w:val="2"/>
          </w:tcPr>
          <w:p>
            <w:pPr>
              <w:ind w:left="420"/>
              <w:spacing w:after="0" w:line="193" w:lineRule="exact"/>
              <w:rPr>
                <w:sz w:val="20"/>
                <w:szCs w:val="20"/>
                <w:color w:val="auto"/>
              </w:rPr>
            </w:pPr>
            <w:r>
              <w:rPr>
                <w:rFonts w:ascii="Calibri" w:cs="Calibri" w:eastAsia="Calibri" w:hAnsi="Calibri"/>
                <w:sz w:val="16"/>
                <w:szCs w:val="16"/>
                <w:b w:val="1"/>
                <w:bCs w:val="1"/>
                <w:color w:val="auto"/>
              </w:rPr>
              <w:t>Form</w:t>
            </w:r>
          </w:p>
        </w:tc>
        <w:tc>
          <w:tcPr>
            <w:tcW w:w="1360" w:type="dxa"/>
            <w:vAlign w:val="bottom"/>
            <w:gridSpan w:val="2"/>
          </w:tcPr>
          <w:p>
            <w:pPr>
              <w:jc w:val="center"/>
              <w:ind w:right="140"/>
              <w:spacing w:after="0" w:line="193" w:lineRule="exact"/>
              <w:rPr>
                <w:sz w:val="20"/>
                <w:szCs w:val="20"/>
                <w:color w:val="auto"/>
              </w:rPr>
            </w:pPr>
            <w:r>
              <w:rPr>
                <w:rFonts w:ascii="Calibri" w:cs="Calibri" w:eastAsia="Calibri" w:hAnsi="Calibri"/>
                <w:sz w:val="16"/>
                <w:szCs w:val="16"/>
                <w:b w:val="1"/>
                <w:bCs w:val="1"/>
                <w:color w:val="auto"/>
              </w:rPr>
              <w:t>File Number</w:t>
            </w:r>
          </w:p>
        </w:tc>
        <w:tc>
          <w:tcPr>
            <w:tcW w:w="1340" w:type="dxa"/>
            <w:vAlign w:val="bottom"/>
            <w:gridSpan w:val="2"/>
          </w:tcPr>
          <w:p>
            <w:pPr>
              <w:jc w:val="center"/>
              <w:ind w:right="140"/>
              <w:spacing w:after="0" w:line="193" w:lineRule="exact"/>
              <w:rPr>
                <w:sz w:val="20"/>
                <w:szCs w:val="20"/>
                <w:color w:val="auto"/>
              </w:rPr>
            </w:pPr>
            <w:r>
              <w:rPr>
                <w:rFonts w:ascii="Calibri" w:cs="Calibri" w:eastAsia="Calibri" w:hAnsi="Calibri"/>
                <w:sz w:val="16"/>
                <w:szCs w:val="16"/>
                <w:b w:val="1"/>
                <w:bCs w:val="1"/>
                <w:color w:val="auto"/>
              </w:rPr>
              <w:t>Reference</w:t>
            </w:r>
          </w:p>
        </w:tc>
        <w:tc>
          <w:tcPr>
            <w:tcW w:w="1240" w:type="dxa"/>
            <w:vAlign w:val="bottom"/>
          </w:tcPr>
          <w:p>
            <w:pPr>
              <w:ind w:left="260"/>
              <w:spacing w:after="0" w:line="193" w:lineRule="exact"/>
              <w:rPr>
                <w:sz w:val="20"/>
                <w:szCs w:val="20"/>
                <w:color w:val="auto"/>
              </w:rPr>
            </w:pPr>
            <w:r>
              <w:rPr>
                <w:rFonts w:ascii="Calibri" w:cs="Calibri" w:eastAsia="Calibri" w:hAnsi="Calibri"/>
                <w:sz w:val="16"/>
                <w:szCs w:val="16"/>
                <w:b w:val="1"/>
                <w:bCs w:val="1"/>
                <w:color w:val="auto"/>
              </w:rPr>
              <w:t>Filing Date</w:t>
            </w:r>
          </w:p>
        </w:tc>
        <w:tc>
          <w:tcPr>
            <w:tcW w:w="120" w:type="dxa"/>
            <w:vAlign w:val="bottom"/>
          </w:tcPr>
          <w:p>
            <w:pPr>
              <w:spacing w:after="0"/>
              <w:rPr>
                <w:sz w:val="16"/>
                <w:szCs w:val="16"/>
                <w:color w:val="auto"/>
              </w:rPr>
            </w:pPr>
          </w:p>
        </w:tc>
        <w:tc>
          <w:tcPr>
            <w:tcW w:w="10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Herewith</w:t>
            </w:r>
          </w:p>
        </w:tc>
      </w:tr>
      <w:tr>
        <w:trPr>
          <w:trHeight w:val="28"/>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77"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1000" w:type="dxa"/>
            <w:vAlign w:val="bottom"/>
          </w:tcPr>
          <w:p>
            <w:pPr>
              <w:jc w:val="center"/>
              <w:spacing w:after="0" w:line="169" w:lineRule="exact"/>
              <w:rPr>
                <w:sz w:val="20"/>
                <w:szCs w:val="20"/>
                <w:color w:val="auto"/>
              </w:rPr>
            </w:pPr>
            <w:r>
              <w:rPr>
                <w:rFonts w:ascii="Calibri" w:cs="Calibri" w:eastAsia="Calibri" w:hAnsi="Calibri"/>
                <w:sz w:val="18"/>
                <w:szCs w:val="18"/>
                <w:color w:val="auto"/>
                <w:w w:val="98"/>
              </w:rPr>
              <w:t>10.37**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29"/>
          </w:tcPr>
          <w:p>
            <w:pPr>
              <w:spacing w:after="0" w:line="169" w:lineRule="exact"/>
              <w:rPr>
                <w:rFonts w:ascii="Calibri" w:cs="Calibri" w:eastAsia="Calibri" w:hAnsi="Calibri"/>
                <w:sz w:val="18"/>
                <w:szCs w:val="18"/>
                <w:color w:val="0000FF"/>
              </w:rPr>
            </w:pPr>
            <w:hyperlink r:id="rId187">
              <w:r>
                <w:rPr>
                  <w:rFonts w:ascii="Calibri" w:cs="Calibri" w:eastAsia="Calibri" w:hAnsi="Calibri"/>
                  <w:sz w:val="18"/>
                  <w:szCs w:val="18"/>
                  <w:color w:val="0000FF"/>
                </w:rPr>
                <w:t>Fourth Amendment dated October 11, 2022, to</w:t>
              </w:r>
            </w:hyperlink>
          </w:p>
        </w:tc>
        <w:tc>
          <w:tcPr>
            <w:tcW w:w="140" w:type="dxa"/>
            <w:vAlign w:val="bottom"/>
          </w:tcPr>
          <w:p>
            <w:pPr>
              <w:spacing w:after="0"/>
              <w:rPr>
                <w:sz w:val="14"/>
                <w:szCs w:val="14"/>
                <w:color w:val="auto"/>
              </w:rPr>
            </w:pPr>
          </w:p>
        </w:tc>
        <w:tc>
          <w:tcPr>
            <w:tcW w:w="1200" w:type="dxa"/>
            <w:vAlign w:val="bottom"/>
          </w:tcPr>
          <w:p>
            <w:pPr>
              <w:ind w:left="440"/>
              <w:spacing w:after="0" w:line="169" w:lineRule="exact"/>
              <w:rPr>
                <w:sz w:val="20"/>
                <w:szCs w:val="20"/>
                <w:color w:val="auto"/>
              </w:rPr>
            </w:pPr>
            <w:r>
              <w:rPr>
                <w:rFonts w:ascii="Calibri" w:cs="Calibri" w:eastAsia="Calibri" w:hAnsi="Calibri"/>
                <w:sz w:val="18"/>
                <w:szCs w:val="18"/>
                <w:color w:val="auto"/>
              </w:rPr>
              <w:t>10-K</w:t>
            </w:r>
          </w:p>
        </w:tc>
        <w:tc>
          <w:tcPr>
            <w:tcW w:w="14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Calibri" w:cs="Calibri" w:eastAsia="Calibri" w:hAnsi="Calibri"/>
                <w:sz w:val="18"/>
                <w:szCs w:val="18"/>
                <w:color w:val="auto"/>
                <w:w w:val="97"/>
              </w:rPr>
              <w:t>10.40</w:t>
            </w:r>
          </w:p>
        </w:tc>
        <w:tc>
          <w:tcPr>
            <w:tcW w:w="14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Calibri" w:cs="Calibri" w:eastAsia="Calibri" w:hAnsi="Calibri"/>
                <w:sz w:val="18"/>
                <w:szCs w:val="18"/>
                <w:color w:val="auto"/>
                <w:w w:val="98"/>
              </w:rPr>
              <w:t>2/7/2023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7"/>
          </w:tcPr>
          <w:p>
            <w:pPr>
              <w:spacing w:after="0" w:line="156" w:lineRule="exact"/>
              <w:rPr>
                <w:rFonts w:ascii="Calibri" w:cs="Calibri" w:eastAsia="Calibri" w:hAnsi="Calibri"/>
                <w:sz w:val="16"/>
                <w:szCs w:val="16"/>
                <w:color w:val="0000FF"/>
              </w:rPr>
            </w:pPr>
            <w:hyperlink r:id="rId187">
              <w:r>
                <w:rPr>
                  <w:rFonts w:ascii="Calibri" w:cs="Calibri" w:eastAsia="Calibri" w:hAnsi="Calibri"/>
                  <w:sz w:val="16"/>
                  <w:szCs w:val="16"/>
                  <w:color w:val="0000FF"/>
                </w:rPr>
                <w:t>the Collaboraton and License Agreement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bottom w:val="single" w:sz="8" w:color="0000FF"/>
            </w:tcBorders>
            <w:gridSpan w:val="20"/>
          </w:tcPr>
          <w:p>
            <w:pPr>
              <w:spacing w:after="0" w:line="169" w:lineRule="exact"/>
              <w:rPr>
                <w:rFonts w:ascii="Calibri" w:cs="Calibri" w:eastAsia="Calibri" w:hAnsi="Calibri"/>
                <w:sz w:val="18"/>
                <w:szCs w:val="18"/>
                <w:color w:val="0000FF"/>
                <w:w w:val="98"/>
              </w:rPr>
            </w:pPr>
            <w:hyperlink r:id="rId187">
              <w:r>
                <w:rPr>
                  <w:rFonts w:ascii="Calibri" w:cs="Calibri" w:eastAsia="Calibri" w:hAnsi="Calibri"/>
                  <w:sz w:val="18"/>
                  <w:szCs w:val="18"/>
                  <w:color w:val="0000FF"/>
                  <w:w w:val="98"/>
                </w:rPr>
                <w:t>February 29, 2016, by and between Exelixis, Inc.</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bottom w:val="single" w:sz="8" w:color="0000FF"/>
            </w:tcBorders>
            <w:gridSpan w:val="3"/>
          </w:tcPr>
          <w:p>
            <w:pPr>
              <w:spacing w:after="0" w:line="156" w:lineRule="exact"/>
              <w:rPr>
                <w:rFonts w:ascii="Calibri" w:cs="Calibri" w:eastAsia="Calibri" w:hAnsi="Calibri"/>
                <w:sz w:val="16"/>
                <w:szCs w:val="16"/>
                <w:color w:val="0000FF"/>
              </w:rPr>
            </w:pPr>
            <w:hyperlink r:id="rId187">
              <w:r>
                <w:rPr>
                  <w:rFonts w:ascii="Calibri" w:cs="Calibri" w:eastAsia="Calibri" w:hAnsi="Calibri"/>
                  <w:sz w:val="16"/>
                  <w:szCs w:val="16"/>
                  <w:color w:val="0000FF"/>
                </w:rPr>
                <w:t>and Ipsen Pharma SAS</w:t>
              </w:r>
            </w:hyperlink>
          </w:p>
        </w:tc>
        <w:tc>
          <w:tcPr>
            <w:tcW w:w="192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0"/>
          </w:tcPr>
          <w:p>
            <w:pPr>
              <w:spacing w:after="0" w:line="209" w:lineRule="exact"/>
              <w:rPr>
                <w:rFonts w:ascii="Calibri" w:cs="Calibri" w:eastAsia="Calibri" w:hAnsi="Calibri"/>
                <w:sz w:val="18"/>
                <w:szCs w:val="18"/>
                <w:color w:val="0000FF"/>
              </w:rPr>
            </w:pPr>
            <w:hyperlink r:id="rId188">
              <w:r>
                <w:rPr>
                  <w:rFonts w:ascii="Calibri" w:cs="Calibri" w:eastAsia="Calibri" w:hAnsi="Calibri"/>
                  <w:sz w:val="18"/>
                  <w:szCs w:val="18"/>
                  <w:color w:val="0000FF"/>
                </w:rPr>
                <w:t>Fifh Amendment dated August 24, 2023, to the</w:t>
              </w:r>
            </w:hyperlink>
          </w:p>
        </w:tc>
        <w:tc>
          <w:tcPr>
            <w:tcW w:w="1340" w:type="dxa"/>
            <w:vAlign w:val="bottom"/>
            <w:gridSpan w:val="2"/>
          </w:tcPr>
          <w:p>
            <w:pPr>
              <w:ind w:left="42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11/1/2023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21"/>
          </w:tcPr>
          <w:p>
            <w:pPr>
              <w:spacing w:after="0" w:line="156" w:lineRule="exact"/>
              <w:rPr>
                <w:rFonts w:ascii="Calibri" w:cs="Calibri" w:eastAsia="Calibri" w:hAnsi="Calibri"/>
                <w:sz w:val="16"/>
                <w:szCs w:val="16"/>
                <w:color w:val="0000FF"/>
              </w:rPr>
            </w:pPr>
            <w:hyperlink r:id="rId188">
              <w:r>
                <w:rPr>
                  <w:rFonts w:ascii="Calibri" w:cs="Calibri" w:eastAsia="Calibri" w:hAnsi="Calibri"/>
                  <w:sz w:val="16"/>
                  <w:szCs w:val="16"/>
                  <w:color w:val="0000FF"/>
                </w:rPr>
                <w:t>Collaboraton and License Agreement dated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top w:val="single" w:sz="8" w:color="0000FF"/>
            </w:tcBorders>
            <w:gridSpan w:val="10"/>
          </w:tcPr>
          <w:p>
            <w:pPr>
              <w:spacing w:after="0" w:line="169" w:lineRule="exact"/>
              <w:rPr>
                <w:rFonts w:ascii="Calibri" w:cs="Calibri" w:eastAsia="Calibri" w:hAnsi="Calibri"/>
                <w:sz w:val="18"/>
                <w:szCs w:val="18"/>
                <w:color w:val="0000FF"/>
                <w:w w:val="97"/>
              </w:rPr>
            </w:pPr>
            <w:hyperlink r:id="rId188">
              <w:r>
                <w:rPr>
                  <w:rFonts w:ascii="Calibri" w:cs="Calibri" w:eastAsia="Calibri" w:hAnsi="Calibri"/>
                  <w:sz w:val="18"/>
                  <w:szCs w:val="18"/>
                  <w:color w:val="0000FF"/>
                  <w:w w:val="97"/>
                </w:rPr>
                <w:t>February 29, 2016, by and between Exelixis,</w:t>
              </w:r>
            </w:hyperlink>
          </w:p>
        </w:tc>
        <w:tc>
          <w:tcPr>
            <w:tcW w:w="540" w:type="dxa"/>
            <w:vAlign w:val="bottom"/>
            <w:gridSpan w:val="20"/>
          </w:tcPr>
          <w:p>
            <w:pPr>
              <w:ind w:left="20"/>
              <w:spacing w:after="0" w:line="169" w:lineRule="exact"/>
              <w:rPr>
                <w:rFonts w:ascii="Calibri" w:cs="Calibri" w:eastAsia="Calibri" w:hAnsi="Calibri"/>
                <w:sz w:val="18"/>
                <w:szCs w:val="18"/>
                <w:color w:val="0000FF"/>
              </w:rPr>
            </w:pPr>
            <w:hyperlink r:id="rId188">
              <w:r>
                <w:rPr>
                  <w:rFonts w:ascii="Calibri" w:cs="Calibri" w:eastAsia="Calibri" w:hAnsi="Calibri"/>
                  <w:sz w:val="18"/>
                  <w:szCs w:val="18"/>
                  <w:color w:val="0000FF"/>
                </w:rPr>
                <w:t>Inc.</w:t>
              </w:r>
            </w:hyperlink>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3"/>
          </w:tcPr>
          <w:p>
            <w:pPr>
              <w:spacing w:after="0" w:line="156" w:lineRule="exact"/>
              <w:rPr>
                <w:rFonts w:ascii="Calibri" w:cs="Calibri" w:eastAsia="Calibri" w:hAnsi="Calibri"/>
                <w:sz w:val="16"/>
                <w:szCs w:val="16"/>
                <w:color w:val="0000FF"/>
              </w:rPr>
            </w:pPr>
            <w:hyperlink r:id="rId188">
              <w:r>
                <w:rPr>
                  <w:rFonts w:ascii="Calibri" w:cs="Calibri" w:eastAsia="Calibri" w:hAnsi="Calibri"/>
                  <w:sz w:val="16"/>
                  <w:szCs w:val="16"/>
                  <w:color w:val="0000FF"/>
                </w:rPr>
                <w:t>and Ipsen Pharma SAS</w:t>
              </w:r>
            </w:hyperlink>
          </w:p>
        </w:tc>
        <w:tc>
          <w:tcPr>
            <w:tcW w:w="19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bottom w:val="single" w:sz="8" w:color="0000FF"/>
            </w:tcBorders>
            <w:gridSpan w:val="15"/>
          </w:tcPr>
          <w:p>
            <w:pPr>
              <w:spacing w:after="0" w:line="209" w:lineRule="exact"/>
              <w:rPr>
                <w:rFonts w:ascii="Calibri" w:cs="Calibri" w:eastAsia="Calibri" w:hAnsi="Calibri"/>
                <w:sz w:val="18"/>
                <w:szCs w:val="18"/>
                <w:color w:val="0000FF"/>
                <w:w w:val="97"/>
              </w:rPr>
            </w:pPr>
            <w:hyperlink r:id="rId189">
              <w:r>
                <w:rPr>
                  <w:rFonts w:ascii="Calibri" w:cs="Calibri" w:eastAsia="Calibri" w:hAnsi="Calibri"/>
                  <w:sz w:val="18"/>
                  <w:szCs w:val="18"/>
                  <w:color w:val="0000FF"/>
                  <w:w w:val="97"/>
                </w:rPr>
                <w:t>Supply Agreement dated February 29, 2016, by</w:t>
              </w:r>
            </w:hyperlink>
          </w:p>
        </w:tc>
        <w:tc>
          <w:tcPr>
            <w:tcW w:w="300" w:type="dxa"/>
            <w:vAlign w:val="bottom"/>
            <w:gridSpan w:val="15"/>
          </w:tcPr>
          <w:p>
            <w:pPr>
              <w:spacing w:after="0"/>
              <w:rPr>
                <w:sz w:val="18"/>
                <w:szCs w:val="18"/>
                <w:color w:val="auto"/>
              </w:rPr>
            </w:pPr>
          </w:p>
        </w:tc>
        <w:tc>
          <w:tcPr>
            <w:tcW w:w="1340" w:type="dxa"/>
            <w:vAlign w:val="bottom"/>
            <w:gridSpan w:val="2"/>
          </w:tcPr>
          <w:p>
            <w:pPr>
              <w:ind w:left="42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10.5</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5/6/2021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bottom w:val="single" w:sz="8" w:color="0000FF"/>
            </w:tcBorders>
            <w:gridSpan w:val="26"/>
          </w:tcPr>
          <w:p>
            <w:pPr>
              <w:spacing w:after="0" w:line="156" w:lineRule="exact"/>
              <w:rPr>
                <w:rFonts w:ascii="Calibri" w:cs="Calibri" w:eastAsia="Calibri" w:hAnsi="Calibri"/>
                <w:sz w:val="16"/>
                <w:szCs w:val="16"/>
                <w:color w:val="0000FF"/>
              </w:rPr>
            </w:pPr>
            <w:hyperlink r:id="rId189">
              <w:r>
                <w:rPr>
                  <w:rFonts w:ascii="Calibri" w:cs="Calibri" w:eastAsia="Calibri" w:hAnsi="Calibri"/>
                  <w:sz w:val="16"/>
                  <w:szCs w:val="16"/>
                  <w:color w:val="0000FF"/>
                </w:rPr>
                <w:t>and between Exelixis, Inc. and Ipsen Pharma SAS</w:t>
              </w:r>
            </w:hyperlink>
          </w:p>
        </w:tc>
        <w:tc>
          <w:tcPr>
            <w:tcW w:w="22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3"/>
        </w:trPr>
        <w:tc>
          <w:tcPr>
            <w:tcW w:w="1000" w:type="dxa"/>
            <w:vAlign w:val="bottom"/>
          </w:tcPr>
          <w:p>
            <w:pPr>
              <w:jc w:val="center"/>
              <w:spacing w:after="0"/>
              <w:rPr>
                <w:sz w:val="20"/>
                <w:szCs w:val="20"/>
                <w:color w:val="auto"/>
              </w:rPr>
            </w:pPr>
            <w:r>
              <w:rPr>
                <w:rFonts w:ascii="Calibri" w:cs="Calibri" w:eastAsia="Calibri" w:hAnsi="Calibri"/>
                <w:sz w:val="18"/>
                <w:szCs w:val="18"/>
                <w:color w:val="auto"/>
                <w:w w:val="98"/>
              </w:rPr>
              <w:t>10.40**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30"/>
          </w:tcPr>
          <w:p>
            <w:pPr>
              <w:spacing w:after="0"/>
              <w:rPr>
                <w:rFonts w:ascii="Calibri" w:cs="Calibri" w:eastAsia="Calibri" w:hAnsi="Calibri"/>
                <w:sz w:val="18"/>
                <w:szCs w:val="18"/>
                <w:color w:val="0000FF"/>
              </w:rPr>
            </w:pPr>
            <w:hyperlink r:id="rId190">
              <w:r>
                <w:rPr>
                  <w:rFonts w:ascii="Calibri" w:cs="Calibri" w:eastAsia="Calibri" w:hAnsi="Calibri"/>
                  <w:sz w:val="18"/>
                  <w:szCs w:val="18"/>
                  <w:color w:val="0000FF"/>
                </w:rPr>
                <w:t>First Amendment dated October 26, 2017, to the</w:t>
              </w:r>
            </w:hyperlink>
          </w:p>
        </w:tc>
        <w:tc>
          <w:tcPr>
            <w:tcW w:w="1340" w:type="dxa"/>
            <w:vAlign w:val="bottom"/>
            <w:gridSpan w:val="2"/>
          </w:tcPr>
          <w:p>
            <w:pPr>
              <w:ind w:left="420"/>
              <w:spacing w:after="0"/>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color w:val="auto"/>
              </w:rPr>
              <w:t>10.6</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Calibri" w:cs="Calibri" w:eastAsia="Calibri" w:hAnsi="Calibri"/>
                <w:sz w:val="18"/>
                <w:szCs w:val="18"/>
                <w:color w:val="auto"/>
                <w:w w:val="98"/>
              </w:rPr>
              <w:t>5/6/2021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15"/>
          </w:tcPr>
          <w:p>
            <w:pPr>
              <w:spacing w:after="0" w:line="156" w:lineRule="exact"/>
              <w:rPr>
                <w:rFonts w:ascii="Calibri" w:cs="Calibri" w:eastAsia="Calibri" w:hAnsi="Calibri"/>
                <w:sz w:val="16"/>
                <w:szCs w:val="16"/>
                <w:color w:val="0000FF"/>
              </w:rPr>
            </w:pPr>
            <w:hyperlink r:id="rId190">
              <w:r>
                <w:rPr>
                  <w:rFonts w:ascii="Calibri" w:cs="Calibri" w:eastAsia="Calibri" w:hAnsi="Calibri"/>
                  <w:sz w:val="16"/>
                  <w:szCs w:val="16"/>
                  <w:color w:val="0000FF"/>
                </w:rPr>
                <w:t>Supply Agreement dated February 29, 2016, by</w:t>
              </w:r>
            </w:hyperlink>
          </w:p>
        </w:tc>
        <w:tc>
          <w:tcPr>
            <w:tcW w:w="10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Borders>
              <w:bottom w:val="single" w:sz="8" w:color="0000FF"/>
            </w:tcBorders>
            <w:gridSpan w:val="26"/>
          </w:tcPr>
          <w:p>
            <w:pPr>
              <w:spacing w:after="0" w:line="169" w:lineRule="exact"/>
              <w:rPr>
                <w:rFonts w:ascii="Calibri" w:cs="Calibri" w:eastAsia="Calibri" w:hAnsi="Calibri"/>
                <w:sz w:val="18"/>
                <w:szCs w:val="18"/>
                <w:color w:val="0000FF"/>
                <w:w w:val="96"/>
              </w:rPr>
            </w:pPr>
            <w:hyperlink r:id="rId190">
              <w:r>
                <w:rPr>
                  <w:rFonts w:ascii="Calibri" w:cs="Calibri" w:eastAsia="Calibri" w:hAnsi="Calibri"/>
                  <w:sz w:val="18"/>
                  <w:szCs w:val="18"/>
                  <w:color w:val="0000FF"/>
                  <w:w w:val="96"/>
                </w:rPr>
                <w:t>and between Exelixis, Inc. and Ipsen Pharma SAS</w:t>
              </w:r>
            </w:hyperlink>
          </w:p>
        </w:tc>
        <w:tc>
          <w:tcPr>
            <w:tcW w:w="220" w:type="dxa"/>
            <w:vAlign w:val="bottom"/>
            <w:gridSpan w:val="4"/>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0"/>
          </w:tcPr>
          <w:p>
            <w:pPr>
              <w:spacing w:after="0" w:line="209" w:lineRule="exact"/>
              <w:rPr>
                <w:rFonts w:ascii="Calibri" w:cs="Calibri" w:eastAsia="Calibri" w:hAnsi="Calibri"/>
                <w:sz w:val="18"/>
                <w:szCs w:val="18"/>
                <w:color w:val="0000FF"/>
              </w:rPr>
            </w:pPr>
            <w:hyperlink r:id="rId191">
              <w:r>
                <w:rPr>
                  <w:rFonts w:ascii="Calibri" w:cs="Calibri" w:eastAsia="Calibri" w:hAnsi="Calibri"/>
                  <w:sz w:val="18"/>
                  <w:szCs w:val="18"/>
                  <w:color w:val="0000FF"/>
                </w:rPr>
                <w:t>Second Amendment dated May 17, 2019, to the</w:t>
              </w:r>
            </w:hyperlink>
          </w:p>
        </w:tc>
        <w:tc>
          <w:tcPr>
            <w:tcW w:w="1340" w:type="dxa"/>
            <w:vAlign w:val="bottom"/>
            <w:gridSpan w:val="2"/>
          </w:tcPr>
          <w:p>
            <w:pPr>
              <w:ind w:left="42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10.2</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7/31/2019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15"/>
          </w:tcPr>
          <w:p>
            <w:pPr>
              <w:spacing w:after="0" w:line="156" w:lineRule="exact"/>
              <w:rPr>
                <w:rFonts w:ascii="Calibri" w:cs="Calibri" w:eastAsia="Calibri" w:hAnsi="Calibri"/>
                <w:sz w:val="16"/>
                <w:szCs w:val="16"/>
                <w:color w:val="0000FF"/>
              </w:rPr>
            </w:pPr>
            <w:hyperlink r:id="rId191">
              <w:r>
                <w:rPr>
                  <w:rFonts w:ascii="Calibri" w:cs="Calibri" w:eastAsia="Calibri" w:hAnsi="Calibri"/>
                  <w:sz w:val="16"/>
                  <w:szCs w:val="16"/>
                  <w:color w:val="0000FF"/>
                </w:rPr>
                <w:t>Supply Agreement dated February 29, 2016, by</w:t>
              </w:r>
            </w:hyperlink>
          </w:p>
        </w:tc>
        <w:tc>
          <w:tcPr>
            <w:tcW w:w="1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Borders>
              <w:bottom w:val="single" w:sz="8" w:color="0000FF"/>
            </w:tcBorders>
            <w:gridSpan w:val="26"/>
          </w:tcPr>
          <w:p>
            <w:pPr>
              <w:spacing w:after="0" w:line="169" w:lineRule="exact"/>
              <w:rPr>
                <w:rFonts w:ascii="Calibri" w:cs="Calibri" w:eastAsia="Calibri" w:hAnsi="Calibri"/>
                <w:sz w:val="18"/>
                <w:szCs w:val="18"/>
                <w:color w:val="0000FF"/>
                <w:w w:val="96"/>
              </w:rPr>
            </w:pPr>
            <w:hyperlink r:id="rId191">
              <w:r>
                <w:rPr>
                  <w:rFonts w:ascii="Calibri" w:cs="Calibri" w:eastAsia="Calibri" w:hAnsi="Calibri"/>
                  <w:sz w:val="18"/>
                  <w:szCs w:val="18"/>
                  <w:color w:val="0000FF"/>
                  <w:w w:val="96"/>
                </w:rPr>
                <w:t>and between Exelixis, Inc. and Ipsen Pharma SAS</w:t>
              </w:r>
            </w:hyperlink>
          </w:p>
        </w:tc>
        <w:tc>
          <w:tcPr>
            <w:tcW w:w="220" w:type="dxa"/>
            <w:vAlign w:val="bottom"/>
            <w:gridSpan w:val="4"/>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0"/>
          </w:tcPr>
          <w:p>
            <w:pPr>
              <w:spacing w:after="0" w:line="209" w:lineRule="exact"/>
              <w:rPr>
                <w:rFonts w:ascii="Calibri" w:cs="Calibri" w:eastAsia="Calibri" w:hAnsi="Calibri"/>
                <w:sz w:val="18"/>
                <w:szCs w:val="18"/>
                <w:color w:val="0000FF"/>
              </w:rPr>
            </w:pPr>
            <w:hyperlink r:id="rId192">
              <w:r>
                <w:rPr>
                  <w:rFonts w:ascii="Calibri" w:cs="Calibri" w:eastAsia="Calibri" w:hAnsi="Calibri"/>
                  <w:sz w:val="18"/>
                  <w:szCs w:val="18"/>
                  <w:color w:val="0000FF"/>
                </w:rPr>
                <w:t>Third Amendment dated December 10, 2021, to</w:t>
              </w:r>
            </w:hyperlink>
          </w:p>
        </w:tc>
        <w:tc>
          <w:tcPr>
            <w:tcW w:w="1340" w:type="dxa"/>
            <w:vAlign w:val="bottom"/>
            <w:gridSpan w:val="2"/>
          </w:tcPr>
          <w:p>
            <w:pPr>
              <w:ind w:left="440"/>
              <w:spacing w:after="0" w:line="209" w:lineRule="exact"/>
              <w:rPr>
                <w:sz w:val="20"/>
                <w:szCs w:val="20"/>
                <w:color w:val="auto"/>
              </w:rPr>
            </w:pPr>
            <w:r>
              <w:rPr>
                <w:rFonts w:ascii="Calibri" w:cs="Calibri" w:eastAsia="Calibri" w:hAnsi="Calibri"/>
                <w:sz w:val="18"/>
                <w:szCs w:val="18"/>
                <w:color w:val="auto"/>
              </w:rPr>
              <w:t>10-K</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10.42</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2/18/2022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25"/>
          </w:tcPr>
          <w:p>
            <w:pPr>
              <w:spacing w:after="0" w:line="156" w:lineRule="exact"/>
              <w:rPr>
                <w:rFonts w:ascii="Calibri" w:cs="Calibri" w:eastAsia="Calibri" w:hAnsi="Calibri"/>
                <w:sz w:val="16"/>
                <w:szCs w:val="16"/>
                <w:color w:val="0000FF"/>
              </w:rPr>
            </w:pPr>
            <w:hyperlink r:id="rId192">
              <w:r>
                <w:rPr>
                  <w:rFonts w:ascii="Calibri" w:cs="Calibri" w:eastAsia="Calibri" w:hAnsi="Calibri"/>
                  <w:sz w:val="16"/>
                  <w:szCs w:val="16"/>
                  <w:color w:val="0000FF"/>
                </w:rPr>
                <w:t>the Supply Agreement dated February 29, 2016,</w:t>
              </w:r>
            </w:hyperlink>
          </w:p>
        </w:tc>
        <w:tc>
          <w:tcPr>
            <w:tcW w:w="4294967237"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tcBorders>
              <w:top w:val="single" w:sz="8" w:color="0000FF"/>
            </w:tcBorders>
            <w:gridSpan w:val="24"/>
          </w:tcPr>
          <w:p>
            <w:pPr>
              <w:spacing w:after="0" w:line="169" w:lineRule="exact"/>
              <w:rPr>
                <w:rFonts w:ascii="Calibri" w:cs="Calibri" w:eastAsia="Calibri" w:hAnsi="Calibri"/>
                <w:sz w:val="18"/>
                <w:szCs w:val="18"/>
                <w:color w:val="0000FF"/>
              </w:rPr>
            </w:pPr>
            <w:hyperlink r:id="rId192">
              <w:r>
                <w:rPr>
                  <w:rFonts w:ascii="Calibri" w:cs="Calibri" w:eastAsia="Calibri" w:hAnsi="Calibri"/>
                  <w:sz w:val="18"/>
                  <w:szCs w:val="18"/>
                  <w:color w:val="0000FF"/>
                </w:rPr>
                <w:t>by and between Exelixis, Inc. and Ipsen Pharma</w:t>
              </w:r>
            </w:hyperlink>
          </w:p>
        </w:tc>
        <w:tc>
          <w:tcPr>
            <w:tcW w:w="4294967257" w:type="dxa"/>
            <w:vAlign w:val="bottom"/>
            <w:gridSpan w:val="4"/>
          </w:tcPr>
          <w:p>
            <w:pPr>
              <w:spacing w:after="0"/>
              <w:rPr>
                <w:sz w:val="14"/>
                <w:szCs w:val="14"/>
                <w:color w:val="auto"/>
              </w:rPr>
            </w:pPr>
          </w:p>
        </w:tc>
        <w:tc>
          <w:tcPr>
            <w:tcW w:w="1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16"/>
          </w:tcPr>
          <w:p>
            <w:pPr>
              <w:spacing w:after="0" w:line="156" w:lineRule="exact"/>
              <w:rPr>
                <w:rFonts w:ascii="Calibri" w:cs="Calibri" w:eastAsia="Calibri" w:hAnsi="Calibri"/>
                <w:sz w:val="16"/>
                <w:szCs w:val="16"/>
                <w:color w:val="0000FF"/>
              </w:rPr>
            </w:pPr>
            <w:hyperlink r:id="rId192">
              <w:r>
                <w:rPr>
                  <w:rFonts w:ascii="Calibri" w:cs="Calibri" w:eastAsia="Calibri" w:hAnsi="Calibri"/>
                  <w:sz w:val="16"/>
                  <w:szCs w:val="16"/>
                  <w:color w:val="0000FF"/>
                </w:rPr>
                <w:t>SAS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0"/>
          </w:tcPr>
          <w:p>
            <w:pPr>
              <w:spacing w:after="0" w:line="209" w:lineRule="exact"/>
              <w:rPr>
                <w:rFonts w:ascii="Calibri" w:cs="Calibri" w:eastAsia="Calibri" w:hAnsi="Calibri"/>
                <w:sz w:val="18"/>
                <w:szCs w:val="18"/>
                <w:color w:val="0000FF"/>
              </w:rPr>
            </w:pPr>
            <w:hyperlink r:id="rId193">
              <w:r>
                <w:rPr>
                  <w:rFonts w:ascii="Calibri" w:cs="Calibri" w:eastAsia="Calibri" w:hAnsi="Calibri"/>
                  <w:sz w:val="18"/>
                  <w:szCs w:val="18"/>
                  <w:color w:val="0000FF"/>
                </w:rPr>
                <w:t>Collaboraton and License Agreement dated</w:t>
              </w:r>
            </w:hyperlink>
          </w:p>
        </w:tc>
        <w:tc>
          <w:tcPr>
            <w:tcW w:w="1340" w:type="dxa"/>
            <w:vAlign w:val="bottom"/>
            <w:gridSpan w:val="2"/>
          </w:tcPr>
          <w:p>
            <w:pPr>
              <w:ind w:left="42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5/10/2022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0000FF"/>
            </w:tcBorders>
            <w:gridSpan w:val="10"/>
          </w:tcPr>
          <w:p>
            <w:pPr>
              <w:spacing w:after="0" w:line="156" w:lineRule="exact"/>
              <w:rPr>
                <w:rFonts w:ascii="Calibri" w:cs="Calibri" w:eastAsia="Calibri" w:hAnsi="Calibri"/>
                <w:sz w:val="16"/>
                <w:szCs w:val="16"/>
                <w:color w:val="0000FF"/>
              </w:rPr>
            </w:pPr>
            <w:hyperlink r:id="rId193">
              <w:r>
                <w:rPr>
                  <w:rFonts w:ascii="Calibri" w:cs="Calibri" w:eastAsia="Calibri" w:hAnsi="Calibri"/>
                  <w:sz w:val="16"/>
                  <w:szCs w:val="16"/>
                  <w:color w:val="0000FF"/>
                </w:rPr>
                <w:t>January 30, 2017, by and between Exelixis,</w:t>
              </w:r>
            </w:hyperlink>
          </w:p>
        </w:tc>
        <w:tc>
          <w:tcPr>
            <w:tcW w:w="540" w:type="dxa"/>
            <w:vAlign w:val="bottom"/>
            <w:gridSpan w:val="20"/>
          </w:tcPr>
          <w:p>
            <w:pPr>
              <w:spacing w:after="0" w:line="156" w:lineRule="exact"/>
              <w:rPr>
                <w:rFonts w:ascii="Calibri" w:cs="Calibri" w:eastAsia="Calibri" w:hAnsi="Calibri"/>
                <w:sz w:val="16"/>
                <w:szCs w:val="16"/>
                <w:color w:val="0000FF"/>
              </w:rPr>
            </w:pPr>
            <w:hyperlink r:id="rId193">
              <w:r>
                <w:rPr>
                  <w:rFonts w:ascii="Calibri" w:cs="Calibri" w:eastAsia="Calibri" w:hAnsi="Calibri"/>
                  <w:sz w:val="16"/>
                  <w:szCs w:val="16"/>
                  <w:color w:val="0000FF"/>
                </w:rPr>
                <w:t>Inc.</w:t>
              </w:r>
            </w:hyperlink>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40" w:type="dxa"/>
            <w:vAlign w:val="bottom"/>
            <w:tcBorders>
              <w:top w:val="single" w:sz="8" w:color="0000FF"/>
              <w:bottom w:val="single" w:sz="8" w:color="0000FF"/>
            </w:tcBorders>
            <w:gridSpan w:val="12"/>
          </w:tcPr>
          <w:p>
            <w:pPr>
              <w:spacing w:after="0" w:line="169" w:lineRule="exact"/>
              <w:rPr>
                <w:rFonts w:ascii="Calibri" w:cs="Calibri" w:eastAsia="Calibri" w:hAnsi="Calibri"/>
                <w:sz w:val="18"/>
                <w:szCs w:val="18"/>
                <w:color w:val="0000FF"/>
                <w:w w:val="97"/>
              </w:rPr>
            </w:pPr>
            <w:hyperlink r:id="rId193">
              <w:r>
                <w:rPr>
                  <w:rFonts w:ascii="Calibri" w:cs="Calibri" w:eastAsia="Calibri" w:hAnsi="Calibri"/>
                  <w:sz w:val="18"/>
                  <w:szCs w:val="18"/>
                  <w:color w:val="0000FF"/>
                  <w:w w:val="97"/>
                </w:rPr>
                <w:t>and Takeda Pharmaceutcal Company Limited</w:t>
              </w:r>
            </w:hyperlink>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9"/>
          </w:tcPr>
          <w:p>
            <w:pPr>
              <w:spacing w:after="0"/>
              <w:rPr>
                <w:sz w:val="14"/>
                <w:szCs w:val="14"/>
                <w:color w:val="auto"/>
              </w:rPr>
            </w:pPr>
          </w:p>
        </w:tc>
        <w:tc>
          <w:tcPr>
            <w:tcW w:w="1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5"/>
              </w:rPr>
              <w:t>10.44*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0"/>
          </w:tcPr>
          <w:p>
            <w:pPr>
              <w:spacing w:after="0" w:line="209" w:lineRule="exact"/>
              <w:rPr>
                <w:rFonts w:ascii="Calibri" w:cs="Calibri" w:eastAsia="Calibri" w:hAnsi="Calibri"/>
                <w:sz w:val="18"/>
                <w:szCs w:val="18"/>
                <w:color w:val="0000FF"/>
              </w:rPr>
            </w:pPr>
            <w:hyperlink r:id="rId194">
              <w:r>
                <w:rPr>
                  <w:rFonts w:ascii="Calibri" w:cs="Calibri" w:eastAsia="Calibri" w:hAnsi="Calibri"/>
                  <w:sz w:val="18"/>
                  <w:szCs w:val="18"/>
                  <w:color w:val="0000FF"/>
                </w:rPr>
                <w:t>First Amendment dated March 22, 2018, to the</w:t>
              </w:r>
            </w:hyperlink>
          </w:p>
        </w:tc>
        <w:tc>
          <w:tcPr>
            <w:tcW w:w="1340" w:type="dxa"/>
            <w:vAlign w:val="bottom"/>
            <w:gridSpan w:val="2"/>
          </w:tcPr>
          <w:p>
            <w:pPr>
              <w:ind w:left="42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8/1/2018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tcBorders>
            <w:gridSpan w:val="15"/>
          </w:tcPr>
          <w:p>
            <w:pPr>
              <w:spacing w:after="0" w:line="156" w:lineRule="exact"/>
              <w:rPr>
                <w:rFonts w:ascii="Calibri" w:cs="Calibri" w:eastAsia="Calibri" w:hAnsi="Calibri"/>
                <w:sz w:val="16"/>
                <w:szCs w:val="16"/>
                <w:color w:val="0000FF"/>
              </w:rPr>
            </w:pPr>
            <w:hyperlink r:id="rId194">
              <w:r>
                <w:rPr>
                  <w:rFonts w:ascii="Calibri" w:cs="Calibri" w:eastAsia="Calibri" w:hAnsi="Calibri"/>
                  <w:sz w:val="16"/>
                  <w:szCs w:val="16"/>
                  <w:color w:val="0000FF"/>
                </w:rPr>
                <w:t>Collaboraton and License Agreement dated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top w:val="single" w:sz="8" w:color="0000FF"/>
            </w:tcBorders>
            <w:gridSpan w:val="10"/>
          </w:tcPr>
          <w:p>
            <w:pPr>
              <w:spacing w:after="0" w:line="169" w:lineRule="exact"/>
              <w:rPr>
                <w:rFonts w:ascii="Calibri" w:cs="Calibri" w:eastAsia="Calibri" w:hAnsi="Calibri"/>
                <w:sz w:val="18"/>
                <w:szCs w:val="18"/>
                <w:color w:val="0000FF"/>
              </w:rPr>
            </w:pPr>
            <w:hyperlink r:id="rId194">
              <w:r>
                <w:rPr>
                  <w:rFonts w:ascii="Calibri" w:cs="Calibri" w:eastAsia="Calibri" w:hAnsi="Calibri"/>
                  <w:sz w:val="18"/>
                  <w:szCs w:val="18"/>
                  <w:color w:val="0000FF"/>
                </w:rPr>
                <w:t>January 30, 2017, by and between Exelixis,</w:t>
              </w:r>
            </w:hyperlink>
          </w:p>
        </w:tc>
        <w:tc>
          <w:tcPr>
            <w:tcW w:w="540" w:type="dxa"/>
            <w:vAlign w:val="bottom"/>
            <w:gridSpan w:val="20"/>
          </w:tcPr>
          <w:p>
            <w:pPr>
              <w:spacing w:after="0" w:line="169" w:lineRule="exact"/>
              <w:rPr>
                <w:rFonts w:ascii="Calibri" w:cs="Calibri" w:eastAsia="Calibri" w:hAnsi="Calibri"/>
                <w:sz w:val="18"/>
                <w:szCs w:val="18"/>
                <w:color w:val="0000FF"/>
              </w:rPr>
            </w:pPr>
            <w:hyperlink r:id="rId194">
              <w:r>
                <w:rPr>
                  <w:rFonts w:ascii="Calibri" w:cs="Calibri" w:eastAsia="Calibri" w:hAnsi="Calibri"/>
                  <w:sz w:val="18"/>
                  <w:szCs w:val="18"/>
                  <w:color w:val="0000FF"/>
                </w:rPr>
                <w:t>Inc.</w:t>
              </w:r>
            </w:hyperlink>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2"/>
          </w:tcPr>
          <w:p>
            <w:pPr>
              <w:spacing w:after="0" w:line="156" w:lineRule="exact"/>
              <w:rPr>
                <w:rFonts w:ascii="Calibri" w:cs="Calibri" w:eastAsia="Calibri" w:hAnsi="Calibri"/>
                <w:sz w:val="16"/>
                <w:szCs w:val="16"/>
                <w:color w:val="0000FF"/>
              </w:rPr>
            </w:pPr>
            <w:hyperlink r:id="rId194">
              <w:r>
                <w:rPr>
                  <w:rFonts w:ascii="Calibri" w:cs="Calibri" w:eastAsia="Calibri" w:hAnsi="Calibri"/>
                  <w:sz w:val="16"/>
                  <w:szCs w:val="16"/>
                  <w:color w:val="0000FF"/>
                </w:rPr>
                <w:t>and Takeda Pharmaceutcal Company Limited</w:t>
              </w:r>
            </w:hyperlink>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0"/>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0"/>
          </w:tcPr>
          <w:p>
            <w:pPr>
              <w:spacing w:after="0" w:line="209" w:lineRule="exact"/>
              <w:rPr>
                <w:rFonts w:ascii="Calibri" w:cs="Calibri" w:eastAsia="Calibri" w:hAnsi="Calibri"/>
                <w:sz w:val="18"/>
                <w:szCs w:val="18"/>
                <w:color w:val="0000FF"/>
              </w:rPr>
            </w:pPr>
            <w:hyperlink r:id="rId195">
              <w:r>
                <w:rPr>
                  <w:rFonts w:ascii="Calibri" w:cs="Calibri" w:eastAsia="Calibri" w:hAnsi="Calibri"/>
                  <w:sz w:val="18"/>
                  <w:szCs w:val="18"/>
                  <w:color w:val="0000FF"/>
                </w:rPr>
                <w:t>Second Amendment dated May 7, 2019, to the</w:t>
              </w:r>
            </w:hyperlink>
          </w:p>
        </w:tc>
        <w:tc>
          <w:tcPr>
            <w:tcW w:w="1340" w:type="dxa"/>
            <w:vAlign w:val="bottom"/>
            <w:gridSpan w:val="2"/>
          </w:tcPr>
          <w:p>
            <w:pPr>
              <w:ind w:left="42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10.2</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5/10/2022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tcBorders>
            <w:gridSpan w:val="14"/>
          </w:tcPr>
          <w:p>
            <w:pPr>
              <w:spacing w:after="0" w:line="156" w:lineRule="exact"/>
              <w:rPr>
                <w:rFonts w:ascii="Calibri" w:cs="Calibri" w:eastAsia="Calibri" w:hAnsi="Calibri"/>
                <w:sz w:val="16"/>
                <w:szCs w:val="16"/>
                <w:color w:val="0000FF"/>
              </w:rPr>
            </w:pPr>
            <w:hyperlink r:id="rId195">
              <w:r>
                <w:rPr>
                  <w:rFonts w:ascii="Calibri" w:cs="Calibri" w:eastAsia="Calibri" w:hAnsi="Calibri"/>
                  <w:sz w:val="16"/>
                  <w:szCs w:val="16"/>
                  <w:color w:val="0000FF"/>
                </w:rPr>
                <w:t>Collaboraton and License Agreement dated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top w:val="single" w:sz="8" w:color="0000FF"/>
            </w:tcBorders>
            <w:gridSpan w:val="10"/>
          </w:tcPr>
          <w:p>
            <w:pPr>
              <w:spacing w:after="0" w:line="169" w:lineRule="exact"/>
              <w:rPr>
                <w:rFonts w:ascii="Calibri" w:cs="Calibri" w:eastAsia="Calibri" w:hAnsi="Calibri"/>
                <w:sz w:val="18"/>
                <w:szCs w:val="18"/>
                <w:color w:val="0000FF"/>
              </w:rPr>
            </w:pPr>
            <w:hyperlink r:id="rId195">
              <w:r>
                <w:rPr>
                  <w:rFonts w:ascii="Calibri" w:cs="Calibri" w:eastAsia="Calibri" w:hAnsi="Calibri"/>
                  <w:sz w:val="18"/>
                  <w:szCs w:val="18"/>
                  <w:color w:val="0000FF"/>
                </w:rPr>
                <w:t>January 30, 2017, by and between Exelixis,</w:t>
              </w:r>
            </w:hyperlink>
          </w:p>
        </w:tc>
        <w:tc>
          <w:tcPr>
            <w:tcW w:w="540" w:type="dxa"/>
            <w:vAlign w:val="bottom"/>
            <w:gridSpan w:val="20"/>
          </w:tcPr>
          <w:p>
            <w:pPr>
              <w:spacing w:after="0" w:line="169" w:lineRule="exact"/>
              <w:rPr>
                <w:rFonts w:ascii="Calibri" w:cs="Calibri" w:eastAsia="Calibri" w:hAnsi="Calibri"/>
                <w:sz w:val="18"/>
                <w:szCs w:val="18"/>
                <w:color w:val="0000FF"/>
              </w:rPr>
            </w:pPr>
            <w:hyperlink r:id="rId195">
              <w:r>
                <w:rPr>
                  <w:rFonts w:ascii="Calibri" w:cs="Calibri" w:eastAsia="Calibri" w:hAnsi="Calibri"/>
                  <w:sz w:val="18"/>
                  <w:szCs w:val="18"/>
                  <w:color w:val="0000FF"/>
                </w:rPr>
                <w:t>Inc.</w:t>
              </w:r>
            </w:hyperlink>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tcBorders>
            <w:gridSpan w:val="13"/>
          </w:tcPr>
          <w:p>
            <w:pPr>
              <w:spacing w:after="0" w:line="156" w:lineRule="exact"/>
              <w:rPr>
                <w:rFonts w:ascii="Calibri" w:cs="Calibri" w:eastAsia="Calibri" w:hAnsi="Calibri"/>
                <w:sz w:val="16"/>
                <w:szCs w:val="16"/>
                <w:color w:val="0000FF"/>
              </w:rPr>
            </w:pPr>
            <w:hyperlink r:id="rId195">
              <w:r>
                <w:rPr>
                  <w:rFonts w:ascii="Calibri" w:cs="Calibri" w:eastAsia="Calibri" w:hAnsi="Calibri"/>
                  <w:sz w:val="16"/>
                  <w:szCs w:val="16"/>
                  <w:color w:val="0000FF"/>
                </w:rPr>
                <w:t>and Takeda Pharmaceutcal Company Limited</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0"/>
          </w:tcPr>
          <w:p>
            <w:pPr>
              <w:spacing w:after="0" w:line="209" w:lineRule="exact"/>
              <w:rPr>
                <w:rFonts w:ascii="Calibri" w:cs="Calibri" w:eastAsia="Calibri" w:hAnsi="Calibri"/>
                <w:sz w:val="18"/>
                <w:szCs w:val="18"/>
                <w:color w:val="0000FF"/>
              </w:rPr>
            </w:pPr>
            <w:hyperlink r:id="rId196">
              <w:r>
                <w:rPr>
                  <w:rFonts w:ascii="Calibri" w:cs="Calibri" w:eastAsia="Calibri" w:hAnsi="Calibri"/>
                  <w:sz w:val="18"/>
                  <w:szCs w:val="18"/>
                  <w:color w:val="0000FF"/>
                </w:rPr>
                <w:t>Third Amendment dated September 3, 2020, to</w:t>
              </w:r>
            </w:hyperlink>
          </w:p>
        </w:tc>
        <w:tc>
          <w:tcPr>
            <w:tcW w:w="1340" w:type="dxa"/>
            <w:vAlign w:val="bottom"/>
            <w:gridSpan w:val="2"/>
          </w:tcPr>
          <w:p>
            <w:pPr>
              <w:ind w:left="420"/>
              <w:spacing w:after="0" w:line="209" w:lineRule="exact"/>
              <w:rPr>
                <w:sz w:val="20"/>
                <w:szCs w:val="20"/>
                <w:color w:val="auto"/>
              </w:rPr>
            </w:pPr>
            <w:r>
              <w:rPr>
                <w:rFonts w:ascii="Calibri" w:cs="Calibri" w:eastAsia="Calibri" w:hAnsi="Calibri"/>
                <w:sz w:val="18"/>
                <w:szCs w:val="18"/>
                <w:color w:val="auto"/>
              </w:rPr>
              <w:t>10-Q</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10.1</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11/5/2020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8"/>
          </w:tcPr>
          <w:p>
            <w:pPr>
              <w:spacing w:after="0" w:line="156" w:lineRule="exact"/>
              <w:rPr>
                <w:rFonts w:ascii="Calibri" w:cs="Calibri" w:eastAsia="Calibri" w:hAnsi="Calibri"/>
                <w:sz w:val="16"/>
                <w:szCs w:val="16"/>
                <w:color w:val="0000FF"/>
              </w:rPr>
            </w:pPr>
            <w:hyperlink r:id="rId196">
              <w:r>
                <w:rPr>
                  <w:rFonts w:ascii="Calibri" w:cs="Calibri" w:eastAsia="Calibri" w:hAnsi="Calibri"/>
                  <w:sz w:val="16"/>
                  <w:szCs w:val="16"/>
                  <w:color w:val="0000FF"/>
                </w:rPr>
                <w:t>the Collaboraton and License Agreement dated</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gridSpan w:val="19"/>
          </w:tcPr>
          <w:p>
            <w:pPr>
              <w:spacing w:after="0" w:line="169" w:lineRule="exact"/>
              <w:rPr>
                <w:rFonts w:ascii="Calibri" w:cs="Calibri" w:eastAsia="Calibri" w:hAnsi="Calibri"/>
                <w:sz w:val="18"/>
                <w:szCs w:val="18"/>
                <w:color w:val="0000FF"/>
              </w:rPr>
            </w:pPr>
            <w:hyperlink r:id="rId196">
              <w:r>
                <w:rPr>
                  <w:rFonts w:ascii="Calibri" w:cs="Calibri" w:eastAsia="Calibri" w:hAnsi="Calibri"/>
                  <w:sz w:val="18"/>
                  <w:szCs w:val="18"/>
                  <w:color w:val="0000FF"/>
                </w:rPr>
                <w:t>January 30, 2017, by and between Exelixis, Inc.</w:t>
              </w:r>
            </w:hyperlink>
          </w:p>
        </w:tc>
        <w:tc>
          <w:tcPr>
            <w:tcW w:w="60" w:type="dxa"/>
            <w:vAlign w:val="bottom"/>
            <w:gridSpan w:val="9"/>
          </w:tcPr>
          <w:p>
            <w:pPr>
              <w:spacing w:after="0"/>
              <w:rPr>
                <w:sz w:val="14"/>
                <w:szCs w:val="14"/>
                <w:color w:val="auto"/>
              </w:rPr>
            </w:pPr>
          </w:p>
        </w:tc>
        <w:tc>
          <w:tcPr>
            <w:tcW w:w="1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tcBorders>
            <w:gridSpan w:val="13"/>
          </w:tcPr>
          <w:p>
            <w:pPr>
              <w:spacing w:after="0" w:line="156" w:lineRule="exact"/>
              <w:rPr>
                <w:rFonts w:ascii="Calibri" w:cs="Calibri" w:eastAsia="Calibri" w:hAnsi="Calibri"/>
                <w:sz w:val="16"/>
                <w:szCs w:val="16"/>
                <w:color w:val="0000FF"/>
              </w:rPr>
            </w:pPr>
            <w:hyperlink r:id="rId196">
              <w:r>
                <w:rPr>
                  <w:rFonts w:ascii="Calibri" w:cs="Calibri" w:eastAsia="Calibri" w:hAnsi="Calibri"/>
                  <w:sz w:val="16"/>
                  <w:szCs w:val="16"/>
                  <w:color w:val="0000FF"/>
                </w:rPr>
                <w:t>and Takeda Pharmaceutcal Company Limited</w:t>
              </w:r>
            </w:hyperlink>
          </w:p>
        </w:tc>
        <w:tc>
          <w:tcPr>
            <w:tcW w:w="180" w:type="dxa"/>
            <w:vAlign w:val="bottom"/>
            <w:gridSpan w:val="15"/>
          </w:tcPr>
          <w:p>
            <w:pPr>
              <w:spacing w:after="0"/>
              <w:rPr>
                <w:sz w:val="13"/>
                <w:szCs w:val="13"/>
                <w:color w:val="auto"/>
              </w:rPr>
            </w:pPr>
          </w:p>
        </w:tc>
        <w:tc>
          <w:tcPr>
            <w:tcW w:w="1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w w:val="98"/>
              </w:rPr>
              <w:t>10.47**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Borders>
              <w:top w:val="single" w:sz="8" w:color="0000FF"/>
              <w:bottom w:val="single" w:sz="8" w:color="0000FF"/>
            </w:tcBorders>
            <w:gridSpan w:val="7"/>
          </w:tcPr>
          <w:p>
            <w:pPr>
              <w:spacing w:after="0" w:line="209" w:lineRule="exact"/>
              <w:rPr>
                <w:rFonts w:ascii="Calibri" w:cs="Calibri" w:eastAsia="Calibri" w:hAnsi="Calibri"/>
                <w:sz w:val="18"/>
                <w:szCs w:val="18"/>
                <w:color w:val="0000FF"/>
                <w:w w:val="96"/>
              </w:rPr>
            </w:pPr>
            <w:hyperlink r:id="rId197">
              <w:r>
                <w:rPr>
                  <w:rFonts w:ascii="Calibri" w:cs="Calibri" w:eastAsia="Calibri" w:hAnsi="Calibri"/>
                  <w:sz w:val="18"/>
                  <w:szCs w:val="18"/>
                  <w:color w:val="0000FF"/>
                  <w:w w:val="96"/>
                </w:rPr>
                <w:t>Joint Clinical Research Agreement dated</w:t>
              </w:r>
            </w:hyperlink>
          </w:p>
        </w:tc>
        <w:tc>
          <w:tcPr>
            <w:tcW w:w="360" w:type="dxa"/>
            <w:vAlign w:val="bottom"/>
            <w:tcBorders>
              <w:top w:val="single" w:sz="8" w:color="0000FF"/>
            </w:tcBorders>
            <w:gridSpan w:val="4"/>
          </w:tcPr>
          <w:p>
            <w:pPr>
              <w:spacing w:after="0"/>
              <w:rPr>
                <w:sz w:val="18"/>
                <w:szCs w:val="18"/>
                <w:color w:val="auto"/>
              </w:rPr>
            </w:pPr>
          </w:p>
        </w:tc>
        <w:tc>
          <w:tcPr>
            <w:tcW w:w="460" w:type="dxa"/>
            <w:vAlign w:val="bottom"/>
            <w:gridSpan w:val="19"/>
          </w:tcPr>
          <w:p>
            <w:pPr>
              <w:spacing w:after="0"/>
              <w:rPr>
                <w:sz w:val="18"/>
                <w:szCs w:val="18"/>
                <w:color w:val="auto"/>
              </w:rPr>
            </w:pPr>
          </w:p>
        </w:tc>
        <w:tc>
          <w:tcPr>
            <w:tcW w:w="1340" w:type="dxa"/>
            <w:vAlign w:val="bottom"/>
            <w:gridSpan w:val="2"/>
          </w:tcPr>
          <w:p>
            <w:pPr>
              <w:ind w:left="440"/>
              <w:spacing w:after="0" w:line="209" w:lineRule="exact"/>
              <w:rPr>
                <w:sz w:val="20"/>
                <w:szCs w:val="20"/>
                <w:color w:val="auto"/>
              </w:rPr>
            </w:pPr>
            <w:r>
              <w:rPr>
                <w:rFonts w:ascii="Calibri" w:cs="Calibri" w:eastAsia="Calibri" w:hAnsi="Calibri"/>
                <w:sz w:val="18"/>
                <w:szCs w:val="18"/>
                <w:color w:val="auto"/>
              </w:rPr>
              <w:t>10-K</w:t>
            </w:r>
          </w:p>
        </w:tc>
        <w:tc>
          <w:tcPr>
            <w:tcW w:w="12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10.62</w:t>
            </w:r>
          </w:p>
        </w:tc>
        <w:tc>
          <w:tcPr>
            <w:tcW w:w="140" w:type="dxa"/>
            <w:vAlign w:val="bottom"/>
          </w:tcPr>
          <w:p>
            <w:pPr>
              <w:spacing w:after="0"/>
              <w:rPr>
                <w:sz w:val="18"/>
                <w:szCs w:val="18"/>
                <w:color w:val="auto"/>
              </w:rPr>
            </w:pPr>
          </w:p>
        </w:tc>
        <w:tc>
          <w:tcPr>
            <w:tcW w:w="1240" w:type="dxa"/>
            <w:vAlign w:val="bottom"/>
          </w:tcPr>
          <w:p>
            <w:pPr>
              <w:jc w:val="center"/>
              <w:spacing w:after="0" w:line="209" w:lineRule="exact"/>
              <w:rPr>
                <w:sz w:val="20"/>
                <w:szCs w:val="20"/>
                <w:color w:val="auto"/>
              </w:rPr>
            </w:pPr>
            <w:r>
              <w:rPr>
                <w:rFonts w:ascii="Calibri" w:cs="Calibri" w:eastAsia="Calibri" w:hAnsi="Calibri"/>
                <w:sz w:val="18"/>
                <w:szCs w:val="18"/>
                <w:color w:val="auto"/>
                <w:w w:val="97"/>
              </w:rPr>
              <w:t>2/25/2020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gridSpan w:val="30"/>
          </w:tcPr>
          <w:p>
            <w:pPr>
              <w:spacing w:after="0" w:line="156" w:lineRule="exact"/>
              <w:rPr>
                <w:rFonts w:ascii="Calibri" w:cs="Calibri" w:eastAsia="Calibri" w:hAnsi="Calibri"/>
                <w:sz w:val="16"/>
                <w:szCs w:val="16"/>
                <w:color w:val="0000FF"/>
              </w:rPr>
            </w:pPr>
            <w:hyperlink r:id="rId197">
              <w:r>
                <w:rPr>
                  <w:rFonts w:ascii="Calibri" w:cs="Calibri" w:eastAsia="Calibri" w:hAnsi="Calibri"/>
                  <w:sz w:val="16"/>
                  <w:szCs w:val="16"/>
                  <w:color w:val="0000FF"/>
                </w:rPr>
                <w:t>December 18, 2019, by and between Exelixis, Inc.</w:t>
              </w:r>
            </w:hyperlink>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Borders>
              <w:top w:val="single" w:sz="8" w:color="0000FF"/>
            </w:tcBorders>
            <w:gridSpan w:val="28"/>
          </w:tcPr>
          <w:p>
            <w:pPr>
              <w:spacing w:after="0" w:line="169" w:lineRule="exact"/>
              <w:rPr>
                <w:rFonts w:ascii="Calibri" w:cs="Calibri" w:eastAsia="Calibri" w:hAnsi="Calibri"/>
                <w:sz w:val="18"/>
                <w:szCs w:val="18"/>
                <w:color w:val="0000FF"/>
              </w:rPr>
            </w:pPr>
            <w:hyperlink r:id="rId197">
              <w:r>
                <w:rPr>
                  <w:rFonts w:ascii="Calibri" w:cs="Calibri" w:eastAsia="Calibri" w:hAnsi="Calibri"/>
                  <w:sz w:val="18"/>
                  <w:szCs w:val="18"/>
                  <w:color w:val="0000FF"/>
                </w:rPr>
                <w:t>and F. Hofmann-La Roche Ltd</w:t>
              </w:r>
            </w:hyperlink>
          </w:p>
        </w:tc>
        <w:tc>
          <w:tcPr>
            <w:tcW w:w="1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19.1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tcBorders>
              <w:bottom w:val="single" w:sz="8" w:color="0000FF"/>
            </w:tcBorders>
            <w:gridSpan w:val="6"/>
          </w:tcPr>
          <w:p>
            <w:pPr>
              <w:spacing w:after="0" w:line="209" w:lineRule="exact"/>
              <w:rPr>
                <w:sz w:val="20"/>
                <w:szCs w:val="20"/>
                <w:color w:val="auto"/>
              </w:rPr>
            </w:pPr>
            <w:r>
              <w:rPr>
                <w:rFonts w:ascii="Calibri" w:cs="Calibri" w:eastAsia="Calibri" w:hAnsi="Calibri"/>
                <w:sz w:val="18"/>
                <w:szCs w:val="18"/>
                <w:color w:val="0000FF"/>
                <w:w w:val="96"/>
              </w:rPr>
              <w:t>Exelixis, Inc. Insider Trading Policy</w:t>
            </w:r>
          </w:p>
        </w:tc>
        <w:tc>
          <w:tcPr>
            <w:tcW w:w="1280" w:type="dxa"/>
            <w:vAlign w:val="bottom"/>
            <w:gridSpan w:val="24"/>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line="209" w:lineRule="exact"/>
              <w:rPr>
                <w:sz w:val="20"/>
                <w:szCs w:val="20"/>
                <w:color w:val="auto"/>
              </w:rPr>
            </w:pPr>
            <w:r>
              <w:rPr>
                <w:rFonts w:ascii="Calibri" w:cs="Calibri" w:eastAsia="Calibri" w:hAnsi="Calibri"/>
                <w:sz w:val="18"/>
                <w:szCs w:val="18"/>
                <w:color w:val="auto"/>
              </w:rPr>
              <w:t>X</w:t>
            </w:r>
          </w:p>
        </w:tc>
      </w:tr>
      <w:tr>
        <w:trPr>
          <w:trHeight w:val="210"/>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19.2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20" w:type="dxa"/>
            <w:vAlign w:val="bottom"/>
            <w:tcBorders>
              <w:bottom w:val="single" w:sz="8" w:color="0000FF"/>
            </w:tcBorders>
            <w:gridSpan w:val="9"/>
          </w:tcPr>
          <w:p>
            <w:pPr>
              <w:spacing w:after="0" w:line="209" w:lineRule="exact"/>
              <w:rPr>
                <w:sz w:val="20"/>
                <w:szCs w:val="20"/>
                <w:color w:val="auto"/>
              </w:rPr>
            </w:pPr>
            <w:r>
              <w:rPr>
                <w:rFonts w:ascii="Calibri" w:cs="Calibri" w:eastAsia="Calibri" w:hAnsi="Calibri"/>
                <w:sz w:val="18"/>
                <w:szCs w:val="18"/>
                <w:color w:val="0000FF"/>
                <w:w w:val="96"/>
              </w:rPr>
              <w:t>Exelixis, Inc. Rule 10b5-1 Trading Plan Policy</w:t>
            </w:r>
          </w:p>
        </w:tc>
        <w:tc>
          <w:tcPr>
            <w:tcW w:w="560" w:type="dxa"/>
            <w:vAlign w:val="bottom"/>
            <w:gridSpan w:val="21"/>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line="209" w:lineRule="exact"/>
              <w:rPr>
                <w:sz w:val="20"/>
                <w:szCs w:val="20"/>
                <w:color w:val="auto"/>
              </w:rPr>
            </w:pPr>
            <w:r>
              <w:rPr>
                <w:rFonts w:ascii="Calibri" w:cs="Calibri" w:eastAsia="Calibri" w:hAnsi="Calibri"/>
                <w:sz w:val="18"/>
                <w:szCs w:val="18"/>
                <w:color w:val="auto"/>
              </w:rPr>
              <w:t>X</w:t>
            </w: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21.1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0"/>
          </w:tcPr>
          <w:p>
            <w:pPr>
              <w:spacing w:after="0" w:line="209" w:lineRule="exact"/>
              <w:rPr>
                <w:sz w:val="20"/>
                <w:szCs w:val="20"/>
                <w:color w:val="auto"/>
              </w:rPr>
            </w:pPr>
            <w:r>
              <w:rPr>
                <w:rFonts w:ascii="Calibri" w:cs="Calibri" w:eastAsia="Calibri" w:hAnsi="Calibri"/>
                <w:sz w:val="18"/>
                <w:szCs w:val="18"/>
                <w:color w:val="0000FF"/>
              </w:rPr>
              <w:t>Subsidiaries of Exelixis, Inc.</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line="209" w:lineRule="exact"/>
              <w:rPr>
                <w:sz w:val="20"/>
                <w:szCs w:val="20"/>
                <w:color w:val="auto"/>
              </w:rPr>
            </w:pPr>
            <w:r>
              <w:rPr>
                <w:rFonts w:ascii="Calibri" w:cs="Calibri" w:eastAsia="Calibri" w:hAnsi="Calibri"/>
                <w:sz w:val="18"/>
                <w:szCs w:val="18"/>
                <w:color w:val="auto"/>
              </w:rPr>
              <w:t>X</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80" w:type="dxa"/>
            <w:vAlign w:val="bottom"/>
            <w:gridSpan w:val="2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23.1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30"/>
          </w:tcPr>
          <w:p>
            <w:pPr>
              <w:spacing w:after="0" w:line="209" w:lineRule="exact"/>
              <w:rPr>
                <w:sz w:val="20"/>
                <w:szCs w:val="20"/>
                <w:color w:val="auto"/>
              </w:rPr>
            </w:pPr>
            <w:r>
              <w:rPr>
                <w:rFonts w:ascii="Calibri" w:cs="Calibri" w:eastAsia="Calibri" w:hAnsi="Calibri"/>
                <w:sz w:val="18"/>
                <w:szCs w:val="18"/>
                <w:color w:val="0000FF"/>
              </w:rPr>
              <w:t>Consent of Independent Registered Public</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line="209" w:lineRule="exact"/>
              <w:rPr>
                <w:sz w:val="20"/>
                <w:szCs w:val="20"/>
                <w:color w:val="auto"/>
              </w:rPr>
            </w:pPr>
            <w:r>
              <w:rPr>
                <w:rFonts w:ascii="Calibri" w:cs="Calibri" w:eastAsia="Calibri" w:hAnsi="Calibri"/>
                <w:sz w:val="18"/>
                <w:szCs w:val="18"/>
                <w:color w:val="auto"/>
              </w:rPr>
              <w:t>X</w:t>
            </w: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tcBorders>
            <w:gridSpan w:val="8"/>
          </w:tcPr>
          <w:p>
            <w:pPr>
              <w:spacing w:after="0" w:line="156" w:lineRule="exact"/>
              <w:rPr>
                <w:sz w:val="20"/>
                <w:szCs w:val="20"/>
                <w:color w:val="auto"/>
              </w:rPr>
            </w:pPr>
            <w:r>
              <w:rPr>
                <w:rFonts w:ascii="Calibri" w:cs="Calibri" w:eastAsia="Calibri" w:hAnsi="Calibri"/>
                <w:sz w:val="16"/>
                <w:szCs w:val="16"/>
                <w:color w:val="0000FF"/>
              </w:rPr>
              <w:t>Accountng Firm</w:t>
            </w:r>
          </w:p>
        </w:tc>
        <w:tc>
          <w:tcPr>
            <w:tcW w:w="680" w:type="dxa"/>
            <w:vAlign w:val="bottom"/>
            <w:gridSpan w:val="2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5"/>
          </w:tcPr>
          <w:p>
            <w:pPr>
              <w:ind w:left="380"/>
              <w:spacing w:after="0"/>
              <w:rPr>
                <w:sz w:val="20"/>
                <w:szCs w:val="20"/>
                <w:color w:val="auto"/>
              </w:rPr>
            </w:pPr>
            <w:r>
              <w:rPr>
                <w:rFonts w:ascii="Calibri" w:cs="Calibri" w:eastAsia="Calibri" w:hAnsi="Calibri"/>
                <w:sz w:val="16"/>
                <w:szCs w:val="16"/>
                <w:b w:val="1"/>
                <w:bCs w:val="1"/>
                <w:color w:val="auto"/>
              </w:rPr>
              <w:t>Incorporaton by Reference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center"/>
              <w:ind w:right="340"/>
              <w:spacing w:after="0" w:line="178" w:lineRule="exact"/>
              <w:rPr>
                <w:sz w:val="20"/>
                <w:szCs w:val="20"/>
                <w:color w:val="auto"/>
              </w:rPr>
            </w:pPr>
            <w:r>
              <w:rPr>
                <w:rFonts w:ascii="Calibri" w:cs="Calibri" w:eastAsia="Calibri" w:hAnsi="Calibri"/>
                <w:sz w:val="16"/>
                <w:szCs w:val="16"/>
                <w:b w:val="1"/>
                <w:bCs w:val="1"/>
                <w:color w:val="auto"/>
                <w:w w:val="98"/>
              </w:rPr>
              <w:t>Exhibit/</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20" w:type="dxa"/>
            <w:vAlign w:val="bottom"/>
            <w:gridSpan w:val="2"/>
          </w:tcPr>
          <w:p>
            <w:pPr>
              <w:jc w:val="center"/>
              <w:ind w:right="120"/>
              <w:spacing w:after="0" w:line="162" w:lineRule="exact"/>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340"/>
              <w:spacing w:after="0" w:line="162" w:lineRule="exact"/>
              <w:rPr>
                <w:sz w:val="20"/>
                <w:szCs w:val="20"/>
                <w:color w:val="auto"/>
              </w:rPr>
            </w:pPr>
            <w:r>
              <w:rPr>
                <w:rFonts w:ascii="Calibri" w:cs="Calibri" w:eastAsia="Calibri" w:hAnsi="Calibri"/>
                <w:sz w:val="16"/>
                <w:szCs w:val="16"/>
                <w:b w:val="1"/>
                <w:bCs w:val="1"/>
                <w:color w:val="auto"/>
              </w:rPr>
              <w:t>Appendix</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Filed</w:t>
            </w:r>
          </w:p>
        </w:tc>
        <w:tc>
          <w:tcPr>
            <w:tcW w:w="0" w:type="dxa"/>
            <w:vAlign w:val="bottom"/>
          </w:tcPr>
          <w:p>
            <w:pPr>
              <w:spacing w:after="0"/>
              <w:rPr>
                <w:sz w:val="1"/>
                <w:szCs w:val="1"/>
                <w:color w:val="auto"/>
              </w:rPr>
            </w:pPr>
          </w:p>
        </w:tc>
      </w:tr>
      <w:tr>
        <w:trPr>
          <w:trHeight w:val="193"/>
        </w:trPr>
        <w:tc>
          <w:tcPr>
            <w:tcW w:w="1120" w:type="dxa"/>
            <w:vAlign w:val="bottom"/>
            <w:gridSpan w:val="2"/>
          </w:tcPr>
          <w:p>
            <w:pPr>
              <w:jc w:val="center"/>
              <w:ind w:right="1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10"/>
          </w:tcPr>
          <w:p>
            <w:pPr>
              <w:ind w:left="60"/>
              <w:spacing w:after="0" w:line="193" w:lineRule="exact"/>
              <w:rPr>
                <w:sz w:val="20"/>
                <w:szCs w:val="20"/>
                <w:color w:val="auto"/>
              </w:rPr>
            </w:pPr>
            <w:r>
              <w:rPr>
                <w:rFonts w:ascii="Calibri" w:cs="Calibri" w:eastAsia="Calibri" w:hAnsi="Calibri"/>
                <w:sz w:val="16"/>
                <w:szCs w:val="16"/>
                <w:b w:val="1"/>
                <w:bCs w:val="1"/>
                <w:color w:val="auto"/>
              </w:rPr>
              <w:t>Exhibit Descripton</w:t>
            </w:r>
          </w:p>
        </w:tc>
        <w:tc>
          <w:tcPr>
            <w:tcW w:w="1340" w:type="dxa"/>
            <w:vAlign w:val="bottom"/>
            <w:gridSpan w:val="2"/>
          </w:tcPr>
          <w:p>
            <w:pPr>
              <w:ind w:left="420"/>
              <w:spacing w:after="0" w:line="193" w:lineRule="exact"/>
              <w:rPr>
                <w:sz w:val="20"/>
                <w:szCs w:val="20"/>
                <w:color w:val="auto"/>
              </w:rPr>
            </w:pPr>
            <w:r>
              <w:rPr>
                <w:rFonts w:ascii="Calibri" w:cs="Calibri" w:eastAsia="Calibri" w:hAnsi="Calibri"/>
                <w:sz w:val="16"/>
                <w:szCs w:val="16"/>
                <w:b w:val="1"/>
                <w:bCs w:val="1"/>
                <w:color w:val="auto"/>
              </w:rPr>
              <w:t>Form</w:t>
            </w:r>
          </w:p>
        </w:tc>
        <w:tc>
          <w:tcPr>
            <w:tcW w:w="1360" w:type="dxa"/>
            <w:vAlign w:val="bottom"/>
            <w:gridSpan w:val="2"/>
          </w:tcPr>
          <w:p>
            <w:pPr>
              <w:jc w:val="center"/>
              <w:ind w:right="140"/>
              <w:spacing w:after="0" w:line="193" w:lineRule="exact"/>
              <w:rPr>
                <w:sz w:val="20"/>
                <w:szCs w:val="20"/>
                <w:color w:val="auto"/>
              </w:rPr>
            </w:pPr>
            <w:r>
              <w:rPr>
                <w:rFonts w:ascii="Calibri" w:cs="Calibri" w:eastAsia="Calibri" w:hAnsi="Calibri"/>
                <w:sz w:val="16"/>
                <w:szCs w:val="16"/>
                <w:b w:val="1"/>
                <w:bCs w:val="1"/>
                <w:color w:val="auto"/>
              </w:rPr>
              <w:t>File Number</w:t>
            </w:r>
          </w:p>
        </w:tc>
        <w:tc>
          <w:tcPr>
            <w:tcW w:w="1540" w:type="dxa"/>
            <w:vAlign w:val="bottom"/>
            <w:gridSpan w:val="3"/>
          </w:tcPr>
          <w:p>
            <w:pPr>
              <w:jc w:val="center"/>
              <w:ind w:right="340"/>
              <w:spacing w:after="0" w:line="193" w:lineRule="exact"/>
              <w:rPr>
                <w:sz w:val="20"/>
                <w:szCs w:val="20"/>
                <w:color w:val="auto"/>
              </w:rPr>
            </w:pPr>
            <w:r>
              <w:rPr>
                <w:rFonts w:ascii="Calibri" w:cs="Calibri" w:eastAsia="Calibri" w:hAnsi="Calibri"/>
                <w:sz w:val="16"/>
                <w:szCs w:val="16"/>
                <w:b w:val="1"/>
                <w:bCs w:val="1"/>
                <w:color w:val="auto"/>
              </w:rPr>
              <w:t>Reference</w:t>
            </w:r>
          </w:p>
        </w:tc>
        <w:tc>
          <w:tcPr>
            <w:tcW w:w="1040" w:type="dxa"/>
            <w:vAlign w:val="bottom"/>
          </w:tcPr>
          <w:p>
            <w:pPr>
              <w:ind w:left="60"/>
              <w:spacing w:after="0" w:line="193" w:lineRule="exact"/>
              <w:rPr>
                <w:sz w:val="20"/>
                <w:szCs w:val="20"/>
                <w:color w:val="auto"/>
              </w:rPr>
            </w:pPr>
            <w:r>
              <w:rPr>
                <w:rFonts w:ascii="Calibri" w:cs="Calibri" w:eastAsia="Calibri" w:hAnsi="Calibri"/>
                <w:sz w:val="16"/>
                <w:szCs w:val="16"/>
                <w:b w:val="1"/>
                <w:bCs w:val="1"/>
                <w:color w:val="auto"/>
              </w:rPr>
              <w:t>Filing Date</w:t>
            </w:r>
          </w:p>
        </w:tc>
        <w:tc>
          <w:tcPr>
            <w:tcW w:w="120" w:type="dxa"/>
            <w:vAlign w:val="bottom"/>
          </w:tcPr>
          <w:p>
            <w:pPr>
              <w:spacing w:after="0"/>
              <w:rPr>
                <w:sz w:val="16"/>
                <w:szCs w:val="16"/>
                <w:color w:val="auto"/>
              </w:rPr>
            </w:pPr>
          </w:p>
        </w:tc>
        <w:tc>
          <w:tcPr>
            <w:tcW w:w="10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Herewith</w:t>
            </w:r>
          </w:p>
        </w:tc>
        <w:tc>
          <w:tcPr>
            <w:tcW w:w="0" w:type="dxa"/>
            <w:vAlign w:val="bottom"/>
          </w:tcPr>
          <w:p>
            <w:pPr>
              <w:spacing w:after="0"/>
              <w:rPr>
                <w:sz w:val="1"/>
                <w:szCs w:val="1"/>
                <w:color w:val="auto"/>
              </w:rPr>
            </w:pPr>
          </w:p>
        </w:tc>
      </w:tr>
      <w:tr>
        <w:trPr>
          <w:trHeight w:val="28"/>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center"/>
              <w:spacing w:after="0" w:line="169" w:lineRule="exact"/>
              <w:rPr>
                <w:sz w:val="20"/>
                <w:szCs w:val="20"/>
                <w:color w:val="auto"/>
              </w:rPr>
            </w:pPr>
            <w:r>
              <w:rPr>
                <w:rFonts w:ascii="Calibri" w:cs="Calibri" w:eastAsia="Calibri" w:hAnsi="Calibri"/>
                <w:sz w:val="18"/>
                <w:szCs w:val="18"/>
                <w:color w:val="auto"/>
              </w:rPr>
              <w:t>24.1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11"/>
          </w:tcPr>
          <w:p>
            <w:pPr>
              <w:spacing w:after="0" w:line="169" w:lineRule="exact"/>
              <w:rPr>
                <w:sz w:val="20"/>
                <w:szCs w:val="20"/>
                <w:color w:val="auto"/>
              </w:rPr>
            </w:pPr>
            <w:r>
              <w:rPr>
                <w:rFonts w:ascii="Calibri" w:cs="Calibri" w:eastAsia="Calibri" w:hAnsi="Calibri"/>
                <w:sz w:val="18"/>
                <w:szCs w:val="18"/>
                <w:color w:val="0000FF"/>
                <w:w w:val="99"/>
              </w:rPr>
              <w:t>Power of Atorney (contained on signature page)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top w:val="single" w:sz="8" w:color="0000FF"/>
            </w:tcBorders>
            <w:gridSpan w:val="10"/>
          </w:tcPr>
          <w:p>
            <w:pPr>
              <w:spacing w:after="0" w:line="209" w:lineRule="exact"/>
              <w:rPr>
                <w:sz w:val="20"/>
                <w:szCs w:val="20"/>
                <w:color w:val="auto"/>
              </w:rPr>
            </w:pPr>
            <w:r>
              <w:rPr>
                <w:rFonts w:ascii="Calibri" w:cs="Calibri" w:eastAsia="Calibri" w:hAnsi="Calibri"/>
                <w:sz w:val="18"/>
                <w:szCs w:val="18"/>
                <w:color w:val="0000FF"/>
              </w:rPr>
              <w:t>Certfcaton of Principal Executve Ofcer</w:t>
            </w:r>
          </w:p>
        </w:tc>
        <w:tc>
          <w:tcPr>
            <w:tcW w:w="2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line="209"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Borders>
              <w:top w:val="single" w:sz="8" w:color="0000FF"/>
            </w:tcBorders>
            <w:gridSpan w:val="5"/>
          </w:tcPr>
          <w:p>
            <w:pPr>
              <w:spacing w:after="0" w:line="156" w:lineRule="exact"/>
              <w:rPr>
                <w:sz w:val="20"/>
                <w:szCs w:val="20"/>
                <w:color w:val="auto"/>
              </w:rPr>
            </w:pPr>
            <w:r>
              <w:rPr>
                <w:rFonts w:ascii="Calibri" w:cs="Calibri" w:eastAsia="Calibri" w:hAnsi="Calibri"/>
                <w:sz w:val="16"/>
                <w:szCs w:val="16"/>
                <w:color w:val="0000FF"/>
              </w:rPr>
              <w:t>Pursuant to Exchange Act Rules 13a-14(a)</w:t>
            </w:r>
          </w:p>
        </w:tc>
        <w:tc>
          <w:tcPr>
            <w:tcW w:w="720" w:type="dxa"/>
            <w:vAlign w:val="bottom"/>
            <w:gridSpan w:val="7"/>
          </w:tcPr>
          <w:p>
            <w:pPr>
              <w:ind w:left="40"/>
              <w:spacing w:after="0" w:line="156" w:lineRule="exact"/>
              <w:rPr>
                <w:sz w:val="20"/>
                <w:szCs w:val="20"/>
                <w:color w:val="auto"/>
              </w:rPr>
            </w:pPr>
            <w:r>
              <w:rPr>
                <w:rFonts w:ascii="Calibri" w:cs="Calibri" w:eastAsia="Calibri" w:hAnsi="Calibri"/>
                <w:sz w:val="16"/>
                <w:szCs w:val="16"/>
                <w:color w:val="0000FF"/>
              </w:rPr>
              <w:t>and</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2"/>
          </w:tcPr>
          <w:p>
            <w:pPr>
              <w:spacing w:after="0" w:line="169" w:lineRule="exact"/>
              <w:rPr>
                <w:sz w:val="20"/>
                <w:szCs w:val="20"/>
                <w:color w:val="auto"/>
              </w:rPr>
            </w:pPr>
            <w:r>
              <w:rPr>
                <w:rFonts w:ascii="Calibri" w:cs="Calibri" w:eastAsia="Calibri" w:hAnsi="Calibri"/>
                <w:sz w:val="18"/>
                <w:szCs w:val="18"/>
                <w:color w:val="0000FF"/>
                <w:w w:val="96"/>
              </w:rPr>
              <w:t>Rule 15d-14(a)</w:t>
            </w:r>
          </w:p>
        </w:tc>
        <w:tc>
          <w:tcPr>
            <w:tcW w:w="220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00" w:type="dxa"/>
            <w:vAlign w:val="bottom"/>
          </w:tcPr>
          <w:p>
            <w:pPr>
              <w:jc w:val="center"/>
              <w:spacing w:after="0" w:line="209" w:lineRule="exact"/>
              <w:rPr>
                <w:sz w:val="20"/>
                <w:szCs w:val="20"/>
                <w:color w:val="auto"/>
              </w:rPr>
            </w:pPr>
            <w:r>
              <w:rPr>
                <w:rFonts w:ascii="Calibri" w:cs="Calibri" w:eastAsia="Calibri" w:hAnsi="Calibri"/>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2"/>
          </w:tcPr>
          <w:p>
            <w:pPr>
              <w:spacing w:after="0" w:line="209" w:lineRule="exact"/>
              <w:rPr>
                <w:sz w:val="20"/>
                <w:szCs w:val="20"/>
                <w:color w:val="auto"/>
              </w:rPr>
            </w:pPr>
            <w:r>
              <w:rPr>
                <w:rFonts w:ascii="Calibri" w:cs="Calibri" w:eastAsia="Calibri" w:hAnsi="Calibri"/>
                <w:sz w:val="18"/>
                <w:szCs w:val="18"/>
                <w:color w:val="0000FF"/>
              </w:rPr>
              <w:t>Certfcaton of Principal Financial Ofcer</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line="209"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tcBorders>
            <w:gridSpan w:val="4"/>
          </w:tcPr>
          <w:p>
            <w:pPr>
              <w:spacing w:after="0" w:line="156" w:lineRule="exact"/>
              <w:rPr>
                <w:sz w:val="20"/>
                <w:szCs w:val="20"/>
                <w:color w:val="auto"/>
              </w:rPr>
            </w:pPr>
            <w:r>
              <w:rPr>
                <w:rFonts w:ascii="Calibri" w:cs="Calibri" w:eastAsia="Calibri" w:hAnsi="Calibri"/>
                <w:sz w:val="16"/>
                <w:szCs w:val="16"/>
                <w:color w:val="0000FF"/>
              </w:rPr>
              <w:t>Pursuant to Exchange Act Rules 13a-14(a)</w:t>
            </w:r>
          </w:p>
        </w:tc>
        <w:tc>
          <w:tcPr>
            <w:tcW w:w="780" w:type="dxa"/>
            <w:vAlign w:val="bottom"/>
            <w:gridSpan w:val="8"/>
          </w:tcPr>
          <w:p>
            <w:pPr>
              <w:ind w:left="100"/>
              <w:spacing w:after="0" w:line="156" w:lineRule="exact"/>
              <w:rPr>
                <w:sz w:val="20"/>
                <w:szCs w:val="20"/>
                <w:color w:val="auto"/>
              </w:rPr>
            </w:pPr>
            <w:r>
              <w:rPr>
                <w:rFonts w:ascii="Calibri" w:cs="Calibri" w:eastAsia="Calibri" w:hAnsi="Calibri"/>
                <w:sz w:val="16"/>
                <w:szCs w:val="16"/>
                <w:color w:val="0000FF"/>
              </w:rPr>
              <w:t>and</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2"/>
          </w:tcPr>
          <w:p>
            <w:pPr>
              <w:spacing w:after="0" w:line="169" w:lineRule="exact"/>
              <w:rPr>
                <w:sz w:val="20"/>
                <w:szCs w:val="20"/>
                <w:color w:val="auto"/>
              </w:rPr>
            </w:pPr>
            <w:r>
              <w:rPr>
                <w:rFonts w:ascii="Calibri" w:cs="Calibri" w:eastAsia="Calibri" w:hAnsi="Calibri"/>
                <w:sz w:val="18"/>
                <w:szCs w:val="18"/>
                <w:color w:val="0000FF"/>
                <w:w w:val="96"/>
              </w:rPr>
              <w:t>Rule 15d-14(a)</w:t>
            </w:r>
          </w:p>
        </w:tc>
        <w:tc>
          <w:tcPr>
            <w:tcW w:w="220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jc w:val="center"/>
              <w:ind w:right="120"/>
              <w:spacing w:after="0" w:line="209" w:lineRule="exact"/>
              <w:rPr>
                <w:sz w:val="20"/>
                <w:szCs w:val="20"/>
                <w:color w:val="auto"/>
              </w:rPr>
            </w:pPr>
            <w:r>
              <w:rPr>
                <w:rFonts w:ascii="Calibri" w:cs="Calibri" w:eastAsia="Calibri" w:hAnsi="Calibri"/>
                <w:sz w:val="18"/>
                <w:szCs w:val="18"/>
                <w:color w:val="auto"/>
                <w:w w:val="97"/>
              </w:rPr>
              <w:t>32.1‡</w:t>
            </w:r>
          </w:p>
        </w:tc>
        <w:tc>
          <w:tcPr>
            <w:tcW w:w="20" w:type="dxa"/>
            <w:vAlign w:val="bottom"/>
          </w:tcPr>
          <w:p>
            <w:pPr>
              <w:spacing w:after="0"/>
              <w:rPr>
                <w:sz w:val="18"/>
                <w:szCs w:val="18"/>
                <w:color w:val="auto"/>
              </w:rPr>
            </w:pPr>
          </w:p>
        </w:tc>
        <w:tc>
          <w:tcPr>
            <w:tcW w:w="3680" w:type="dxa"/>
            <w:vAlign w:val="bottom"/>
            <w:gridSpan w:val="12"/>
          </w:tcPr>
          <w:p>
            <w:pPr>
              <w:spacing w:after="0" w:line="209" w:lineRule="exact"/>
              <w:rPr>
                <w:sz w:val="20"/>
                <w:szCs w:val="20"/>
                <w:color w:val="auto"/>
              </w:rPr>
            </w:pPr>
            <w:r>
              <w:rPr>
                <w:rFonts w:ascii="Calibri" w:cs="Calibri" w:eastAsia="Calibri" w:hAnsi="Calibri"/>
                <w:sz w:val="18"/>
                <w:szCs w:val="18"/>
                <w:color w:val="0000FF"/>
              </w:rPr>
              <w:t>Certfcatons of Principal Executve Ofcer and</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line="209"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8"/>
          </w:tcPr>
          <w:p>
            <w:pPr>
              <w:spacing w:after="0" w:line="156" w:lineRule="exact"/>
              <w:rPr>
                <w:sz w:val="20"/>
                <w:szCs w:val="20"/>
                <w:color w:val="auto"/>
              </w:rPr>
            </w:pPr>
            <w:r>
              <w:rPr>
                <w:rFonts w:ascii="Calibri" w:cs="Calibri" w:eastAsia="Calibri" w:hAnsi="Calibri"/>
                <w:sz w:val="16"/>
                <w:szCs w:val="16"/>
                <w:color w:val="0000FF"/>
              </w:rPr>
              <w:t>Principal Financial Ofcer Pursuant to 18 U.S.C.</w:t>
            </w:r>
          </w:p>
        </w:tc>
        <w:tc>
          <w:tcPr>
            <w:tcW w:w="20" w:type="dxa"/>
            <w:vAlign w:val="bottom"/>
            <w:tcBorders>
              <w:bottom w:val="single" w:sz="8" w:color="0000FF"/>
            </w:tcBorders>
          </w:tcPr>
          <w:p>
            <w:pPr>
              <w:spacing w:after="0"/>
              <w:rPr>
                <w:sz w:val="13"/>
                <w:szCs w:val="13"/>
                <w:color w:val="auto"/>
              </w:rPr>
            </w:pPr>
          </w:p>
        </w:tc>
        <w:tc>
          <w:tcPr>
            <w:tcW w:w="32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gridSpan w:val="9"/>
          </w:tcPr>
          <w:p>
            <w:pPr>
              <w:spacing w:after="0" w:line="169" w:lineRule="exact"/>
              <w:rPr>
                <w:sz w:val="20"/>
                <w:szCs w:val="20"/>
                <w:color w:val="auto"/>
              </w:rPr>
            </w:pPr>
            <w:r>
              <w:rPr>
                <w:rFonts w:ascii="Calibri" w:cs="Calibri" w:eastAsia="Calibri" w:hAnsi="Calibri"/>
                <w:sz w:val="18"/>
                <w:szCs w:val="18"/>
                <w:color w:val="0000FF"/>
              </w:rPr>
              <w:t>Secton 1350</w:t>
            </w:r>
          </w:p>
        </w:tc>
        <w:tc>
          <w:tcPr>
            <w:tcW w:w="32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jc w:val="center"/>
              <w:ind w:right="120"/>
              <w:spacing w:after="0" w:line="230" w:lineRule="exact"/>
              <w:rPr>
                <w:sz w:val="20"/>
                <w:szCs w:val="20"/>
                <w:color w:val="auto"/>
              </w:rPr>
            </w:pPr>
            <w:r>
              <w:rPr>
                <w:rFonts w:ascii="Calibri" w:cs="Calibri" w:eastAsia="Calibri" w:hAnsi="Calibri"/>
                <w:sz w:val="18"/>
                <w:szCs w:val="18"/>
                <w:color w:val="auto"/>
                <w:w w:val="90"/>
              </w:rPr>
              <w:t>97.1</w:t>
            </w:r>
            <w:r>
              <w:rPr>
                <w:rFonts w:ascii="Calibri" w:cs="Calibri" w:eastAsia="Calibri" w:hAnsi="Calibri"/>
                <w:sz w:val="23"/>
                <w:szCs w:val="23"/>
                <w:color w:val="auto"/>
                <w:w w:val="90"/>
                <w:vertAlign w:val="superscript"/>
              </w:rPr>
              <w:t>†</w:t>
            </w: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2"/>
          </w:tcPr>
          <w:p>
            <w:pPr>
              <w:spacing w:after="0" w:line="209" w:lineRule="exact"/>
              <w:rPr>
                <w:rFonts w:ascii="Calibri" w:cs="Calibri" w:eastAsia="Calibri" w:hAnsi="Calibri"/>
                <w:sz w:val="18"/>
                <w:szCs w:val="18"/>
                <w:color w:val="0000FF"/>
              </w:rPr>
            </w:pPr>
            <w:hyperlink r:id="rId199">
              <w:r>
                <w:rPr>
                  <w:rFonts w:ascii="Calibri" w:cs="Calibri" w:eastAsia="Calibri" w:hAnsi="Calibri"/>
                  <w:sz w:val="18"/>
                  <w:szCs w:val="18"/>
                  <w:color w:val="0000FF"/>
                </w:rPr>
                <w:t>Exelixis, Inc. Policy for Recoupment of Variable</w:t>
              </w:r>
            </w:hyperlink>
          </w:p>
        </w:tc>
        <w:tc>
          <w:tcPr>
            <w:tcW w:w="1340" w:type="dxa"/>
            <w:vAlign w:val="bottom"/>
            <w:gridSpan w:val="2"/>
          </w:tcPr>
          <w:p>
            <w:pPr>
              <w:ind w:left="440"/>
              <w:spacing w:after="0" w:line="209" w:lineRule="exact"/>
              <w:rPr>
                <w:sz w:val="20"/>
                <w:szCs w:val="20"/>
                <w:color w:val="auto"/>
              </w:rPr>
            </w:pPr>
            <w:r>
              <w:rPr>
                <w:rFonts w:ascii="Calibri" w:cs="Calibri" w:eastAsia="Calibri" w:hAnsi="Calibri"/>
                <w:sz w:val="18"/>
                <w:szCs w:val="18"/>
                <w:color w:val="auto"/>
              </w:rPr>
              <w:t>10-K</w:t>
            </w:r>
          </w:p>
        </w:tc>
        <w:tc>
          <w:tcPr>
            <w:tcW w:w="1220" w:type="dxa"/>
            <w:vAlign w:val="bottom"/>
          </w:tcPr>
          <w:p>
            <w:pPr>
              <w:jc w:val="right"/>
              <w:ind w:right="136"/>
              <w:spacing w:after="0" w:line="209" w:lineRule="exact"/>
              <w:rPr>
                <w:sz w:val="20"/>
                <w:szCs w:val="20"/>
                <w:color w:val="auto"/>
              </w:rPr>
            </w:pPr>
            <w:r>
              <w:rPr>
                <w:rFonts w:ascii="Calibri" w:cs="Calibri" w:eastAsia="Calibri" w:hAnsi="Calibri"/>
                <w:sz w:val="18"/>
                <w:szCs w:val="18"/>
                <w:color w:val="auto"/>
              </w:rPr>
              <w:t>000-30235</w:t>
            </w:r>
          </w:p>
        </w:tc>
        <w:tc>
          <w:tcPr>
            <w:tcW w:w="140" w:type="dxa"/>
            <w:vAlign w:val="bottom"/>
          </w:tcPr>
          <w:p>
            <w:pPr>
              <w:spacing w:after="0"/>
              <w:rPr>
                <w:sz w:val="18"/>
                <w:szCs w:val="18"/>
                <w:color w:val="auto"/>
              </w:rPr>
            </w:pPr>
          </w:p>
        </w:tc>
        <w:tc>
          <w:tcPr>
            <w:tcW w:w="1200" w:type="dxa"/>
            <w:vAlign w:val="bottom"/>
          </w:tcPr>
          <w:p>
            <w:pPr>
              <w:jc w:val="center"/>
              <w:spacing w:after="0" w:line="209" w:lineRule="exact"/>
              <w:rPr>
                <w:sz w:val="20"/>
                <w:szCs w:val="20"/>
                <w:color w:val="auto"/>
              </w:rPr>
            </w:pPr>
            <w:r>
              <w:rPr>
                <w:rFonts w:ascii="Calibri" w:cs="Calibri" w:eastAsia="Calibri" w:hAnsi="Calibri"/>
                <w:sz w:val="18"/>
                <w:szCs w:val="18"/>
                <w:color w:val="auto"/>
              </w:rPr>
              <w:t>97.1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80"/>
              <w:spacing w:after="0" w:line="209" w:lineRule="exact"/>
              <w:rPr>
                <w:sz w:val="20"/>
                <w:szCs w:val="20"/>
                <w:color w:val="auto"/>
              </w:rPr>
            </w:pPr>
            <w:r>
              <w:rPr>
                <w:rFonts w:ascii="Calibri" w:cs="Calibri" w:eastAsia="Calibri" w:hAnsi="Calibri"/>
                <w:sz w:val="18"/>
                <w:szCs w:val="18"/>
                <w:color w:val="auto"/>
              </w:rPr>
              <w:t>2/6/2024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3"/>
          </w:tcPr>
          <w:p>
            <w:pPr>
              <w:spacing w:after="0" w:line="156" w:lineRule="exact"/>
              <w:rPr>
                <w:rFonts w:ascii="Calibri" w:cs="Calibri" w:eastAsia="Calibri" w:hAnsi="Calibri"/>
                <w:sz w:val="16"/>
                <w:szCs w:val="16"/>
                <w:color w:val="0000FF"/>
              </w:rPr>
            </w:pPr>
            <w:hyperlink r:id="rId199">
              <w:r>
                <w:rPr>
                  <w:rFonts w:ascii="Calibri" w:cs="Calibri" w:eastAsia="Calibri" w:hAnsi="Calibri"/>
                  <w:sz w:val="16"/>
                  <w:szCs w:val="16"/>
                  <w:color w:val="0000FF"/>
                </w:rPr>
                <w:t>Compensaton, amended and restated</w:t>
              </w:r>
            </w:hyperlink>
          </w:p>
        </w:tc>
        <w:tc>
          <w:tcPr>
            <w:tcW w:w="560" w:type="dxa"/>
            <w:vAlign w:val="bottom"/>
            <w:tcBorders>
              <w:top w:val="single" w:sz="8" w:color="0000FF"/>
            </w:tcBorders>
            <w:gridSpan w:val="4"/>
          </w:tcPr>
          <w:p>
            <w:pPr>
              <w:spacing w:after="0"/>
              <w:rPr>
                <w:sz w:val="13"/>
                <w:szCs w:val="13"/>
                <w:color w:val="auto"/>
              </w:rPr>
            </w:pPr>
          </w:p>
        </w:tc>
        <w:tc>
          <w:tcPr>
            <w:tcW w:w="380" w:type="dxa"/>
            <w:vAlign w:val="bottom"/>
            <w:gridSpan w:val="5"/>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20" w:type="dxa"/>
            <w:vAlign w:val="bottom"/>
            <w:gridSpan w:val="2"/>
          </w:tcPr>
          <w:p>
            <w:pPr>
              <w:jc w:val="center"/>
              <w:ind w:right="120"/>
              <w:spacing w:after="0" w:line="214" w:lineRule="exact"/>
              <w:rPr>
                <w:sz w:val="20"/>
                <w:szCs w:val="20"/>
                <w:color w:val="auto"/>
              </w:rPr>
            </w:pPr>
            <w:r>
              <w:rPr>
                <w:rFonts w:ascii="Calibri" w:cs="Calibri" w:eastAsia="Calibri" w:hAnsi="Calibri"/>
                <w:sz w:val="18"/>
                <w:szCs w:val="18"/>
                <w:color w:val="auto"/>
                <w:w w:val="99"/>
              </w:rPr>
              <w:t>101.INS</w:t>
            </w:r>
          </w:p>
        </w:tc>
        <w:tc>
          <w:tcPr>
            <w:tcW w:w="20" w:type="dxa"/>
            <w:vAlign w:val="bottom"/>
          </w:tcPr>
          <w:p>
            <w:pPr>
              <w:spacing w:after="0"/>
              <w:rPr>
                <w:sz w:val="18"/>
                <w:szCs w:val="18"/>
                <w:color w:val="auto"/>
              </w:rPr>
            </w:pPr>
          </w:p>
        </w:tc>
        <w:tc>
          <w:tcPr>
            <w:tcW w:w="3680" w:type="dxa"/>
            <w:vAlign w:val="bottom"/>
            <w:gridSpan w:val="12"/>
          </w:tcPr>
          <w:p>
            <w:pPr>
              <w:spacing w:after="0" w:line="214" w:lineRule="exact"/>
              <w:rPr>
                <w:sz w:val="20"/>
                <w:szCs w:val="20"/>
                <w:color w:val="auto"/>
              </w:rPr>
            </w:pPr>
            <w:r>
              <w:rPr>
                <w:rFonts w:ascii="Calibri" w:cs="Calibri" w:eastAsia="Calibri" w:hAnsi="Calibri"/>
                <w:sz w:val="18"/>
                <w:szCs w:val="18"/>
                <w:color w:val="auto"/>
              </w:rPr>
              <w:t>XBRL Instance Document</w:t>
            </w:r>
          </w:p>
        </w:tc>
        <w:tc>
          <w:tcPr>
            <w:tcW w:w="6420" w:type="dxa"/>
            <w:vAlign w:val="bottom"/>
            <w:gridSpan w:val="10"/>
          </w:tcPr>
          <w:p>
            <w:pPr>
              <w:ind w:left="20"/>
              <w:spacing w:after="0" w:line="214" w:lineRule="exact"/>
              <w:rPr>
                <w:sz w:val="20"/>
                <w:szCs w:val="20"/>
                <w:color w:val="auto"/>
              </w:rPr>
            </w:pPr>
            <w:r>
              <w:rPr>
                <w:rFonts w:ascii="Calibri" w:cs="Calibri" w:eastAsia="Calibri" w:hAnsi="Calibri"/>
                <w:sz w:val="18"/>
                <w:szCs w:val="18"/>
                <w:color w:val="auto"/>
              </w:rPr>
              <w:t>The XBRL instance document does not appear in the Interactve Data File because its</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gridSpan w:val="7"/>
          </w:tcPr>
          <w:p>
            <w:pPr>
              <w:ind w:left="20"/>
              <w:spacing w:after="0" w:line="215" w:lineRule="exact"/>
              <w:rPr>
                <w:sz w:val="20"/>
                <w:szCs w:val="20"/>
                <w:color w:val="auto"/>
              </w:rPr>
            </w:pPr>
            <w:r>
              <w:rPr>
                <w:rFonts w:ascii="Calibri" w:cs="Calibri" w:eastAsia="Calibri" w:hAnsi="Calibri"/>
                <w:sz w:val="18"/>
                <w:szCs w:val="18"/>
                <w:color w:val="auto"/>
                <w:w w:val="97"/>
              </w:rPr>
              <w:t>XBRL tags are embedded within the Inline XBRL document.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120"/>
              <w:spacing w:after="0" w:line="204" w:lineRule="exact"/>
              <w:rPr>
                <w:sz w:val="20"/>
                <w:szCs w:val="20"/>
                <w:color w:val="auto"/>
              </w:rPr>
            </w:pPr>
            <w:r>
              <w:rPr>
                <w:rFonts w:ascii="Calibri" w:cs="Calibri" w:eastAsia="Calibri" w:hAnsi="Calibri"/>
                <w:sz w:val="18"/>
                <w:szCs w:val="18"/>
                <w:color w:val="auto"/>
                <w:w w:val="98"/>
              </w:rPr>
              <w:t>101.SCH</w:t>
            </w:r>
          </w:p>
        </w:tc>
        <w:tc>
          <w:tcPr>
            <w:tcW w:w="20" w:type="dxa"/>
            <w:vAlign w:val="bottom"/>
          </w:tcPr>
          <w:p>
            <w:pPr>
              <w:spacing w:after="0"/>
              <w:rPr>
                <w:sz w:val="17"/>
                <w:szCs w:val="17"/>
                <w:color w:val="auto"/>
              </w:rPr>
            </w:pPr>
          </w:p>
        </w:tc>
        <w:tc>
          <w:tcPr>
            <w:tcW w:w="3680" w:type="dxa"/>
            <w:vAlign w:val="bottom"/>
            <w:gridSpan w:val="12"/>
          </w:tcPr>
          <w:p>
            <w:pPr>
              <w:spacing w:after="0" w:line="204" w:lineRule="exact"/>
              <w:rPr>
                <w:sz w:val="20"/>
                <w:szCs w:val="20"/>
                <w:color w:val="auto"/>
              </w:rPr>
            </w:pPr>
            <w:r>
              <w:rPr>
                <w:rFonts w:ascii="Calibri" w:cs="Calibri" w:eastAsia="Calibri" w:hAnsi="Calibri"/>
                <w:sz w:val="18"/>
                <w:szCs w:val="18"/>
                <w:color w:val="auto"/>
              </w:rPr>
              <w:t>Inline XBRL Taxonomy Extension Schema</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line="204"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2"/>
          </w:tcPr>
          <w:p>
            <w:pPr>
              <w:spacing w:after="0" w:line="215" w:lineRule="exact"/>
              <w:rPr>
                <w:sz w:val="20"/>
                <w:szCs w:val="20"/>
                <w:color w:val="auto"/>
              </w:rPr>
            </w:pPr>
            <w:r>
              <w:rPr>
                <w:rFonts w:ascii="Calibri" w:cs="Calibri" w:eastAsia="Calibri" w:hAnsi="Calibri"/>
                <w:sz w:val="18"/>
                <w:szCs w:val="18"/>
                <w:color w:val="auto"/>
              </w:rPr>
              <w:t>Document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100"/>
              <w:spacing w:after="0" w:line="204" w:lineRule="exact"/>
              <w:rPr>
                <w:sz w:val="20"/>
                <w:szCs w:val="20"/>
                <w:color w:val="auto"/>
              </w:rPr>
            </w:pPr>
            <w:r>
              <w:rPr>
                <w:rFonts w:ascii="Calibri" w:cs="Calibri" w:eastAsia="Calibri" w:hAnsi="Calibri"/>
                <w:sz w:val="18"/>
                <w:szCs w:val="18"/>
                <w:color w:val="auto"/>
                <w:w w:val="97"/>
              </w:rPr>
              <w:t>101.CAL</w:t>
            </w:r>
          </w:p>
        </w:tc>
        <w:tc>
          <w:tcPr>
            <w:tcW w:w="20" w:type="dxa"/>
            <w:vAlign w:val="bottom"/>
          </w:tcPr>
          <w:p>
            <w:pPr>
              <w:spacing w:after="0"/>
              <w:rPr>
                <w:sz w:val="17"/>
                <w:szCs w:val="17"/>
                <w:color w:val="auto"/>
              </w:rPr>
            </w:pPr>
          </w:p>
        </w:tc>
        <w:tc>
          <w:tcPr>
            <w:tcW w:w="3680" w:type="dxa"/>
            <w:vAlign w:val="bottom"/>
            <w:gridSpan w:val="12"/>
          </w:tcPr>
          <w:p>
            <w:pPr>
              <w:spacing w:after="0" w:line="204" w:lineRule="exact"/>
              <w:rPr>
                <w:sz w:val="20"/>
                <w:szCs w:val="20"/>
                <w:color w:val="auto"/>
              </w:rPr>
            </w:pPr>
            <w:r>
              <w:rPr>
                <w:rFonts w:ascii="Calibri" w:cs="Calibri" w:eastAsia="Calibri" w:hAnsi="Calibri"/>
                <w:sz w:val="18"/>
                <w:szCs w:val="18"/>
                <w:color w:val="auto"/>
              </w:rPr>
              <w:t>Inline XBRL Taxonomy Extension Calculaton</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line="204"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2"/>
          </w:tcPr>
          <w:p>
            <w:pPr>
              <w:spacing w:after="0" w:line="215" w:lineRule="exact"/>
              <w:rPr>
                <w:sz w:val="20"/>
                <w:szCs w:val="20"/>
                <w:color w:val="auto"/>
              </w:rPr>
            </w:pPr>
            <w:r>
              <w:rPr>
                <w:rFonts w:ascii="Calibri" w:cs="Calibri" w:eastAsia="Calibri" w:hAnsi="Calibri"/>
                <w:sz w:val="18"/>
                <w:szCs w:val="18"/>
                <w:color w:val="auto"/>
              </w:rPr>
              <w:t>Linkbase Document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120"/>
              <w:spacing w:after="0" w:line="204" w:lineRule="exact"/>
              <w:rPr>
                <w:sz w:val="20"/>
                <w:szCs w:val="20"/>
                <w:color w:val="auto"/>
              </w:rPr>
            </w:pPr>
            <w:r>
              <w:rPr>
                <w:rFonts w:ascii="Calibri" w:cs="Calibri" w:eastAsia="Calibri" w:hAnsi="Calibri"/>
                <w:sz w:val="18"/>
                <w:szCs w:val="18"/>
                <w:color w:val="auto"/>
                <w:w w:val="99"/>
              </w:rPr>
              <w:t>101.DEF</w:t>
            </w:r>
          </w:p>
        </w:tc>
        <w:tc>
          <w:tcPr>
            <w:tcW w:w="20" w:type="dxa"/>
            <w:vAlign w:val="bottom"/>
          </w:tcPr>
          <w:p>
            <w:pPr>
              <w:spacing w:after="0"/>
              <w:rPr>
                <w:sz w:val="17"/>
                <w:szCs w:val="17"/>
                <w:color w:val="auto"/>
              </w:rPr>
            </w:pPr>
          </w:p>
        </w:tc>
        <w:tc>
          <w:tcPr>
            <w:tcW w:w="3680" w:type="dxa"/>
            <w:vAlign w:val="bottom"/>
            <w:gridSpan w:val="12"/>
          </w:tcPr>
          <w:p>
            <w:pPr>
              <w:spacing w:after="0" w:line="204" w:lineRule="exact"/>
              <w:rPr>
                <w:sz w:val="20"/>
                <w:szCs w:val="20"/>
                <w:color w:val="auto"/>
              </w:rPr>
            </w:pPr>
            <w:r>
              <w:rPr>
                <w:rFonts w:ascii="Calibri" w:cs="Calibri" w:eastAsia="Calibri" w:hAnsi="Calibri"/>
                <w:sz w:val="18"/>
                <w:szCs w:val="18"/>
                <w:color w:val="auto"/>
              </w:rPr>
              <w:t>Inline XBRL Taxonomy Extension Defniton</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line="204"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2"/>
          </w:tcPr>
          <w:p>
            <w:pPr>
              <w:spacing w:after="0" w:line="215" w:lineRule="exact"/>
              <w:rPr>
                <w:sz w:val="20"/>
                <w:szCs w:val="20"/>
                <w:color w:val="auto"/>
              </w:rPr>
            </w:pPr>
            <w:r>
              <w:rPr>
                <w:rFonts w:ascii="Calibri" w:cs="Calibri" w:eastAsia="Calibri" w:hAnsi="Calibri"/>
                <w:sz w:val="18"/>
                <w:szCs w:val="18"/>
                <w:color w:val="auto"/>
              </w:rPr>
              <w:t>Linkbase Document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120"/>
              <w:spacing w:after="0" w:line="204" w:lineRule="exact"/>
              <w:rPr>
                <w:sz w:val="20"/>
                <w:szCs w:val="20"/>
                <w:color w:val="auto"/>
              </w:rPr>
            </w:pPr>
            <w:r>
              <w:rPr>
                <w:rFonts w:ascii="Calibri" w:cs="Calibri" w:eastAsia="Calibri" w:hAnsi="Calibri"/>
                <w:sz w:val="18"/>
                <w:szCs w:val="18"/>
                <w:color w:val="auto"/>
              </w:rPr>
              <w:t>101.LAB</w:t>
            </w:r>
          </w:p>
        </w:tc>
        <w:tc>
          <w:tcPr>
            <w:tcW w:w="20" w:type="dxa"/>
            <w:vAlign w:val="bottom"/>
          </w:tcPr>
          <w:p>
            <w:pPr>
              <w:spacing w:after="0"/>
              <w:rPr>
                <w:sz w:val="17"/>
                <w:szCs w:val="17"/>
                <w:color w:val="auto"/>
              </w:rPr>
            </w:pPr>
          </w:p>
        </w:tc>
        <w:tc>
          <w:tcPr>
            <w:tcW w:w="3680" w:type="dxa"/>
            <w:vAlign w:val="bottom"/>
            <w:gridSpan w:val="12"/>
          </w:tcPr>
          <w:p>
            <w:pPr>
              <w:spacing w:after="0" w:line="204" w:lineRule="exact"/>
              <w:rPr>
                <w:sz w:val="20"/>
                <w:szCs w:val="20"/>
                <w:color w:val="auto"/>
              </w:rPr>
            </w:pPr>
            <w:r>
              <w:rPr>
                <w:rFonts w:ascii="Calibri" w:cs="Calibri" w:eastAsia="Calibri" w:hAnsi="Calibri"/>
                <w:sz w:val="18"/>
                <w:szCs w:val="18"/>
                <w:color w:val="auto"/>
              </w:rPr>
              <w:t>Inline XBRL Taxonomy Extension Labels Linkbase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line="204"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2"/>
          </w:tcPr>
          <w:p>
            <w:pPr>
              <w:spacing w:after="0" w:line="215" w:lineRule="exact"/>
              <w:rPr>
                <w:sz w:val="20"/>
                <w:szCs w:val="20"/>
                <w:color w:val="auto"/>
              </w:rPr>
            </w:pPr>
            <w:r>
              <w:rPr>
                <w:rFonts w:ascii="Calibri" w:cs="Calibri" w:eastAsia="Calibri" w:hAnsi="Calibri"/>
                <w:sz w:val="18"/>
                <w:szCs w:val="18"/>
                <w:color w:val="auto"/>
              </w:rPr>
              <w:t>Document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20" w:type="dxa"/>
            <w:vAlign w:val="bottom"/>
            <w:gridSpan w:val="2"/>
          </w:tcPr>
          <w:p>
            <w:pPr>
              <w:jc w:val="center"/>
              <w:ind w:right="120"/>
              <w:spacing w:after="0" w:line="204" w:lineRule="exact"/>
              <w:rPr>
                <w:sz w:val="20"/>
                <w:szCs w:val="20"/>
                <w:color w:val="auto"/>
              </w:rPr>
            </w:pPr>
            <w:r>
              <w:rPr>
                <w:rFonts w:ascii="Calibri" w:cs="Calibri" w:eastAsia="Calibri" w:hAnsi="Calibri"/>
                <w:sz w:val="18"/>
                <w:szCs w:val="18"/>
                <w:color w:val="auto"/>
              </w:rPr>
              <w:t>101.PRE</w:t>
            </w:r>
          </w:p>
        </w:tc>
        <w:tc>
          <w:tcPr>
            <w:tcW w:w="20" w:type="dxa"/>
            <w:vAlign w:val="bottom"/>
          </w:tcPr>
          <w:p>
            <w:pPr>
              <w:spacing w:after="0"/>
              <w:rPr>
                <w:sz w:val="17"/>
                <w:szCs w:val="17"/>
                <w:color w:val="auto"/>
              </w:rPr>
            </w:pPr>
          </w:p>
        </w:tc>
        <w:tc>
          <w:tcPr>
            <w:tcW w:w="3680" w:type="dxa"/>
            <w:vAlign w:val="bottom"/>
            <w:gridSpan w:val="12"/>
          </w:tcPr>
          <w:p>
            <w:pPr>
              <w:spacing w:after="0" w:line="204" w:lineRule="exact"/>
              <w:rPr>
                <w:sz w:val="20"/>
                <w:szCs w:val="20"/>
                <w:color w:val="auto"/>
              </w:rPr>
            </w:pPr>
            <w:r>
              <w:rPr>
                <w:rFonts w:ascii="Calibri" w:cs="Calibri" w:eastAsia="Calibri" w:hAnsi="Calibri"/>
                <w:sz w:val="18"/>
                <w:szCs w:val="18"/>
                <w:color w:val="auto"/>
              </w:rPr>
              <w:t>Inline XBRL Taxonomy Extension Presentaton</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line="204"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2"/>
          </w:tcPr>
          <w:p>
            <w:pPr>
              <w:spacing w:after="0" w:line="215" w:lineRule="exact"/>
              <w:rPr>
                <w:sz w:val="20"/>
                <w:szCs w:val="20"/>
                <w:color w:val="auto"/>
              </w:rPr>
            </w:pPr>
            <w:r>
              <w:rPr>
                <w:rFonts w:ascii="Calibri" w:cs="Calibri" w:eastAsia="Calibri" w:hAnsi="Calibri"/>
                <w:sz w:val="18"/>
                <w:szCs w:val="18"/>
                <w:color w:val="auto"/>
              </w:rPr>
              <w:t>Linkbase Document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0" w:type="dxa"/>
            <w:vAlign w:val="bottom"/>
          </w:tcPr>
          <w:p>
            <w:pPr>
              <w:jc w:val="center"/>
              <w:spacing w:after="0"/>
              <w:rPr>
                <w:sz w:val="20"/>
                <w:szCs w:val="20"/>
                <w:color w:val="auto"/>
              </w:rPr>
            </w:pPr>
            <w:r>
              <w:rPr>
                <w:rFonts w:ascii="Calibri" w:cs="Calibri" w:eastAsia="Calibri" w:hAnsi="Calibri"/>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80" w:type="dxa"/>
            <w:vAlign w:val="bottom"/>
            <w:gridSpan w:val="12"/>
          </w:tcPr>
          <w:p>
            <w:pPr>
              <w:spacing w:after="0"/>
              <w:rPr>
                <w:sz w:val="20"/>
                <w:szCs w:val="20"/>
                <w:color w:val="auto"/>
              </w:rPr>
            </w:pPr>
            <w:r>
              <w:rPr>
                <w:rFonts w:ascii="Calibri" w:cs="Calibri" w:eastAsia="Calibri" w:hAnsi="Calibri"/>
                <w:sz w:val="18"/>
                <w:szCs w:val="18"/>
                <w:color w:val="auto"/>
              </w:rPr>
              <w:t>Cover Page Interactve Data File</w:t>
            </w:r>
          </w:p>
        </w:tc>
        <w:tc>
          <w:tcPr>
            <w:tcW w:w="4240" w:type="dxa"/>
            <w:vAlign w:val="bottom"/>
            <w:gridSpan w:val="7"/>
          </w:tcPr>
          <w:p>
            <w:pPr>
              <w:ind w:left="20"/>
              <w:spacing w:after="0"/>
              <w:rPr>
                <w:sz w:val="20"/>
                <w:szCs w:val="20"/>
                <w:color w:val="auto"/>
              </w:rPr>
            </w:pPr>
            <w:r>
              <w:rPr>
                <w:rFonts w:ascii="Calibri" w:cs="Calibri" w:eastAsia="Calibri" w:hAnsi="Calibri"/>
                <w:sz w:val="18"/>
                <w:szCs w:val="18"/>
                <w:color w:val="auto"/>
              </w:rPr>
              <w:t>Formated as Inline XBRL and contained in Exhibit 101.</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Calibri" w:cs="Calibri" w:eastAsia="Calibri" w:hAnsi="Calibri"/>
          <w:sz w:val="12"/>
          <w:szCs w:val="12"/>
          <w:color w:val="auto"/>
        </w:rPr>
        <w:t>†</w:t>
      </w:r>
    </w:p>
    <w:p>
      <w:pPr>
        <w:ind w:left="680"/>
        <w:spacing w:after="0" w:line="195" w:lineRule="auto"/>
        <w:rPr>
          <w:sz w:val="20"/>
          <w:szCs w:val="20"/>
          <w:color w:val="auto"/>
        </w:rPr>
      </w:pPr>
      <w:r>
        <w:rPr>
          <w:rFonts w:ascii="Calibri" w:cs="Calibri" w:eastAsia="Calibri" w:hAnsi="Calibri"/>
          <w:sz w:val="18"/>
          <w:szCs w:val="18"/>
          <w:color w:val="auto"/>
        </w:rPr>
        <w:t>Management contract or compensatory plan.</w:t>
      </w:r>
    </w:p>
    <w:p>
      <w:pPr>
        <w:spacing w:after="0" w:line="10" w:lineRule="exact"/>
        <w:rPr>
          <w:sz w:val="20"/>
          <w:szCs w:val="20"/>
          <w:color w:val="auto"/>
        </w:rPr>
      </w:pPr>
    </w:p>
    <w:p>
      <w:pPr>
        <w:ind w:left="680" w:hanging="654"/>
        <w:spacing w:after="0"/>
        <w:tabs>
          <w:tab w:leader="none" w:pos="68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Confdental treatment granted for certain portons of this exhibit.</w:t>
      </w:r>
    </w:p>
    <w:p>
      <w:pPr>
        <w:spacing w:after="0" w:line="10" w:lineRule="exact"/>
        <w:rPr>
          <w:sz w:val="20"/>
          <w:szCs w:val="20"/>
          <w:color w:val="auto"/>
        </w:rPr>
      </w:pPr>
    </w:p>
    <w:p>
      <w:pPr>
        <w:ind w:left="680" w:hanging="654"/>
        <w:spacing w:after="0"/>
        <w:tabs>
          <w:tab w:leader="none" w:pos="68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Portons of this exhibit have been omited as being immaterial and would be compettvely harmful if publicly disclosed.</w:t>
      </w:r>
    </w:p>
    <w:p>
      <w:pPr>
        <w:spacing w:after="0" w:line="15" w:lineRule="exact"/>
        <w:rPr>
          <w:sz w:val="20"/>
          <w:szCs w:val="20"/>
          <w:color w:val="auto"/>
        </w:rPr>
      </w:pPr>
    </w:p>
    <w:p>
      <w:pPr>
        <w:ind w:left="680" w:right="60" w:hanging="654"/>
        <w:spacing w:after="0" w:line="206" w:lineRule="auto"/>
        <w:tabs>
          <w:tab w:leader="none" w:pos="6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This certfcaton accompanies this Annual Report on Form 10-K, is not deemed fled with the SEC and is not to be incorporated by reference into any fling of the Company under the Securites Act of 1933, as amended, or the Securites Exchange Act of 1934, as amended (whether made before or afer the date of this Annual Report on Form 10-K), irrespectve of any general incorporaton language contained in such fling.</w:t>
      </w:r>
    </w:p>
    <w:p>
      <w:pPr>
        <w:spacing w:after="0" w:line="361" w:lineRule="exact"/>
        <w:rPr>
          <w:sz w:val="20"/>
          <w:szCs w:val="20"/>
          <w:color w:val="auto"/>
        </w:rPr>
      </w:pPr>
    </w:p>
    <w:p>
      <w:pPr>
        <w:spacing w:after="0"/>
        <w:tabs>
          <w:tab w:leader="none" w:pos="780" w:val="left"/>
        </w:tabs>
        <w:rPr>
          <w:sz w:val="20"/>
          <w:szCs w:val="20"/>
          <w:color w:val="auto"/>
        </w:rPr>
      </w:pPr>
      <w:r>
        <w:rPr>
          <w:rFonts w:ascii="Calibri" w:cs="Calibri" w:eastAsia="Calibri" w:hAnsi="Calibri"/>
          <w:sz w:val="18"/>
          <w:szCs w:val="18"/>
          <w:b w:val="1"/>
          <w:bCs w:val="1"/>
          <w:color w:val="auto"/>
        </w:rPr>
        <w:t>ITEM 16.</w:t>
      </w:r>
      <w:r>
        <w:rPr>
          <w:sz w:val="20"/>
          <w:szCs w:val="20"/>
          <w:color w:val="auto"/>
        </w:rPr>
        <w:tab/>
      </w:r>
      <w:r>
        <w:rPr>
          <w:rFonts w:ascii="Calibri" w:cs="Calibri" w:eastAsia="Calibri" w:hAnsi="Calibri"/>
          <w:sz w:val="17"/>
          <w:szCs w:val="17"/>
          <w:b w:val="1"/>
          <w:bCs w:val="1"/>
          <w:color w:val="auto"/>
        </w:rPr>
        <w:t>Form 10-K Summary.</w:t>
      </w:r>
    </w:p>
    <w:p>
      <w:pPr>
        <w:spacing w:after="0" w:line="158" w:lineRule="exact"/>
        <w:rPr>
          <w:sz w:val="20"/>
          <w:szCs w:val="20"/>
          <w:color w:val="auto"/>
        </w:rPr>
      </w:pPr>
    </w:p>
    <w:p>
      <w:pPr>
        <w:ind w:left="700"/>
        <w:spacing w:after="0"/>
        <w:rPr>
          <w:sz w:val="20"/>
          <w:szCs w:val="20"/>
          <w:color w:val="auto"/>
        </w:rPr>
      </w:pPr>
      <w:r>
        <w:rPr>
          <w:rFonts w:ascii="Calibri" w:cs="Calibri" w:eastAsia="Calibri" w:hAnsi="Calibri"/>
          <w:sz w:val="18"/>
          <w:szCs w:val="18"/>
          <w:color w:val="auto"/>
        </w:rPr>
        <w:t>None provided.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132" w:lineRule="exact"/>
        <w:rPr>
          <w:sz w:val="20"/>
          <w:szCs w:val="20"/>
          <w:color w:val="auto"/>
        </w:rPr>
      </w:pPr>
    </w:p>
    <w:tbl>
      <w:tblPr>
        <w:tblLayout w:type="fixed"/>
        <w:tblInd w:w="3220" w:type="dxa"/>
        <w:tblCellMar>
          <w:top w:w="0" w:type="dxa"/>
          <w:left w:w="0" w:type="dxa"/>
          <w:bottom w:w="0" w:type="dxa"/>
          <w:right w:w="0" w:type="dxa"/>
        </w:tblCellMar>
      </w:tblPr>
      <w:tr>
        <w:trPr>
          <w:trHeight w:val="220"/>
        </w:trPr>
        <w:tc>
          <w:tcPr>
            <w:tcW w:w="2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Calibri" w:cs="Calibri" w:eastAsia="Calibri" w:hAnsi="Calibri"/>
                <w:sz w:val="18"/>
                <w:szCs w:val="18"/>
                <w:color w:val="auto"/>
              </w:rPr>
              <w:t>E</w:t>
            </w:r>
            <w:r>
              <w:rPr>
                <w:rFonts w:ascii="Calibri" w:cs="Calibri" w:eastAsia="Calibri" w:hAnsi="Calibri"/>
                <w:sz w:val="14"/>
                <w:szCs w:val="14"/>
                <w:color w:val="auto"/>
              </w:rPr>
              <w:t>XELIXIS</w:t>
            </w:r>
            <w:r>
              <w:rPr>
                <w:rFonts w:ascii="Calibri" w:cs="Calibri" w:eastAsia="Calibri" w:hAnsi="Calibri"/>
                <w:sz w:val="18"/>
                <w:szCs w:val="18"/>
                <w:color w:val="auto"/>
              </w:rPr>
              <w:t>, I</w:t>
            </w:r>
            <w:r>
              <w:rPr>
                <w:rFonts w:ascii="Calibri" w:cs="Calibri" w:eastAsia="Calibri" w:hAnsi="Calibri"/>
                <w:sz w:val="14"/>
                <w:szCs w:val="14"/>
                <w:color w:val="auto"/>
              </w:rPr>
              <w:t>NC</w:t>
            </w:r>
            <w:r>
              <w:rPr>
                <w:rFonts w:ascii="Calibri" w:cs="Calibri" w:eastAsia="Calibri" w:hAnsi="Calibri"/>
                <w:sz w:val="18"/>
                <w:szCs w:val="18"/>
                <w:color w:val="auto"/>
              </w:rPr>
              <w:t>.</w:t>
            </w:r>
          </w:p>
        </w:tc>
      </w:tr>
      <w:tr>
        <w:trPr>
          <w:trHeight w:val="527"/>
        </w:trPr>
        <w:tc>
          <w:tcPr>
            <w:tcW w:w="2240" w:type="dxa"/>
            <w:vAlign w:val="bottom"/>
          </w:tcPr>
          <w:p>
            <w:pPr>
              <w:jc w:val="center"/>
              <w:spacing w:after="0"/>
              <w:rPr>
                <w:sz w:val="20"/>
                <w:szCs w:val="20"/>
                <w:color w:val="auto"/>
              </w:rPr>
            </w:pPr>
            <w:r>
              <w:rPr>
                <w:rFonts w:ascii="Calibri" w:cs="Calibri" w:eastAsia="Calibri" w:hAnsi="Calibri"/>
                <w:sz w:val="18"/>
                <w:szCs w:val="18"/>
                <w:color w:val="auto"/>
                <w:w w:val="97"/>
              </w:rPr>
              <w:t>February 11, 2025</w:t>
            </w:r>
          </w:p>
        </w:tc>
        <w:tc>
          <w:tcPr>
            <w:tcW w:w="1320" w:type="dxa"/>
            <w:vAlign w:val="bottom"/>
          </w:tcPr>
          <w:p>
            <w:pPr>
              <w:ind w:left="680"/>
              <w:spacing w:after="0"/>
              <w:rPr>
                <w:sz w:val="20"/>
                <w:szCs w:val="20"/>
                <w:color w:val="auto"/>
              </w:rPr>
            </w:pPr>
            <w:r>
              <w:rPr>
                <w:rFonts w:ascii="Calibri" w:cs="Calibri" w:eastAsia="Calibri" w:hAnsi="Calibri"/>
                <w:sz w:val="18"/>
                <w:szCs w:val="18"/>
                <w:color w:val="auto"/>
              </w:rPr>
              <w:t>By:</w:t>
            </w:r>
          </w:p>
        </w:tc>
        <w:tc>
          <w:tcPr>
            <w:tcW w:w="4460" w:type="dxa"/>
            <w:vAlign w:val="bottom"/>
          </w:tcPr>
          <w:p>
            <w:pPr>
              <w:jc w:val="center"/>
              <w:spacing w:after="0"/>
              <w:rPr>
                <w:sz w:val="20"/>
                <w:szCs w:val="20"/>
                <w:color w:val="auto"/>
              </w:rPr>
            </w:pPr>
            <w:r>
              <w:rPr>
                <w:rFonts w:ascii="Calibri" w:cs="Calibri" w:eastAsia="Calibri" w:hAnsi="Calibri"/>
                <w:sz w:val="18"/>
                <w:szCs w:val="18"/>
                <w:color w:val="auto"/>
                <w:w w:val="99"/>
              </w:rPr>
              <w:t>/s/ M</w:t>
            </w:r>
            <w:r>
              <w:rPr>
                <w:rFonts w:ascii="Calibri" w:cs="Calibri" w:eastAsia="Calibri" w:hAnsi="Calibri"/>
                <w:sz w:val="14"/>
                <w:szCs w:val="14"/>
                <w:color w:val="auto"/>
                <w:w w:val="99"/>
              </w:rPr>
              <w:t>ICHAEL</w:t>
            </w:r>
            <w:r>
              <w:rPr>
                <w:rFonts w:ascii="Calibri" w:cs="Calibri" w:eastAsia="Calibri" w:hAnsi="Calibri"/>
                <w:sz w:val="18"/>
                <w:szCs w:val="18"/>
                <w:color w:val="auto"/>
                <w:w w:val="99"/>
              </w:rPr>
              <w:t xml:space="preserve"> M. M</w:t>
            </w:r>
            <w:r>
              <w:rPr>
                <w:rFonts w:ascii="Calibri" w:cs="Calibri" w:eastAsia="Calibri" w:hAnsi="Calibri"/>
                <w:sz w:val="14"/>
                <w:szCs w:val="14"/>
                <w:color w:val="auto"/>
                <w:w w:val="99"/>
              </w:rPr>
              <w:t>ORRISSEY</w:t>
            </w:r>
          </w:p>
        </w:tc>
      </w:tr>
      <w:tr>
        <w:trPr>
          <w:trHeight w:val="23"/>
        </w:trPr>
        <w:tc>
          <w:tcPr>
            <w:tcW w:w="224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08"/>
        </w:trPr>
        <w:tc>
          <w:tcPr>
            <w:tcW w:w="224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Date</w:t>
            </w:r>
          </w:p>
        </w:tc>
        <w:tc>
          <w:tcPr>
            <w:tcW w:w="132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Calibri" w:cs="Calibri" w:eastAsia="Calibri" w:hAnsi="Calibri"/>
                <w:sz w:val="16"/>
                <w:szCs w:val="16"/>
                <w:b w:val="1"/>
                <w:bCs w:val="1"/>
                <w:color w:val="auto"/>
              </w:rPr>
              <w:t>Michael M. Morrissey, Ph.D.</w:t>
            </w:r>
          </w:p>
        </w:tc>
      </w:tr>
      <w:tr>
        <w:trPr>
          <w:trHeight w:val="221"/>
        </w:trPr>
        <w:tc>
          <w:tcPr>
            <w:tcW w:w="2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Calibri" w:cs="Calibri" w:eastAsia="Calibri" w:hAnsi="Calibri"/>
                <w:sz w:val="18"/>
                <w:szCs w:val="18"/>
                <w:color w:val="auto"/>
              </w:rPr>
              <w:t>President and Chief Executve Ofcer</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POWER OF ATTORNEY</w:t>
      </w:r>
    </w:p>
    <w:p>
      <w:pPr>
        <w:spacing w:after="0" w:line="163"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b w:val="1"/>
          <w:bCs w:val="1"/>
          <w:color w:val="auto"/>
        </w:rPr>
        <w:t>KNOW ALL PERSONS BY THESE PRESENTS</w:t>
      </w:r>
      <w:r>
        <w:rPr>
          <w:rFonts w:ascii="Calibri" w:cs="Calibri" w:eastAsia="Calibri" w:hAnsi="Calibri"/>
          <w:sz w:val="18"/>
          <w:szCs w:val="18"/>
          <w:color w:val="auto"/>
        </w:rPr>
        <w:t>, that each person whose signature appears below consttutes and appoints</w:t>
      </w:r>
      <w:r>
        <w:rPr>
          <w:rFonts w:ascii="Calibri" w:cs="Calibri" w:eastAsia="Calibri" w:hAnsi="Calibri"/>
          <w:sz w:val="18"/>
          <w:szCs w:val="18"/>
          <w:b w:val="1"/>
          <w:bCs w:val="1"/>
          <w:color w:val="auto"/>
        </w:rPr>
        <w:t xml:space="preserve"> MICHAEL M. MORRISSEY</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CHRISTOPHER J. SENNER </w:t>
      </w:r>
      <w:r>
        <w:rPr>
          <w:rFonts w:ascii="Calibri" w:cs="Calibri" w:eastAsia="Calibri" w:hAnsi="Calibri"/>
          <w:sz w:val="18"/>
          <w:szCs w:val="18"/>
          <w:color w:val="auto"/>
        </w:rPr>
        <w:t>and</w:t>
      </w:r>
      <w:r>
        <w:rPr>
          <w:rFonts w:ascii="Calibri" w:cs="Calibri" w:eastAsia="Calibri" w:hAnsi="Calibri"/>
          <w:sz w:val="18"/>
          <w:szCs w:val="18"/>
          <w:b w:val="1"/>
          <w:bCs w:val="1"/>
          <w:color w:val="auto"/>
        </w:rPr>
        <w:t xml:space="preserve"> JEFFREY J. HESSEKIEL </w:t>
      </w:r>
      <w:r>
        <w:rPr>
          <w:rFonts w:ascii="Calibri" w:cs="Calibri" w:eastAsia="Calibri" w:hAnsi="Calibri"/>
          <w:sz w:val="18"/>
          <w:szCs w:val="18"/>
          <w:color w:val="auto"/>
        </w:rPr>
        <w:t>and each or any one of them, his or her true and lawful atorney-in-fact and agent, with full power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substtuton and resubsttuton, for him or her and in his or her name, place and stead, in any and all capacites, to sign any and all amendments (including post-efectve amendments) to this report on Form 10-K, and to fle the same, with all exhibits thereto, and other documents in connecton therewith, with the Securites and Exchange Commission, grantng unto said atorneys-in-fact and agents, and each of them, full power and authority to do and perform each and every act and thing requisite and necessary to be done in connecton therewith, as fully to all intents and purposes as he or she might or could do in person, hereby ratfying and confrming all that said atorneys-in-fact and agents, or any of them, or their or his or her substtutes or substtute, may lawfully do or cause to be done by virtue hereof.</w:t>
      </w:r>
    </w:p>
    <w:p>
      <w:pPr>
        <w:spacing w:after="0" w:line="169" w:lineRule="exact"/>
        <w:rPr>
          <w:sz w:val="20"/>
          <w:szCs w:val="20"/>
          <w:color w:val="auto"/>
        </w:rPr>
      </w:pPr>
    </w:p>
    <w:p>
      <w:pPr>
        <w:ind w:right="740" w:firstLine="648"/>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by the following persons on behalf of the Registrant and in the capacites and on the dates indicated.</w:t>
      </w:r>
    </w:p>
    <w:p>
      <w:pPr>
        <w:spacing w:after="0" w:line="139" w:lineRule="exact"/>
        <w:rPr>
          <w:sz w:val="20"/>
          <w:szCs w:val="20"/>
          <w:color w:val="auto"/>
        </w:rPr>
      </w:pPr>
    </w:p>
    <w:p>
      <w:pPr>
        <w:ind w:left="1220"/>
        <w:spacing w:after="0"/>
        <w:tabs>
          <w:tab w:leader="none" w:pos="5740" w:val="left"/>
          <w:tab w:leader="none" w:pos="9780" w:val="left"/>
        </w:tabs>
        <w:rPr>
          <w:sz w:val="20"/>
          <w:szCs w:val="20"/>
          <w:color w:val="auto"/>
        </w:rPr>
      </w:pPr>
      <w:r>
        <w:rPr>
          <w:rFonts w:ascii="Calibri" w:cs="Calibri" w:eastAsia="Calibri" w:hAnsi="Calibri"/>
          <w:sz w:val="16"/>
          <w:szCs w:val="16"/>
          <w:b w:val="1"/>
          <w:bCs w:val="1"/>
          <w:color w:val="auto"/>
        </w:rPr>
        <w:t>Signatures</w:t>
      </w:r>
      <w:r>
        <w:rPr>
          <w:sz w:val="20"/>
          <w:szCs w:val="20"/>
          <w:color w:val="auto"/>
        </w:rPr>
        <w:tab/>
      </w:r>
      <w:r>
        <w:rPr>
          <w:rFonts w:ascii="Calibri" w:cs="Calibri" w:eastAsia="Calibri" w:hAnsi="Calibri"/>
          <w:sz w:val="16"/>
          <w:szCs w:val="16"/>
          <w:b w:val="1"/>
          <w:bCs w:val="1"/>
          <w:color w:val="auto"/>
        </w:rPr>
        <w:t>Title</w:t>
      </w:r>
      <w:r>
        <w:rPr>
          <w:sz w:val="20"/>
          <w:szCs w:val="20"/>
          <w:color w:val="auto"/>
        </w:rPr>
        <w:tab/>
      </w:r>
      <w:r>
        <w:rPr>
          <w:rFonts w:ascii="Calibri" w:cs="Calibri" w:eastAsia="Calibri" w:hAnsi="Calibri"/>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20" w:type="dxa"/>
            <w:vAlign w:val="bottom"/>
          </w:tcPr>
          <w:p>
            <w:pPr>
              <w:jc w:val="center"/>
              <w:spacing w:after="0"/>
              <w:rPr>
                <w:sz w:val="20"/>
                <w:szCs w:val="20"/>
                <w:color w:val="auto"/>
              </w:rPr>
            </w:pPr>
            <w:r>
              <w:rPr>
                <w:rFonts w:ascii="Calibri" w:cs="Calibri" w:eastAsia="Calibri" w:hAnsi="Calibri"/>
                <w:sz w:val="18"/>
                <w:szCs w:val="18"/>
                <w:color w:val="auto"/>
                <w:w w:val="99"/>
              </w:rPr>
              <w:t>/s/ M</w:t>
            </w:r>
            <w:r>
              <w:rPr>
                <w:rFonts w:ascii="Calibri" w:cs="Calibri" w:eastAsia="Calibri" w:hAnsi="Calibri"/>
                <w:sz w:val="14"/>
                <w:szCs w:val="14"/>
                <w:color w:val="auto"/>
                <w:w w:val="99"/>
              </w:rPr>
              <w:t>ICHAEL</w:t>
            </w:r>
            <w:r>
              <w:rPr>
                <w:rFonts w:ascii="Calibri" w:cs="Calibri" w:eastAsia="Calibri" w:hAnsi="Calibri"/>
                <w:sz w:val="18"/>
                <w:szCs w:val="18"/>
                <w:color w:val="auto"/>
                <w:w w:val="99"/>
              </w:rPr>
              <w:t xml:space="preserve"> M. M</w:t>
            </w:r>
            <w:r>
              <w:rPr>
                <w:rFonts w:ascii="Calibri" w:cs="Calibri" w:eastAsia="Calibri" w:hAnsi="Calibri"/>
                <w:sz w:val="14"/>
                <w:szCs w:val="14"/>
                <w:color w:val="auto"/>
                <w:w w:val="99"/>
              </w:rPr>
              <w:t>ORRISSEY</w:t>
            </w:r>
          </w:p>
        </w:tc>
        <w:tc>
          <w:tcPr>
            <w:tcW w:w="5120" w:type="dxa"/>
            <w:vAlign w:val="bottom"/>
          </w:tcPr>
          <w:p>
            <w:pPr>
              <w:ind w:left="420"/>
              <w:spacing w:after="0"/>
              <w:rPr>
                <w:sz w:val="20"/>
                <w:szCs w:val="20"/>
                <w:color w:val="auto"/>
              </w:rPr>
            </w:pPr>
            <w:r>
              <w:rPr>
                <w:rFonts w:ascii="Calibri" w:cs="Calibri" w:eastAsia="Calibri" w:hAnsi="Calibri"/>
                <w:sz w:val="18"/>
                <w:szCs w:val="18"/>
                <w:color w:val="auto"/>
              </w:rPr>
              <w:t>Director, President and Chief Executve Ofcer</w:t>
            </w:r>
          </w:p>
        </w:tc>
        <w:tc>
          <w:tcPr>
            <w:tcW w:w="2380" w:type="dxa"/>
            <w:vAlign w:val="bottom"/>
          </w:tcPr>
          <w:p>
            <w:pPr>
              <w:ind w:left="1080"/>
              <w:spacing w:after="0"/>
              <w:rPr>
                <w:sz w:val="20"/>
                <w:szCs w:val="20"/>
                <w:color w:val="auto"/>
              </w:rPr>
            </w:pPr>
            <w:r>
              <w:rPr>
                <w:rFonts w:ascii="Calibri" w:cs="Calibri" w:eastAsia="Calibri" w:hAnsi="Calibri"/>
                <w:sz w:val="18"/>
                <w:szCs w:val="18"/>
                <w:color w:val="auto"/>
                <w:w w:val="96"/>
              </w:rPr>
              <w:t>February 11, 2025</w:t>
            </w:r>
          </w:p>
        </w:tc>
        <w:tc>
          <w:tcPr>
            <w:tcW w:w="0" w:type="dxa"/>
            <w:vAlign w:val="bottom"/>
          </w:tcPr>
          <w:p>
            <w:pPr>
              <w:spacing w:after="0"/>
              <w:rPr>
                <w:sz w:val="1"/>
                <w:szCs w:val="1"/>
                <w:color w:val="auto"/>
              </w:rPr>
            </w:pPr>
          </w:p>
        </w:tc>
      </w:tr>
      <w:tr>
        <w:trPr>
          <w:trHeight w:val="23"/>
        </w:trPr>
        <w:tc>
          <w:tcPr>
            <w:tcW w:w="3120" w:type="dxa"/>
            <w:vAlign w:val="bottom"/>
            <w:tcBorders>
              <w:bottom w:val="single" w:sz="8" w:color="auto"/>
            </w:tcBorders>
          </w:tcPr>
          <w:p>
            <w:pPr>
              <w:spacing w:after="0"/>
              <w:rPr>
                <w:sz w:val="2"/>
                <w:szCs w:val="2"/>
                <w:color w:val="auto"/>
              </w:rPr>
            </w:pPr>
          </w:p>
        </w:tc>
        <w:tc>
          <w:tcPr>
            <w:tcW w:w="5120" w:type="dxa"/>
            <w:vAlign w:val="bottom"/>
            <w:vMerge w:val="restart"/>
          </w:tcPr>
          <w:p>
            <w:pPr>
              <w:ind w:left="420"/>
              <w:spacing w:after="0"/>
              <w:rPr>
                <w:sz w:val="20"/>
                <w:szCs w:val="20"/>
                <w:color w:val="auto"/>
              </w:rPr>
            </w:pPr>
            <w:r>
              <w:rPr>
                <w:rFonts w:ascii="Calibri" w:cs="Calibri" w:eastAsia="Calibri" w:hAnsi="Calibri"/>
                <w:sz w:val="18"/>
                <w:szCs w:val="18"/>
                <w:color w:val="auto"/>
              </w:rPr>
              <w:t>(Principal Executve Ofcer)</w:t>
            </w: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Michael M. Morrissey, Ph.D.</w:t>
            </w:r>
          </w:p>
        </w:tc>
        <w:tc>
          <w:tcPr>
            <w:tcW w:w="512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3120" w:type="dxa"/>
            <w:vAlign w:val="bottom"/>
          </w:tcPr>
          <w:p>
            <w:pPr>
              <w:jc w:val="center"/>
              <w:spacing w:after="0"/>
              <w:rPr>
                <w:sz w:val="20"/>
                <w:szCs w:val="20"/>
                <w:color w:val="auto"/>
              </w:rPr>
            </w:pPr>
            <w:r>
              <w:rPr>
                <w:rFonts w:ascii="Calibri" w:cs="Calibri" w:eastAsia="Calibri" w:hAnsi="Calibri"/>
                <w:sz w:val="18"/>
                <w:szCs w:val="18"/>
                <w:color w:val="auto"/>
              </w:rPr>
              <w:t>/s/ C</w:t>
            </w:r>
            <w:r>
              <w:rPr>
                <w:rFonts w:ascii="Calibri" w:cs="Calibri" w:eastAsia="Calibri" w:hAnsi="Calibri"/>
                <w:sz w:val="14"/>
                <w:szCs w:val="14"/>
                <w:color w:val="auto"/>
              </w:rPr>
              <w:t>HRISTOPHER</w:t>
            </w:r>
            <w:r>
              <w:rPr>
                <w:rFonts w:ascii="Calibri" w:cs="Calibri" w:eastAsia="Calibri" w:hAnsi="Calibri"/>
                <w:sz w:val="18"/>
                <w:szCs w:val="18"/>
                <w:color w:val="auto"/>
              </w:rPr>
              <w:t xml:space="preserve"> J. S</w:t>
            </w:r>
            <w:r>
              <w:rPr>
                <w:rFonts w:ascii="Calibri" w:cs="Calibri" w:eastAsia="Calibri" w:hAnsi="Calibri"/>
                <w:sz w:val="14"/>
                <w:szCs w:val="14"/>
                <w:color w:val="auto"/>
              </w:rPr>
              <w:t>ENNER</w:t>
            </w:r>
          </w:p>
        </w:tc>
        <w:tc>
          <w:tcPr>
            <w:tcW w:w="5120" w:type="dxa"/>
            <w:vAlign w:val="bottom"/>
          </w:tcPr>
          <w:p>
            <w:pPr>
              <w:ind w:left="420"/>
              <w:spacing w:after="0"/>
              <w:rPr>
                <w:sz w:val="20"/>
                <w:szCs w:val="20"/>
                <w:color w:val="auto"/>
              </w:rPr>
            </w:pPr>
            <w:r>
              <w:rPr>
                <w:rFonts w:ascii="Calibri" w:cs="Calibri" w:eastAsia="Calibri" w:hAnsi="Calibri"/>
                <w:sz w:val="18"/>
                <w:szCs w:val="18"/>
                <w:color w:val="auto"/>
              </w:rPr>
              <w:t>Executve Vice President and Chief Financial Ofcer</w:t>
            </w:r>
          </w:p>
        </w:tc>
        <w:tc>
          <w:tcPr>
            <w:tcW w:w="2380" w:type="dxa"/>
            <w:vAlign w:val="bottom"/>
          </w:tcPr>
          <w:p>
            <w:pPr>
              <w:ind w:left="1080"/>
              <w:spacing w:after="0"/>
              <w:rPr>
                <w:sz w:val="20"/>
                <w:szCs w:val="20"/>
                <w:color w:val="auto"/>
              </w:rPr>
            </w:pPr>
            <w:r>
              <w:rPr>
                <w:rFonts w:ascii="Calibri" w:cs="Calibri" w:eastAsia="Calibri" w:hAnsi="Calibri"/>
                <w:sz w:val="18"/>
                <w:szCs w:val="18"/>
                <w:color w:val="auto"/>
                <w:w w:val="96"/>
              </w:rPr>
              <w:t>February 11, 2025</w:t>
            </w:r>
          </w:p>
        </w:tc>
        <w:tc>
          <w:tcPr>
            <w:tcW w:w="0" w:type="dxa"/>
            <w:vAlign w:val="bottom"/>
          </w:tcPr>
          <w:p>
            <w:pPr>
              <w:spacing w:after="0"/>
              <w:rPr>
                <w:sz w:val="1"/>
                <w:szCs w:val="1"/>
                <w:color w:val="auto"/>
              </w:rPr>
            </w:pPr>
          </w:p>
        </w:tc>
      </w:tr>
      <w:tr>
        <w:trPr>
          <w:trHeight w:val="23"/>
        </w:trPr>
        <w:tc>
          <w:tcPr>
            <w:tcW w:w="3120" w:type="dxa"/>
            <w:vAlign w:val="bottom"/>
            <w:tcBorders>
              <w:bottom w:val="single" w:sz="8" w:color="auto"/>
            </w:tcBorders>
          </w:tcPr>
          <w:p>
            <w:pPr>
              <w:spacing w:after="0"/>
              <w:rPr>
                <w:sz w:val="2"/>
                <w:szCs w:val="2"/>
                <w:color w:val="auto"/>
              </w:rPr>
            </w:pPr>
          </w:p>
        </w:tc>
        <w:tc>
          <w:tcPr>
            <w:tcW w:w="5120" w:type="dxa"/>
            <w:vAlign w:val="bottom"/>
            <w:vMerge w:val="restart"/>
          </w:tcPr>
          <w:p>
            <w:pPr>
              <w:ind w:left="420"/>
              <w:spacing w:after="0"/>
              <w:rPr>
                <w:sz w:val="20"/>
                <w:szCs w:val="20"/>
                <w:color w:val="auto"/>
              </w:rPr>
            </w:pPr>
            <w:r>
              <w:rPr>
                <w:rFonts w:ascii="Calibri" w:cs="Calibri" w:eastAsia="Calibri" w:hAnsi="Calibri"/>
                <w:sz w:val="18"/>
                <w:szCs w:val="18"/>
                <w:color w:val="auto"/>
              </w:rPr>
              <w:t>(Principal Financial and Accountng Ofcer)</w:t>
            </w: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Christopher J. Senner</w:t>
            </w:r>
          </w:p>
        </w:tc>
        <w:tc>
          <w:tcPr>
            <w:tcW w:w="512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3120" w:type="dxa"/>
            <w:vAlign w:val="bottom"/>
          </w:tcPr>
          <w:p>
            <w:pPr>
              <w:jc w:val="center"/>
              <w:spacing w:after="0"/>
              <w:rPr>
                <w:sz w:val="20"/>
                <w:szCs w:val="20"/>
                <w:color w:val="auto"/>
              </w:rPr>
            </w:pPr>
            <w:r>
              <w:rPr>
                <w:rFonts w:ascii="Calibri" w:cs="Calibri" w:eastAsia="Calibri" w:hAnsi="Calibri"/>
                <w:sz w:val="18"/>
                <w:szCs w:val="18"/>
                <w:color w:val="auto"/>
              </w:rPr>
              <w:t>/s/ S</w:t>
            </w:r>
            <w:r>
              <w:rPr>
                <w:rFonts w:ascii="Calibri" w:cs="Calibri" w:eastAsia="Calibri" w:hAnsi="Calibri"/>
                <w:sz w:val="14"/>
                <w:szCs w:val="14"/>
                <w:color w:val="auto"/>
              </w:rPr>
              <w:t>TELIOS</w:t>
            </w:r>
            <w:r>
              <w:rPr>
                <w:rFonts w:ascii="Calibri" w:cs="Calibri" w:eastAsia="Calibri" w:hAnsi="Calibri"/>
                <w:sz w:val="18"/>
                <w:szCs w:val="18"/>
                <w:color w:val="auto"/>
              </w:rPr>
              <w:t xml:space="preserve"> P</w:t>
            </w:r>
            <w:r>
              <w:rPr>
                <w:rFonts w:ascii="Calibri" w:cs="Calibri" w:eastAsia="Calibri" w:hAnsi="Calibri"/>
                <w:sz w:val="14"/>
                <w:szCs w:val="14"/>
                <w:color w:val="auto"/>
              </w:rPr>
              <w:t>APADOPOULOS</w:t>
            </w:r>
          </w:p>
        </w:tc>
        <w:tc>
          <w:tcPr>
            <w:tcW w:w="5120" w:type="dxa"/>
            <w:vAlign w:val="bottom"/>
          </w:tcPr>
          <w:p>
            <w:pPr>
              <w:ind w:left="420"/>
              <w:spacing w:after="0"/>
              <w:rPr>
                <w:sz w:val="20"/>
                <w:szCs w:val="20"/>
                <w:color w:val="auto"/>
              </w:rPr>
            </w:pPr>
            <w:r>
              <w:rPr>
                <w:rFonts w:ascii="Calibri" w:cs="Calibri" w:eastAsia="Calibri" w:hAnsi="Calibri"/>
                <w:sz w:val="18"/>
                <w:szCs w:val="18"/>
                <w:color w:val="auto"/>
              </w:rPr>
              <w:t>Chairman of the Board</w:t>
            </w:r>
          </w:p>
        </w:tc>
        <w:tc>
          <w:tcPr>
            <w:tcW w:w="2380" w:type="dxa"/>
            <w:vAlign w:val="bottom"/>
          </w:tcPr>
          <w:p>
            <w:pPr>
              <w:ind w:left="1080"/>
              <w:spacing w:after="0"/>
              <w:rPr>
                <w:sz w:val="20"/>
                <w:szCs w:val="20"/>
                <w:color w:val="auto"/>
              </w:rPr>
            </w:pPr>
            <w:r>
              <w:rPr>
                <w:rFonts w:ascii="Calibri" w:cs="Calibri" w:eastAsia="Calibri" w:hAnsi="Calibri"/>
                <w:sz w:val="18"/>
                <w:szCs w:val="18"/>
                <w:color w:val="auto"/>
                <w:w w:val="96"/>
              </w:rPr>
              <w:t>February 11, 2025</w:t>
            </w:r>
          </w:p>
        </w:tc>
        <w:tc>
          <w:tcPr>
            <w:tcW w:w="0" w:type="dxa"/>
            <w:vAlign w:val="bottom"/>
          </w:tcPr>
          <w:p>
            <w:pPr>
              <w:spacing w:after="0"/>
              <w:rPr>
                <w:sz w:val="1"/>
                <w:szCs w:val="1"/>
                <w:color w:val="auto"/>
              </w:rPr>
            </w:pPr>
          </w:p>
        </w:tc>
      </w:tr>
      <w:tr>
        <w:trPr>
          <w:trHeight w:val="23"/>
        </w:trPr>
        <w:tc>
          <w:tcPr>
            <w:tcW w:w="312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9"/>
              </w:rPr>
              <w:t>Stelios Papadopoulos, Ph.D.</w:t>
            </w:r>
          </w:p>
        </w:tc>
        <w:tc>
          <w:tcPr>
            <w:tcW w:w="5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3120" w:type="dxa"/>
            <w:vAlign w:val="bottom"/>
          </w:tcPr>
          <w:p>
            <w:pPr>
              <w:jc w:val="center"/>
              <w:spacing w:after="0"/>
              <w:rPr>
                <w:sz w:val="20"/>
                <w:szCs w:val="20"/>
                <w:color w:val="auto"/>
              </w:rPr>
            </w:pPr>
            <w:r>
              <w:rPr>
                <w:rFonts w:ascii="Calibri" w:cs="Calibri" w:eastAsia="Calibri" w:hAnsi="Calibri"/>
                <w:sz w:val="18"/>
                <w:szCs w:val="18"/>
                <w:color w:val="auto"/>
                <w:w w:val="98"/>
              </w:rPr>
              <w:t>/s/ M</w:t>
            </w:r>
            <w:r>
              <w:rPr>
                <w:rFonts w:ascii="Calibri" w:cs="Calibri" w:eastAsia="Calibri" w:hAnsi="Calibri"/>
                <w:sz w:val="14"/>
                <w:szCs w:val="14"/>
                <w:color w:val="auto"/>
                <w:w w:val="98"/>
              </w:rPr>
              <w:t>ARY</w:t>
            </w:r>
            <w:r>
              <w:rPr>
                <w:rFonts w:ascii="Calibri" w:cs="Calibri" w:eastAsia="Calibri" w:hAnsi="Calibri"/>
                <w:sz w:val="18"/>
                <w:szCs w:val="18"/>
                <w:color w:val="auto"/>
                <w:w w:val="98"/>
              </w:rPr>
              <w:t xml:space="preserve"> C. B</w:t>
            </w:r>
            <w:r>
              <w:rPr>
                <w:rFonts w:ascii="Calibri" w:cs="Calibri" w:eastAsia="Calibri" w:hAnsi="Calibri"/>
                <w:sz w:val="14"/>
                <w:szCs w:val="14"/>
                <w:color w:val="auto"/>
                <w:w w:val="98"/>
              </w:rPr>
              <w:t>ECKERLE</w:t>
            </w:r>
          </w:p>
        </w:tc>
        <w:tc>
          <w:tcPr>
            <w:tcW w:w="5120" w:type="dxa"/>
            <w:vAlign w:val="bottom"/>
          </w:tcPr>
          <w:p>
            <w:pPr>
              <w:ind w:left="420"/>
              <w:spacing w:after="0"/>
              <w:rPr>
                <w:sz w:val="20"/>
                <w:szCs w:val="20"/>
                <w:color w:val="auto"/>
              </w:rPr>
            </w:pPr>
            <w:r>
              <w:rPr>
                <w:rFonts w:ascii="Calibri" w:cs="Calibri" w:eastAsia="Calibri" w:hAnsi="Calibri"/>
                <w:sz w:val="18"/>
                <w:szCs w:val="18"/>
                <w:color w:val="auto"/>
              </w:rPr>
              <w:t>Director</w:t>
            </w:r>
          </w:p>
        </w:tc>
        <w:tc>
          <w:tcPr>
            <w:tcW w:w="2380" w:type="dxa"/>
            <w:vAlign w:val="bottom"/>
          </w:tcPr>
          <w:p>
            <w:pPr>
              <w:ind w:left="1080"/>
              <w:spacing w:after="0"/>
              <w:rPr>
                <w:sz w:val="20"/>
                <w:szCs w:val="20"/>
                <w:color w:val="auto"/>
              </w:rPr>
            </w:pPr>
            <w:r>
              <w:rPr>
                <w:rFonts w:ascii="Calibri" w:cs="Calibri" w:eastAsia="Calibri" w:hAnsi="Calibri"/>
                <w:sz w:val="18"/>
                <w:szCs w:val="18"/>
                <w:color w:val="auto"/>
                <w:w w:val="96"/>
              </w:rPr>
              <w:t>February 11, 2025</w:t>
            </w:r>
          </w:p>
        </w:tc>
        <w:tc>
          <w:tcPr>
            <w:tcW w:w="0" w:type="dxa"/>
            <w:vAlign w:val="bottom"/>
          </w:tcPr>
          <w:p>
            <w:pPr>
              <w:spacing w:after="0"/>
              <w:rPr>
                <w:sz w:val="1"/>
                <w:szCs w:val="1"/>
                <w:color w:val="auto"/>
              </w:rPr>
            </w:pPr>
          </w:p>
        </w:tc>
      </w:tr>
      <w:tr>
        <w:trPr>
          <w:trHeight w:val="23"/>
        </w:trPr>
        <w:tc>
          <w:tcPr>
            <w:tcW w:w="312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Mary C. Beckerle, Ph.D.</w:t>
            </w:r>
          </w:p>
        </w:tc>
        <w:tc>
          <w:tcPr>
            <w:tcW w:w="5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3120" w:type="dxa"/>
            <w:vAlign w:val="bottom"/>
          </w:tcPr>
          <w:p>
            <w:pPr>
              <w:jc w:val="center"/>
              <w:spacing w:after="0"/>
              <w:rPr>
                <w:sz w:val="20"/>
                <w:szCs w:val="20"/>
                <w:color w:val="auto"/>
              </w:rPr>
            </w:pPr>
            <w:r>
              <w:rPr>
                <w:rFonts w:ascii="Calibri" w:cs="Calibri" w:eastAsia="Calibri" w:hAnsi="Calibri"/>
                <w:sz w:val="18"/>
                <w:szCs w:val="18"/>
                <w:color w:val="auto"/>
                <w:w w:val="99"/>
              </w:rPr>
              <w:t>/s/ S. G</w:t>
            </w:r>
            <w:r>
              <w:rPr>
                <w:rFonts w:ascii="Calibri" w:cs="Calibri" w:eastAsia="Calibri" w:hAnsi="Calibri"/>
                <w:sz w:val="14"/>
                <w:szCs w:val="14"/>
                <w:color w:val="auto"/>
                <w:w w:val="99"/>
              </w:rPr>
              <w:t>AIL</w:t>
            </w:r>
            <w:r>
              <w:rPr>
                <w:rFonts w:ascii="Calibri" w:cs="Calibri" w:eastAsia="Calibri" w:hAnsi="Calibri"/>
                <w:sz w:val="18"/>
                <w:szCs w:val="18"/>
                <w:color w:val="auto"/>
                <w:w w:val="99"/>
              </w:rPr>
              <w:t xml:space="preserve"> E</w:t>
            </w:r>
            <w:r>
              <w:rPr>
                <w:rFonts w:ascii="Calibri" w:cs="Calibri" w:eastAsia="Calibri" w:hAnsi="Calibri"/>
                <w:sz w:val="14"/>
                <w:szCs w:val="14"/>
                <w:color w:val="auto"/>
                <w:w w:val="99"/>
              </w:rPr>
              <w:t>CKHARDT</w:t>
            </w:r>
          </w:p>
        </w:tc>
        <w:tc>
          <w:tcPr>
            <w:tcW w:w="5120" w:type="dxa"/>
            <w:vAlign w:val="bottom"/>
          </w:tcPr>
          <w:p>
            <w:pPr>
              <w:ind w:left="420"/>
              <w:spacing w:after="0"/>
              <w:rPr>
                <w:sz w:val="20"/>
                <w:szCs w:val="20"/>
                <w:color w:val="auto"/>
              </w:rPr>
            </w:pPr>
            <w:r>
              <w:rPr>
                <w:rFonts w:ascii="Calibri" w:cs="Calibri" w:eastAsia="Calibri" w:hAnsi="Calibri"/>
                <w:sz w:val="18"/>
                <w:szCs w:val="18"/>
                <w:color w:val="auto"/>
              </w:rPr>
              <w:t>Director</w:t>
            </w:r>
          </w:p>
        </w:tc>
        <w:tc>
          <w:tcPr>
            <w:tcW w:w="2380" w:type="dxa"/>
            <w:vAlign w:val="bottom"/>
          </w:tcPr>
          <w:p>
            <w:pPr>
              <w:ind w:left="1080"/>
              <w:spacing w:after="0"/>
              <w:rPr>
                <w:sz w:val="20"/>
                <w:szCs w:val="20"/>
                <w:color w:val="auto"/>
              </w:rPr>
            </w:pPr>
            <w:r>
              <w:rPr>
                <w:rFonts w:ascii="Calibri" w:cs="Calibri" w:eastAsia="Calibri" w:hAnsi="Calibri"/>
                <w:sz w:val="18"/>
                <w:szCs w:val="18"/>
                <w:color w:val="auto"/>
                <w:w w:val="96"/>
              </w:rPr>
              <w:t>February 11, 2025</w:t>
            </w:r>
          </w:p>
        </w:tc>
        <w:tc>
          <w:tcPr>
            <w:tcW w:w="0" w:type="dxa"/>
            <w:vAlign w:val="bottom"/>
          </w:tcPr>
          <w:p>
            <w:pPr>
              <w:spacing w:after="0"/>
              <w:rPr>
                <w:sz w:val="1"/>
                <w:szCs w:val="1"/>
                <w:color w:val="auto"/>
              </w:rPr>
            </w:pPr>
          </w:p>
        </w:tc>
      </w:tr>
      <w:tr>
        <w:trPr>
          <w:trHeight w:val="23"/>
        </w:trPr>
        <w:tc>
          <w:tcPr>
            <w:tcW w:w="312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S. Gail Eckhardt, M.D.</w:t>
            </w:r>
          </w:p>
        </w:tc>
        <w:tc>
          <w:tcPr>
            <w:tcW w:w="5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3120" w:type="dxa"/>
            <w:vAlign w:val="bottom"/>
          </w:tcPr>
          <w:p>
            <w:pPr>
              <w:jc w:val="center"/>
              <w:spacing w:after="0"/>
              <w:rPr>
                <w:sz w:val="20"/>
                <w:szCs w:val="20"/>
                <w:color w:val="auto"/>
              </w:rPr>
            </w:pPr>
            <w:r>
              <w:rPr>
                <w:rFonts w:ascii="Calibri" w:cs="Calibri" w:eastAsia="Calibri" w:hAnsi="Calibri"/>
                <w:sz w:val="18"/>
                <w:szCs w:val="18"/>
                <w:color w:val="auto"/>
                <w:w w:val="99"/>
              </w:rPr>
              <w:t>/s/ M</w:t>
            </w:r>
            <w:r>
              <w:rPr>
                <w:rFonts w:ascii="Calibri" w:cs="Calibri" w:eastAsia="Calibri" w:hAnsi="Calibri"/>
                <w:sz w:val="14"/>
                <w:szCs w:val="14"/>
                <w:color w:val="auto"/>
                <w:w w:val="99"/>
              </w:rPr>
              <w:t>ARIA</w:t>
            </w:r>
            <w:r>
              <w:rPr>
                <w:rFonts w:ascii="Calibri" w:cs="Calibri" w:eastAsia="Calibri" w:hAnsi="Calibri"/>
                <w:sz w:val="18"/>
                <w:szCs w:val="18"/>
                <w:color w:val="auto"/>
                <w:w w:val="99"/>
              </w:rPr>
              <w:t xml:space="preserve"> C. F</w:t>
            </w:r>
            <w:r>
              <w:rPr>
                <w:rFonts w:ascii="Calibri" w:cs="Calibri" w:eastAsia="Calibri" w:hAnsi="Calibri"/>
                <w:sz w:val="14"/>
                <w:szCs w:val="14"/>
                <w:color w:val="auto"/>
                <w:w w:val="99"/>
              </w:rPr>
              <w:t>REIRE</w:t>
            </w:r>
          </w:p>
        </w:tc>
        <w:tc>
          <w:tcPr>
            <w:tcW w:w="5120" w:type="dxa"/>
            <w:vAlign w:val="bottom"/>
          </w:tcPr>
          <w:p>
            <w:pPr>
              <w:ind w:left="420"/>
              <w:spacing w:after="0"/>
              <w:rPr>
                <w:sz w:val="20"/>
                <w:szCs w:val="20"/>
                <w:color w:val="auto"/>
              </w:rPr>
            </w:pPr>
            <w:r>
              <w:rPr>
                <w:rFonts w:ascii="Calibri" w:cs="Calibri" w:eastAsia="Calibri" w:hAnsi="Calibri"/>
                <w:sz w:val="18"/>
                <w:szCs w:val="18"/>
                <w:color w:val="auto"/>
              </w:rPr>
              <w:t>Director</w:t>
            </w:r>
          </w:p>
        </w:tc>
        <w:tc>
          <w:tcPr>
            <w:tcW w:w="2380" w:type="dxa"/>
            <w:vAlign w:val="bottom"/>
          </w:tcPr>
          <w:p>
            <w:pPr>
              <w:ind w:left="1080"/>
              <w:spacing w:after="0"/>
              <w:rPr>
                <w:sz w:val="20"/>
                <w:szCs w:val="20"/>
                <w:color w:val="auto"/>
              </w:rPr>
            </w:pPr>
            <w:r>
              <w:rPr>
                <w:rFonts w:ascii="Calibri" w:cs="Calibri" w:eastAsia="Calibri" w:hAnsi="Calibri"/>
                <w:sz w:val="18"/>
                <w:szCs w:val="18"/>
                <w:color w:val="auto"/>
                <w:w w:val="96"/>
              </w:rPr>
              <w:t>February 11, 2025</w:t>
            </w:r>
          </w:p>
        </w:tc>
        <w:tc>
          <w:tcPr>
            <w:tcW w:w="0" w:type="dxa"/>
            <w:vAlign w:val="bottom"/>
          </w:tcPr>
          <w:p>
            <w:pPr>
              <w:spacing w:after="0"/>
              <w:rPr>
                <w:sz w:val="1"/>
                <w:szCs w:val="1"/>
                <w:color w:val="auto"/>
              </w:rPr>
            </w:pPr>
          </w:p>
        </w:tc>
      </w:tr>
      <w:tr>
        <w:trPr>
          <w:trHeight w:val="23"/>
        </w:trPr>
        <w:tc>
          <w:tcPr>
            <w:tcW w:w="312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Maria C. Freire, Ph.D.</w:t>
            </w:r>
          </w:p>
        </w:tc>
        <w:tc>
          <w:tcPr>
            <w:tcW w:w="5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20"/>
        <w:spacing w:after="0"/>
        <w:tabs>
          <w:tab w:leader="none" w:pos="5740" w:val="left"/>
          <w:tab w:leader="none" w:pos="9780" w:val="left"/>
        </w:tabs>
        <w:rPr>
          <w:sz w:val="20"/>
          <w:szCs w:val="20"/>
          <w:color w:val="auto"/>
        </w:rPr>
      </w:pPr>
      <w:r>
        <w:rPr>
          <w:rFonts w:ascii="Calibri" w:cs="Calibri" w:eastAsia="Calibri" w:hAnsi="Calibri"/>
          <w:sz w:val="16"/>
          <w:szCs w:val="16"/>
          <w:b w:val="1"/>
          <w:bCs w:val="1"/>
          <w:color w:val="auto"/>
        </w:rPr>
        <w:t>Signatures</w:t>
      </w:r>
      <w:r>
        <w:rPr>
          <w:sz w:val="20"/>
          <w:szCs w:val="20"/>
          <w:color w:val="auto"/>
        </w:rPr>
        <w:tab/>
      </w:r>
      <w:r>
        <w:rPr>
          <w:rFonts w:ascii="Calibri" w:cs="Calibri" w:eastAsia="Calibri" w:hAnsi="Calibri"/>
          <w:sz w:val="16"/>
          <w:szCs w:val="16"/>
          <w:b w:val="1"/>
          <w:bCs w:val="1"/>
          <w:color w:val="auto"/>
        </w:rPr>
        <w:t>Title</w:t>
      </w:r>
      <w:r>
        <w:rPr>
          <w:sz w:val="20"/>
          <w:szCs w:val="20"/>
          <w:color w:val="auto"/>
        </w:rPr>
        <w:tab/>
      </w:r>
      <w:r>
        <w:rPr>
          <w:rFonts w:ascii="Calibri" w:cs="Calibri" w:eastAsia="Calibri" w:hAnsi="Calibri"/>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20" w:type="dxa"/>
            <w:vAlign w:val="bottom"/>
          </w:tcPr>
          <w:p>
            <w:pPr>
              <w:jc w:val="center"/>
              <w:spacing w:after="0"/>
              <w:rPr>
                <w:sz w:val="20"/>
                <w:szCs w:val="20"/>
                <w:color w:val="auto"/>
              </w:rPr>
            </w:pPr>
            <w:r>
              <w:rPr>
                <w:rFonts w:ascii="Calibri" w:cs="Calibri" w:eastAsia="Calibri" w:hAnsi="Calibri"/>
                <w:sz w:val="18"/>
                <w:szCs w:val="18"/>
                <w:color w:val="auto"/>
              </w:rPr>
              <w:t>/s/ T</w:t>
            </w:r>
            <w:r>
              <w:rPr>
                <w:rFonts w:ascii="Calibri" w:cs="Calibri" w:eastAsia="Calibri" w:hAnsi="Calibri"/>
                <w:sz w:val="14"/>
                <w:szCs w:val="14"/>
                <w:color w:val="auto"/>
              </w:rPr>
              <w:t>OMAS</w:t>
            </w:r>
            <w:r>
              <w:rPr>
                <w:rFonts w:ascii="Calibri" w:cs="Calibri" w:eastAsia="Calibri" w:hAnsi="Calibri"/>
                <w:sz w:val="18"/>
                <w:szCs w:val="18"/>
                <w:color w:val="auto"/>
              </w:rPr>
              <w:t xml:space="preserve"> J. H</w:t>
            </w:r>
            <w:r>
              <w:rPr>
                <w:rFonts w:ascii="Calibri" w:cs="Calibri" w:eastAsia="Calibri" w:hAnsi="Calibri"/>
                <w:sz w:val="14"/>
                <w:szCs w:val="14"/>
                <w:color w:val="auto"/>
              </w:rPr>
              <w:t>EYMAN</w:t>
            </w:r>
          </w:p>
        </w:tc>
        <w:tc>
          <w:tcPr>
            <w:tcW w:w="3600" w:type="dxa"/>
            <w:vAlign w:val="bottom"/>
          </w:tcPr>
          <w:p>
            <w:pPr>
              <w:ind w:left="420"/>
              <w:spacing w:after="0"/>
              <w:rPr>
                <w:sz w:val="20"/>
                <w:szCs w:val="20"/>
                <w:color w:val="auto"/>
              </w:rPr>
            </w:pPr>
            <w:r>
              <w:rPr>
                <w:rFonts w:ascii="Calibri" w:cs="Calibri" w:eastAsia="Calibri" w:hAnsi="Calibri"/>
                <w:sz w:val="18"/>
                <w:szCs w:val="18"/>
                <w:color w:val="auto"/>
              </w:rPr>
              <w:t>Director</w:t>
            </w:r>
          </w:p>
        </w:tc>
        <w:tc>
          <w:tcPr>
            <w:tcW w:w="3900" w:type="dxa"/>
            <w:vAlign w:val="bottom"/>
          </w:tcPr>
          <w:p>
            <w:pPr>
              <w:ind w:left="2600"/>
              <w:spacing w:after="0"/>
              <w:rPr>
                <w:sz w:val="20"/>
                <w:szCs w:val="20"/>
                <w:color w:val="auto"/>
              </w:rPr>
            </w:pPr>
            <w:r>
              <w:rPr>
                <w:rFonts w:ascii="Calibri" w:cs="Calibri" w:eastAsia="Calibri" w:hAnsi="Calibri"/>
                <w:sz w:val="18"/>
                <w:szCs w:val="18"/>
                <w:color w:val="auto"/>
                <w:w w:val="96"/>
              </w:rPr>
              <w:t>February 11, 2025</w:t>
            </w:r>
          </w:p>
        </w:tc>
      </w:tr>
      <w:tr>
        <w:trPr>
          <w:trHeight w:val="23"/>
        </w:trPr>
        <w:tc>
          <w:tcPr>
            <w:tcW w:w="31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Tomas J. Heyman</w:t>
            </w:r>
          </w:p>
        </w:tc>
        <w:tc>
          <w:tcPr>
            <w:tcW w:w="3600" w:type="dxa"/>
            <w:vAlign w:val="bottom"/>
          </w:tcPr>
          <w:p>
            <w:pPr>
              <w:spacing w:after="0"/>
              <w:rPr>
                <w:sz w:val="16"/>
                <w:szCs w:val="16"/>
                <w:color w:val="auto"/>
              </w:rPr>
            </w:pPr>
          </w:p>
        </w:tc>
        <w:tc>
          <w:tcPr>
            <w:tcW w:w="3900" w:type="dxa"/>
            <w:vAlign w:val="bottom"/>
          </w:tcPr>
          <w:p>
            <w:pPr>
              <w:spacing w:after="0"/>
              <w:rPr>
                <w:sz w:val="16"/>
                <w:szCs w:val="16"/>
                <w:color w:val="auto"/>
              </w:rPr>
            </w:pPr>
          </w:p>
        </w:tc>
      </w:tr>
      <w:tr>
        <w:trPr>
          <w:trHeight w:val="525"/>
        </w:trPr>
        <w:tc>
          <w:tcPr>
            <w:tcW w:w="3120" w:type="dxa"/>
            <w:vAlign w:val="bottom"/>
          </w:tcPr>
          <w:p>
            <w:pPr>
              <w:jc w:val="center"/>
              <w:spacing w:after="0"/>
              <w:rPr>
                <w:sz w:val="20"/>
                <w:szCs w:val="20"/>
                <w:color w:val="auto"/>
              </w:rPr>
            </w:pPr>
            <w:r>
              <w:rPr>
                <w:rFonts w:ascii="Calibri" w:cs="Calibri" w:eastAsia="Calibri" w:hAnsi="Calibri"/>
                <w:sz w:val="18"/>
                <w:szCs w:val="18"/>
                <w:color w:val="auto"/>
                <w:w w:val="99"/>
              </w:rPr>
              <w:t>/s/ D</w:t>
            </w:r>
            <w:r>
              <w:rPr>
                <w:rFonts w:ascii="Calibri" w:cs="Calibri" w:eastAsia="Calibri" w:hAnsi="Calibri"/>
                <w:sz w:val="14"/>
                <w:szCs w:val="14"/>
                <w:color w:val="auto"/>
                <w:w w:val="99"/>
              </w:rPr>
              <w:t>AVID</w:t>
            </w:r>
            <w:r>
              <w:rPr>
                <w:rFonts w:ascii="Calibri" w:cs="Calibri" w:eastAsia="Calibri" w:hAnsi="Calibri"/>
                <w:sz w:val="18"/>
                <w:szCs w:val="18"/>
                <w:color w:val="auto"/>
                <w:w w:val="99"/>
              </w:rPr>
              <w:t xml:space="preserve"> E. J</w:t>
            </w:r>
            <w:r>
              <w:rPr>
                <w:rFonts w:ascii="Calibri" w:cs="Calibri" w:eastAsia="Calibri" w:hAnsi="Calibri"/>
                <w:sz w:val="14"/>
                <w:szCs w:val="14"/>
                <w:color w:val="auto"/>
                <w:w w:val="99"/>
              </w:rPr>
              <w:t>OHNSON</w:t>
            </w:r>
          </w:p>
        </w:tc>
        <w:tc>
          <w:tcPr>
            <w:tcW w:w="3600" w:type="dxa"/>
            <w:vAlign w:val="bottom"/>
          </w:tcPr>
          <w:p>
            <w:pPr>
              <w:ind w:left="420"/>
              <w:spacing w:after="0"/>
              <w:rPr>
                <w:sz w:val="20"/>
                <w:szCs w:val="20"/>
                <w:color w:val="auto"/>
              </w:rPr>
            </w:pPr>
            <w:r>
              <w:rPr>
                <w:rFonts w:ascii="Calibri" w:cs="Calibri" w:eastAsia="Calibri" w:hAnsi="Calibri"/>
                <w:sz w:val="18"/>
                <w:szCs w:val="18"/>
                <w:color w:val="auto"/>
              </w:rPr>
              <w:t>Director</w:t>
            </w:r>
          </w:p>
        </w:tc>
        <w:tc>
          <w:tcPr>
            <w:tcW w:w="3900" w:type="dxa"/>
            <w:vAlign w:val="bottom"/>
          </w:tcPr>
          <w:p>
            <w:pPr>
              <w:ind w:left="2600"/>
              <w:spacing w:after="0"/>
              <w:rPr>
                <w:sz w:val="20"/>
                <w:szCs w:val="20"/>
                <w:color w:val="auto"/>
              </w:rPr>
            </w:pPr>
            <w:r>
              <w:rPr>
                <w:rFonts w:ascii="Calibri" w:cs="Calibri" w:eastAsia="Calibri" w:hAnsi="Calibri"/>
                <w:sz w:val="18"/>
                <w:szCs w:val="18"/>
                <w:color w:val="auto"/>
                <w:w w:val="96"/>
              </w:rPr>
              <w:t>February 11, 2025</w:t>
            </w:r>
          </w:p>
        </w:tc>
      </w:tr>
      <w:tr>
        <w:trPr>
          <w:trHeight w:val="23"/>
        </w:trPr>
        <w:tc>
          <w:tcPr>
            <w:tcW w:w="31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David E. Johnson</w:t>
            </w:r>
          </w:p>
        </w:tc>
        <w:tc>
          <w:tcPr>
            <w:tcW w:w="3600" w:type="dxa"/>
            <w:vAlign w:val="bottom"/>
          </w:tcPr>
          <w:p>
            <w:pPr>
              <w:spacing w:after="0"/>
              <w:rPr>
                <w:sz w:val="16"/>
                <w:szCs w:val="16"/>
                <w:color w:val="auto"/>
              </w:rPr>
            </w:pPr>
          </w:p>
        </w:tc>
        <w:tc>
          <w:tcPr>
            <w:tcW w:w="3900" w:type="dxa"/>
            <w:vAlign w:val="bottom"/>
          </w:tcPr>
          <w:p>
            <w:pPr>
              <w:spacing w:after="0"/>
              <w:rPr>
                <w:sz w:val="16"/>
                <w:szCs w:val="16"/>
                <w:color w:val="auto"/>
              </w:rPr>
            </w:pPr>
          </w:p>
        </w:tc>
      </w:tr>
      <w:tr>
        <w:trPr>
          <w:trHeight w:val="526"/>
        </w:trPr>
        <w:tc>
          <w:tcPr>
            <w:tcW w:w="3120" w:type="dxa"/>
            <w:vAlign w:val="bottom"/>
          </w:tcPr>
          <w:p>
            <w:pPr>
              <w:jc w:val="center"/>
              <w:spacing w:after="0"/>
              <w:rPr>
                <w:sz w:val="20"/>
                <w:szCs w:val="20"/>
                <w:color w:val="auto"/>
              </w:rPr>
            </w:pPr>
            <w:r>
              <w:rPr>
                <w:rFonts w:ascii="Calibri" w:cs="Calibri" w:eastAsia="Calibri" w:hAnsi="Calibri"/>
                <w:sz w:val="18"/>
                <w:szCs w:val="18"/>
                <w:color w:val="auto"/>
              </w:rPr>
              <w:t>/s/ R</w:t>
            </w:r>
            <w:r>
              <w:rPr>
                <w:rFonts w:ascii="Calibri" w:cs="Calibri" w:eastAsia="Calibri" w:hAnsi="Calibri"/>
                <w:sz w:val="14"/>
                <w:szCs w:val="14"/>
                <w:color w:val="auto"/>
              </w:rPr>
              <w:t>OBERT</w:t>
            </w:r>
            <w:r>
              <w:rPr>
                <w:rFonts w:ascii="Calibri" w:cs="Calibri" w:eastAsia="Calibri" w:hAnsi="Calibri"/>
                <w:sz w:val="18"/>
                <w:szCs w:val="18"/>
                <w:color w:val="auto"/>
              </w:rPr>
              <w:t xml:space="preserve"> L. O</w:t>
            </w:r>
            <w:r>
              <w:rPr>
                <w:rFonts w:ascii="Calibri" w:cs="Calibri" w:eastAsia="Calibri" w:hAnsi="Calibri"/>
                <w:sz w:val="14"/>
                <w:szCs w:val="14"/>
                <w:color w:val="auto"/>
              </w:rPr>
              <w:t>LIVER</w:t>
            </w:r>
          </w:p>
        </w:tc>
        <w:tc>
          <w:tcPr>
            <w:tcW w:w="3600" w:type="dxa"/>
            <w:vAlign w:val="bottom"/>
          </w:tcPr>
          <w:p>
            <w:pPr>
              <w:ind w:left="420"/>
              <w:spacing w:after="0"/>
              <w:rPr>
                <w:sz w:val="20"/>
                <w:szCs w:val="20"/>
                <w:color w:val="auto"/>
              </w:rPr>
            </w:pPr>
            <w:r>
              <w:rPr>
                <w:rFonts w:ascii="Calibri" w:cs="Calibri" w:eastAsia="Calibri" w:hAnsi="Calibri"/>
                <w:sz w:val="18"/>
                <w:szCs w:val="18"/>
                <w:color w:val="auto"/>
              </w:rPr>
              <w:t>Director</w:t>
            </w:r>
          </w:p>
        </w:tc>
        <w:tc>
          <w:tcPr>
            <w:tcW w:w="3900" w:type="dxa"/>
            <w:vAlign w:val="bottom"/>
          </w:tcPr>
          <w:p>
            <w:pPr>
              <w:ind w:left="2600"/>
              <w:spacing w:after="0"/>
              <w:rPr>
                <w:sz w:val="20"/>
                <w:szCs w:val="20"/>
                <w:color w:val="auto"/>
              </w:rPr>
            </w:pPr>
            <w:r>
              <w:rPr>
                <w:rFonts w:ascii="Calibri" w:cs="Calibri" w:eastAsia="Calibri" w:hAnsi="Calibri"/>
                <w:sz w:val="18"/>
                <w:szCs w:val="18"/>
                <w:color w:val="auto"/>
                <w:w w:val="96"/>
              </w:rPr>
              <w:t>February 11, 2025</w:t>
            </w:r>
          </w:p>
        </w:tc>
      </w:tr>
      <w:tr>
        <w:trPr>
          <w:trHeight w:val="23"/>
        </w:trPr>
        <w:tc>
          <w:tcPr>
            <w:tcW w:w="31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9"/>
              </w:rPr>
              <w:t>Robert L. Oliver, Jr.</w:t>
            </w:r>
          </w:p>
        </w:tc>
        <w:tc>
          <w:tcPr>
            <w:tcW w:w="3600" w:type="dxa"/>
            <w:vAlign w:val="bottom"/>
          </w:tcPr>
          <w:p>
            <w:pPr>
              <w:spacing w:after="0"/>
              <w:rPr>
                <w:sz w:val="16"/>
                <w:szCs w:val="16"/>
                <w:color w:val="auto"/>
              </w:rPr>
            </w:pPr>
          </w:p>
        </w:tc>
        <w:tc>
          <w:tcPr>
            <w:tcW w:w="3900" w:type="dxa"/>
            <w:vAlign w:val="bottom"/>
          </w:tcPr>
          <w:p>
            <w:pPr>
              <w:spacing w:after="0"/>
              <w:rPr>
                <w:sz w:val="16"/>
                <w:szCs w:val="16"/>
                <w:color w:val="auto"/>
              </w:rPr>
            </w:pPr>
          </w:p>
        </w:tc>
      </w:tr>
      <w:tr>
        <w:trPr>
          <w:trHeight w:val="526"/>
        </w:trPr>
        <w:tc>
          <w:tcPr>
            <w:tcW w:w="3120" w:type="dxa"/>
            <w:vAlign w:val="bottom"/>
          </w:tcPr>
          <w:p>
            <w:pPr>
              <w:jc w:val="center"/>
              <w:spacing w:after="0"/>
              <w:rPr>
                <w:sz w:val="20"/>
                <w:szCs w:val="20"/>
                <w:color w:val="auto"/>
              </w:rPr>
            </w:pPr>
            <w:r>
              <w:rPr>
                <w:rFonts w:ascii="Calibri" w:cs="Calibri" w:eastAsia="Calibri" w:hAnsi="Calibri"/>
                <w:sz w:val="18"/>
                <w:szCs w:val="18"/>
                <w:color w:val="auto"/>
                <w:w w:val="99"/>
              </w:rPr>
              <w:t>/s/ G</w:t>
            </w:r>
            <w:r>
              <w:rPr>
                <w:rFonts w:ascii="Calibri" w:cs="Calibri" w:eastAsia="Calibri" w:hAnsi="Calibri"/>
                <w:sz w:val="14"/>
                <w:szCs w:val="14"/>
                <w:color w:val="auto"/>
                <w:w w:val="99"/>
              </w:rPr>
              <w:t>EORGE</w:t>
            </w:r>
            <w:r>
              <w:rPr>
                <w:rFonts w:ascii="Calibri" w:cs="Calibri" w:eastAsia="Calibri" w:hAnsi="Calibri"/>
                <w:sz w:val="18"/>
                <w:szCs w:val="18"/>
                <w:color w:val="auto"/>
                <w:w w:val="99"/>
              </w:rPr>
              <w:t xml:space="preserve"> P</w:t>
            </w:r>
            <w:r>
              <w:rPr>
                <w:rFonts w:ascii="Calibri" w:cs="Calibri" w:eastAsia="Calibri" w:hAnsi="Calibri"/>
                <w:sz w:val="14"/>
                <w:szCs w:val="14"/>
                <w:color w:val="auto"/>
                <w:w w:val="99"/>
              </w:rPr>
              <w:t>OSTE</w:t>
            </w:r>
          </w:p>
        </w:tc>
        <w:tc>
          <w:tcPr>
            <w:tcW w:w="3600" w:type="dxa"/>
            <w:vAlign w:val="bottom"/>
          </w:tcPr>
          <w:p>
            <w:pPr>
              <w:ind w:left="420"/>
              <w:spacing w:after="0"/>
              <w:rPr>
                <w:sz w:val="20"/>
                <w:szCs w:val="20"/>
                <w:color w:val="auto"/>
              </w:rPr>
            </w:pPr>
            <w:r>
              <w:rPr>
                <w:rFonts w:ascii="Calibri" w:cs="Calibri" w:eastAsia="Calibri" w:hAnsi="Calibri"/>
                <w:sz w:val="18"/>
                <w:szCs w:val="18"/>
                <w:color w:val="auto"/>
              </w:rPr>
              <w:t>Director</w:t>
            </w:r>
          </w:p>
        </w:tc>
        <w:tc>
          <w:tcPr>
            <w:tcW w:w="3900" w:type="dxa"/>
            <w:vAlign w:val="bottom"/>
          </w:tcPr>
          <w:p>
            <w:pPr>
              <w:ind w:left="2600"/>
              <w:spacing w:after="0"/>
              <w:rPr>
                <w:sz w:val="20"/>
                <w:szCs w:val="20"/>
                <w:color w:val="auto"/>
              </w:rPr>
            </w:pPr>
            <w:r>
              <w:rPr>
                <w:rFonts w:ascii="Calibri" w:cs="Calibri" w:eastAsia="Calibri" w:hAnsi="Calibri"/>
                <w:sz w:val="18"/>
                <w:szCs w:val="18"/>
                <w:color w:val="auto"/>
                <w:w w:val="96"/>
              </w:rPr>
              <w:t>February 11, 2025</w:t>
            </w:r>
          </w:p>
        </w:tc>
      </w:tr>
      <w:tr>
        <w:trPr>
          <w:trHeight w:val="23"/>
        </w:trPr>
        <w:tc>
          <w:tcPr>
            <w:tcW w:w="31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George Poste, DVM, Ph.D., FRS</w:t>
            </w:r>
          </w:p>
        </w:tc>
        <w:tc>
          <w:tcPr>
            <w:tcW w:w="3600" w:type="dxa"/>
            <w:vAlign w:val="bottom"/>
          </w:tcPr>
          <w:p>
            <w:pPr>
              <w:spacing w:after="0"/>
              <w:rPr>
                <w:sz w:val="16"/>
                <w:szCs w:val="16"/>
                <w:color w:val="auto"/>
              </w:rPr>
            </w:pPr>
          </w:p>
        </w:tc>
        <w:tc>
          <w:tcPr>
            <w:tcW w:w="3900" w:type="dxa"/>
            <w:vAlign w:val="bottom"/>
          </w:tcPr>
          <w:p>
            <w:pPr>
              <w:spacing w:after="0"/>
              <w:rPr>
                <w:sz w:val="16"/>
                <w:szCs w:val="16"/>
                <w:color w:val="auto"/>
              </w:rPr>
            </w:pPr>
          </w:p>
        </w:tc>
      </w:tr>
      <w:tr>
        <w:trPr>
          <w:trHeight w:val="526"/>
        </w:trPr>
        <w:tc>
          <w:tcPr>
            <w:tcW w:w="3120" w:type="dxa"/>
            <w:vAlign w:val="bottom"/>
          </w:tcPr>
          <w:p>
            <w:pPr>
              <w:jc w:val="center"/>
              <w:spacing w:after="0"/>
              <w:rPr>
                <w:sz w:val="20"/>
                <w:szCs w:val="20"/>
                <w:color w:val="auto"/>
              </w:rPr>
            </w:pPr>
            <w:r>
              <w:rPr>
                <w:rFonts w:ascii="Calibri" w:cs="Calibri" w:eastAsia="Calibri" w:hAnsi="Calibri"/>
                <w:sz w:val="18"/>
                <w:szCs w:val="18"/>
                <w:color w:val="auto"/>
                <w:w w:val="99"/>
              </w:rPr>
              <w:t>/s/ J</w:t>
            </w:r>
            <w:r>
              <w:rPr>
                <w:rFonts w:ascii="Calibri" w:cs="Calibri" w:eastAsia="Calibri" w:hAnsi="Calibri"/>
                <w:sz w:val="14"/>
                <w:szCs w:val="14"/>
                <w:color w:val="auto"/>
                <w:w w:val="99"/>
              </w:rPr>
              <w:t>ULIE</w:t>
            </w:r>
            <w:r>
              <w:rPr>
                <w:rFonts w:ascii="Calibri" w:cs="Calibri" w:eastAsia="Calibri" w:hAnsi="Calibri"/>
                <w:sz w:val="18"/>
                <w:szCs w:val="18"/>
                <w:color w:val="auto"/>
                <w:w w:val="99"/>
              </w:rPr>
              <w:t xml:space="preserve"> A. S</w:t>
            </w:r>
            <w:r>
              <w:rPr>
                <w:rFonts w:ascii="Calibri" w:cs="Calibri" w:eastAsia="Calibri" w:hAnsi="Calibri"/>
                <w:sz w:val="14"/>
                <w:szCs w:val="14"/>
                <w:color w:val="auto"/>
                <w:w w:val="99"/>
              </w:rPr>
              <w:t>MITH</w:t>
            </w:r>
          </w:p>
        </w:tc>
        <w:tc>
          <w:tcPr>
            <w:tcW w:w="3600" w:type="dxa"/>
            <w:vAlign w:val="bottom"/>
          </w:tcPr>
          <w:p>
            <w:pPr>
              <w:ind w:left="420"/>
              <w:spacing w:after="0"/>
              <w:rPr>
                <w:sz w:val="20"/>
                <w:szCs w:val="20"/>
                <w:color w:val="auto"/>
              </w:rPr>
            </w:pPr>
            <w:r>
              <w:rPr>
                <w:rFonts w:ascii="Calibri" w:cs="Calibri" w:eastAsia="Calibri" w:hAnsi="Calibri"/>
                <w:sz w:val="18"/>
                <w:szCs w:val="18"/>
                <w:color w:val="auto"/>
              </w:rPr>
              <w:t>Director</w:t>
            </w:r>
          </w:p>
        </w:tc>
        <w:tc>
          <w:tcPr>
            <w:tcW w:w="3900" w:type="dxa"/>
            <w:vAlign w:val="bottom"/>
          </w:tcPr>
          <w:p>
            <w:pPr>
              <w:ind w:left="2600"/>
              <w:spacing w:after="0"/>
              <w:rPr>
                <w:sz w:val="20"/>
                <w:szCs w:val="20"/>
                <w:color w:val="auto"/>
              </w:rPr>
            </w:pPr>
            <w:r>
              <w:rPr>
                <w:rFonts w:ascii="Calibri" w:cs="Calibri" w:eastAsia="Calibri" w:hAnsi="Calibri"/>
                <w:sz w:val="18"/>
                <w:szCs w:val="18"/>
                <w:color w:val="auto"/>
                <w:w w:val="96"/>
              </w:rPr>
              <w:t>February 11, 2025</w:t>
            </w:r>
          </w:p>
        </w:tc>
      </w:tr>
      <w:tr>
        <w:trPr>
          <w:trHeight w:val="23"/>
        </w:trPr>
        <w:tc>
          <w:tcPr>
            <w:tcW w:w="31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Julie A. Smith</w:t>
            </w:r>
          </w:p>
        </w:tc>
        <w:tc>
          <w:tcPr>
            <w:tcW w:w="3600" w:type="dxa"/>
            <w:vAlign w:val="bottom"/>
          </w:tcPr>
          <w:p>
            <w:pPr>
              <w:spacing w:after="0"/>
              <w:rPr>
                <w:sz w:val="16"/>
                <w:szCs w:val="16"/>
                <w:color w:val="auto"/>
              </w:rPr>
            </w:pPr>
          </w:p>
        </w:tc>
        <w:tc>
          <w:tcPr>
            <w:tcW w:w="3900" w:type="dxa"/>
            <w:vAlign w:val="bottom"/>
          </w:tcPr>
          <w:p>
            <w:pPr>
              <w:spacing w:after="0"/>
              <w:rPr>
                <w:sz w:val="16"/>
                <w:szCs w:val="16"/>
                <w:color w:val="auto"/>
              </w:rPr>
            </w:pPr>
          </w:p>
        </w:tc>
      </w:tr>
      <w:tr>
        <w:trPr>
          <w:trHeight w:val="526"/>
        </w:trPr>
        <w:tc>
          <w:tcPr>
            <w:tcW w:w="3120" w:type="dxa"/>
            <w:vAlign w:val="bottom"/>
          </w:tcPr>
          <w:p>
            <w:pPr>
              <w:jc w:val="center"/>
              <w:spacing w:after="0"/>
              <w:rPr>
                <w:sz w:val="20"/>
                <w:szCs w:val="20"/>
                <w:color w:val="auto"/>
              </w:rPr>
            </w:pPr>
            <w:r>
              <w:rPr>
                <w:rFonts w:ascii="Calibri" w:cs="Calibri" w:eastAsia="Calibri" w:hAnsi="Calibri"/>
                <w:sz w:val="18"/>
                <w:szCs w:val="18"/>
                <w:color w:val="auto"/>
                <w:w w:val="99"/>
              </w:rPr>
              <w:t>/s/ J</w:t>
            </w:r>
            <w:r>
              <w:rPr>
                <w:rFonts w:ascii="Calibri" w:cs="Calibri" w:eastAsia="Calibri" w:hAnsi="Calibri"/>
                <w:sz w:val="14"/>
                <w:szCs w:val="14"/>
                <w:color w:val="auto"/>
                <w:w w:val="99"/>
              </w:rPr>
              <w:t>ACK</w:t>
            </w:r>
            <w:r>
              <w:rPr>
                <w:rFonts w:ascii="Calibri" w:cs="Calibri" w:eastAsia="Calibri" w:hAnsi="Calibri"/>
                <w:sz w:val="18"/>
                <w:szCs w:val="18"/>
                <w:color w:val="auto"/>
                <w:w w:val="99"/>
              </w:rPr>
              <w:t xml:space="preserve"> L. W</w:t>
            </w:r>
            <w:r>
              <w:rPr>
                <w:rFonts w:ascii="Calibri" w:cs="Calibri" w:eastAsia="Calibri" w:hAnsi="Calibri"/>
                <w:sz w:val="14"/>
                <w:szCs w:val="14"/>
                <w:color w:val="auto"/>
                <w:w w:val="99"/>
              </w:rPr>
              <w:t>YSZOMIERSKI</w:t>
            </w:r>
          </w:p>
        </w:tc>
        <w:tc>
          <w:tcPr>
            <w:tcW w:w="3600" w:type="dxa"/>
            <w:vAlign w:val="bottom"/>
          </w:tcPr>
          <w:p>
            <w:pPr>
              <w:ind w:left="420"/>
              <w:spacing w:after="0"/>
              <w:rPr>
                <w:sz w:val="20"/>
                <w:szCs w:val="20"/>
                <w:color w:val="auto"/>
              </w:rPr>
            </w:pPr>
            <w:r>
              <w:rPr>
                <w:rFonts w:ascii="Calibri" w:cs="Calibri" w:eastAsia="Calibri" w:hAnsi="Calibri"/>
                <w:sz w:val="18"/>
                <w:szCs w:val="18"/>
                <w:color w:val="auto"/>
              </w:rPr>
              <w:t>Director</w:t>
            </w:r>
          </w:p>
        </w:tc>
        <w:tc>
          <w:tcPr>
            <w:tcW w:w="3900" w:type="dxa"/>
            <w:vAlign w:val="bottom"/>
          </w:tcPr>
          <w:p>
            <w:pPr>
              <w:ind w:left="2600"/>
              <w:spacing w:after="0"/>
              <w:rPr>
                <w:sz w:val="20"/>
                <w:szCs w:val="20"/>
                <w:color w:val="auto"/>
              </w:rPr>
            </w:pPr>
            <w:r>
              <w:rPr>
                <w:rFonts w:ascii="Calibri" w:cs="Calibri" w:eastAsia="Calibri" w:hAnsi="Calibri"/>
                <w:sz w:val="18"/>
                <w:szCs w:val="18"/>
                <w:color w:val="auto"/>
                <w:w w:val="96"/>
              </w:rPr>
              <w:t>February 11, 2025</w:t>
            </w:r>
          </w:p>
        </w:tc>
      </w:tr>
      <w:tr>
        <w:trPr>
          <w:trHeight w:val="23"/>
        </w:trPr>
        <w:tc>
          <w:tcPr>
            <w:tcW w:w="31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187"/>
        </w:trPr>
        <w:tc>
          <w:tcPr>
            <w:tcW w:w="312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Jack L. Wyszomierski</w:t>
            </w:r>
          </w:p>
        </w:tc>
        <w:tc>
          <w:tcPr>
            <w:tcW w:w="3600" w:type="dxa"/>
            <w:vAlign w:val="bottom"/>
          </w:tcPr>
          <w:p>
            <w:pPr>
              <w:spacing w:after="0"/>
              <w:rPr>
                <w:sz w:val="16"/>
                <w:szCs w:val="16"/>
                <w:color w:val="auto"/>
              </w:rPr>
            </w:pPr>
          </w:p>
        </w:tc>
        <w:tc>
          <w:tcPr>
            <w:tcW w:w="39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00"/>
        <w:spacing w:after="0"/>
        <w:rPr>
          <w:sz w:val="20"/>
          <w:szCs w:val="20"/>
          <w:color w:val="auto"/>
        </w:rPr>
      </w:pPr>
      <w:r>
        <w:rPr>
          <w:rFonts w:ascii="Calibri" w:cs="Calibri" w:eastAsia="Calibri" w:hAnsi="Calibri"/>
          <w:sz w:val="18"/>
          <w:szCs w:val="18"/>
          <w:color w:val="auto"/>
        </w:rPr>
        <w:t>130</w:t>
      </w:r>
    </w:p>
    <w:p>
      <w:pPr>
        <w:sectPr>
          <w:pgSz w:w="11900" w:h="16838" w:orient="portrait"/>
          <w:cols w:equalWidth="0" w:num="1">
            <w:col w:w="10620"/>
          </w:cols>
          <w:pgMar w:left="320" w:top="273" w:right="959" w:bottom="1440" w:gutter="0" w:footer="0" w:header="0"/>
        </w:sectPr>
      </w:pPr>
    </w:p>
    <w:bookmarkStart w:id="132" w:name="page133"/>
    <w:bookmarkEnd w:id="132"/>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6395085" cy="6249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6395085" cy="624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alibri" w:cs="Calibri" w:eastAsia="Calibri" w:hAnsi="Calibri"/>
          <w:sz w:val="101"/>
          <w:szCs w:val="101"/>
          <w:color w:val="FFFFFF"/>
        </w:rPr>
        <w:t xml:space="preserve">Insider </w:t>
      </w:r>
      <w:r>
        <w:rPr>
          <w:rFonts w:ascii="Calibri" w:cs="Calibri" w:eastAsia="Calibri" w:hAnsi="Calibri"/>
          <w:sz w:val="89"/>
          <w:szCs w:val="89"/>
          <w:color w:val="FFFFFF"/>
        </w:rPr>
        <w:t>Trading</w:t>
      </w:r>
    </w:p>
    <w:p>
      <w:pPr>
        <w:spacing w:after="0" w:line="203" w:lineRule="auto"/>
        <w:rPr>
          <w:sz w:val="20"/>
          <w:szCs w:val="20"/>
          <w:color w:val="auto"/>
        </w:rPr>
      </w:pPr>
      <w:r>
        <w:rPr>
          <w:rFonts w:ascii="Calibri" w:cs="Calibri" w:eastAsia="Calibri" w:hAnsi="Calibri"/>
          <w:sz w:val="90"/>
          <w:szCs w:val="90"/>
          <w:color w:val="FFFFFF"/>
        </w:rPr>
        <w:t>Policy</w:t>
      </w:r>
    </w:p>
    <w:p>
      <w:pPr>
        <w:sectPr>
          <w:pgSz w:w="11900" w:h="16838" w:orient="portrait"/>
          <w:cols w:equalWidth="0" w:num="1">
            <w:col w:w="11120"/>
          </w:cols>
          <w:pgMar w:left="440" w:top="355" w:right="339" w:bottom="1440" w:gutter="0" w:footer="0" w:header="0"/>
        </w:sectPr>
      </w:pPr>
    </w:p>
    <w:bookmarkStart w:id="133" w:name="page134"/>
    <w:bookmarkEnd w:id="133"/>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
        <w:spacing w:after="0"/>
        <w:rPr>
          <w:sz w:val="20"/>
          <w:szCs w:val="20"/>
          <w:color w:val="auto"/>
        </w:rPr>
      </w:pPr>
      <w:r>
        <w:rPr>
          <w:rFonts w:ascii="Calibri" w:cs="Calibri" w:eastAsia="Calibri" w:hAnsi="Calibri"/>
          <w:sz w:val="40"/>
          <w:szCs w:val="40"/>
          <w:color w:val="02365F"/>
        </w:rPr>
        <w:t>INSIDER TRADING POLICY</w:t>
      </w:r>
    </w:p>
    <w:p>
      <w:pPr>
        <w:spacing w:after="0" w:line="200" w:lineRule="exact"/>
        <w:rPr>
          <w:sz w:val="20"/>
          <w:szCs w:val="20"/>
          <w:color w:val="auto"/>
        </w:rPr>
      </w:pPr>
    </w:p>
    <w:p>
      <w:pPr>
        <w:spacing w:after="0" w:line="323" w:lineRule="exact"/>
        <w:rPr>
          <w:sz w:val="20"/>
          <w:szCs w:val="20"/>
          <w:color w:val="auto"/>
        </w:rPr>
      </w:pPr>
    </w:p>
    <w:p>
      <w:pPr>
        <w:ind w:left="600" w:hanging="525"/>
        <w:spacing w:after="0"/>
        <w:tabs>
          <w:tab w:leader="none" w:pos="600" w:val="left"/>
        </w:tabs>
        <w:numPr>
          <w:ilvl w:val="0"/>
          <w:numId w:val="47"/>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PURPOSE</w:t>
      </w:r>
    </w:p>
    <w:p>
      <w:pPr>
        <w:spacing w:after="0" w:line="253" w:lineRule="exact"/>
        <w:rPr>
          <w:sz w:val="20"/>
          <w:szCs w:val="20"/>
          <w:color w:val="auto"/>
        </w:rPr>
      </w:pPr>
    </w:p>
    <w:p>
      <w:pPr>
        <w:ind w:left="560" w:right="360"/>
        <w:spacing w:after="0" w:line="261" w:lineRule="auto"/>
        <w:rPr>
          <w:sz w:val="20"/>
          <w:szCs w:val="20"/>
          <w:color w:val="auto"/>
        </w:rPr>
      </w:pPr>
      <w:r>
        <w:rPr>
          <w:rFonts w:ascii="Calibri" w:cs="Calibri" w:eastAsia="Calibri" w:hAnsi="Calibri"/>
          <w:sz w:val="18"/>
          <w:szCs w:val="18"/>
          <w:color w:val="52575B"/>
        </w:rPr>
        <w:t>Exelixis, Inc. (“Exelixis” or the “Company”) and its directors, employees and consultants are entrusted with important, confdental and proprietary informaton. Many of these persons are also investors in Exelixis and other companies with which Exelixis does business. Given the complexity of laws and regulatons concerning when persons who are aware of certain non-public informaton about a company may or may not trade in the securites of that company, the goal of this Insider Trading Policy is to provide guidance so that these insiders, and Exelixis, may remain in compliance with those laws. Such compliance should also help fulfll the Company’s compliance obligatons and assist Company personnel with avoiding the severe consequences associated with violatons of the insider trading laws. Fulflling our ethical and legal obligatons also requires being thoughtul about our actons and exercising good judgment. If Company personnel is unsure about whether they may engage in a securites transacton while in possession of certain non-public informaton, they should review this Insider Trading Policy and consult with a member of the Company’s Securites Compliance Commitee (“SCC”) or the Legal Department.</w:t>
      </w:r>
    </w:p>
    <w:p>
      <w:pPr>
        <w:spacing w:after="0" w:line="248" w:lineRule="exact"/>
        <w:rPr>
          <w:sz w:val="20"/>
          <w:szCs w:val="20"/>
          <w:color w:val="auto"/>
        </w:rPr>
      </w:pPr>
    </w:p>
    <w:p>
      <w:pPr>
        <w:ind w:left="560"/>
        <w:spacing w:after="0"/>
        <w:rPr>
          <w:sz w:val="20"/>
          <w:szCs w:val="20"/>
          <w:color w:val="auto"/>
        </w:rPr>
      </w:pPr>
      <w:r>
        <w:rPr>
          <w:rFonts w:ascii="Calibri" w:cs="Calibri" w:eastAsia="Calibri" w:hAnsi="Calibri"/>
          <w:sz w:val="18"/>
          <w:szCs w:val="18"/>
          <w:color w:val="52575B"/>
        </w:rPr>
        <w:t>It is also Company policy to comply with applicable securites laws concerning trading in Company securites on the Company’s behalf.</w:t>
      </w:r>
    </w:p>
    <w:p>
      <w:pPr>
        <w:spacing w:after="0" w:line="160"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Federal Securites Laws</w:t>
      </w:r>
    </w:p>
    <w:p>
      <w:pPr>
        <w:spacing w:after="0" w:line="72" w:lineRule="exact"/>
        <w:rPr>
          <w:sz w:val="20"/>
          <w:szCs w:val="20"/>
          <w:color w:val="auto"/>
        </w:rPr>
      </w:pPr>
    </w:p>
    <w:p>
      <w:pPr>
        <w:ind w:left="560" w:right="20"/>
        <w:spacing w:after="0" w:line="300" w:lineRule="auto"/>
        <w:rPr>
          <w:sz w:val="20"/>
          <w:szCs w:val="20"/>
          <w:color w:val="auto"/>
        </w:rPr>
      </w:pPr>
      <w:r>
        <w:rPr>
          <w:rFonts w:ascii="Calibri" w:cs="Calibri" w:eastAsia="Calibri" w:hAnsi="Calibri"/>
          <w:sz w:val="17"/>
          <w:szCs w:val="17"/>
          <w:color w:val="52575B"/>
        </w:rPr>
        <w:t>The Federal securites laws prohibit persons who are aware of material non-public informaton obtained through their employment or other involvement with a company from purchasing, selling or otherwise trading in that company’s securites, as well as the disclosure of such material non-public informaton to others who then trade in the company’s securites. These prohibited transactons are commonly known as “insider trading.”</w:t>
      </w:r>
    </w:p>
    <w:p>
      <w:pPr>
        <w:spacing w:after="0" w:line="140" w:lineRule="exact"/>
        <w:rPr>
          <w:sz w:val="20"/>
          <w:szCs w:val="20"/>
          <w:color w:val="auto"/>
        </w:rPr>
      </w:pPr>
    </w:p>
    <w:p>
      <w:pPr>
        <w:ind w:left="560" w:right="620"/>
        <w:spacing w:after="0" w:line="260" w:lineRule="auto"/>
        <w:rPr>
          <w:sz w:val="20"/>
          <w:szCs w:val="20"/>
          <w:color w:val="auto"/>
        </w:rPr>
      </w:pPr>
      <w:r>
        <w:rPr>
          <w:rFonts w:ascii="Calibri" w:cs="Calibri" w:eastAsia="Calibri" w:hAnsi="Calibri"/>
          <w:sz w:val="18"/>
          <w:szCs w:val="18"/>
          <w:color w:val="52575B"/>
        </w:rPr>
        <w:t>Persons subject to this Insider Trading Policy could be subject to severe legal penaltes and disciplinary acton for insider trading violatons, as discussed under Secton 8 (“Consequences of an Insider Trading Violaton”) below.</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20"/>
                <w:szCs w:val="20"/>
                <w:color w:val="auto"/>
              </w:rPr>
            </w:pPr>
            <w:r>
              <w:rPr>
                <w:rFonts w:ascii="Calibri" w:cs="Calibri" w:eastAsia="Calibri" w:hAnsi="Calibri"/>
                <w:sz w:val="13"/>
                <w:szCs w:val="13"/>
                <w:color w:val="A8ABAD"/>
              </w:rPr>
              <w:t>PRIVILEGED AND CONFIDENTIAL — FOR INTERNAL USE ONLY — NOT FOR DISTRIBUTION</w:t>
            </w:r>
          </w:p>
        </w:tc>
        <w:tc>
          <w:tcPr>
            <w:tcW w:w="740" w:type="dxa"/>
            <w:vAlign w:val="bottom"/>
          </w:tcPr>
          <w:p>
            <w:pPr>
              <w:jc w:val="right"/>
              <w:spacing w:after="0"/>
              <w:rPr>
                <w:sz w:val="20"/>
                <w:szCs w:val="20"/>
                <w:color w:val="auto"/>
              </w:rPr>
            </w:pPr>
            <w:r>
              <w:rPr>
                <w:rFonts w:ascii="Calibri" w:cs="Calibri" w:eastAsia="Calibri" w:hAnsi="Calibri"/>
                <w:sz w:val="13"/>
                <w:szCs w:val="13"/>
                <w:color w:val="A8ABAD"/>
              </w:rPr>
              <w:t>2</w:t>
            </w:r>
          </w:p>
        </w:tc>
      </w:tr>
    </w:tbl>
    <w:p>
      <w:pPr>
        <w:sectPr>
          <w:pgSz w:w="11900" w:h="16838" w:orient="portrait"/>
          <w:cols w:equalWidth="0" w:num="1">
            <w:col w:w="11200"/>
          </w:cols>
          <w:pgMar w:left="360" w:top="99" w:right="339" w:bottom="1440" w:gutter="0" w:footer="0" w:header="0"/>
        </w:sectPr>
      </w:pPr>
    </w:p>
    <w:bookmarkStart w:id="134" w:name="page135"/>
    <w:bookmarkEnd w:id="134"/>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0" w:hanging="485"/>
        <w:spacing w:after="0"/>
        <w:tabs>
          <w:tab w:leader="none" w:pos="560" w:val="left"/>
        </w:tabs>
        <w:numPr>
          <w:ilvl w:val="0"/>
          <w:numId w:val="48"/>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Persons Subject to Insider Trading Policy</w:t>
      </w:r>
    </w:p>
    <w:p>
      <w:pPr>
        <w:spacing w:after="0" w:line="253" w:lineRule="exact"/>
        <w:rPr>
          <w:sz w:val="20"/>
          <w:szCs w:val="20"/>
          <w:color w:val="auto"/>
        </w:rPr>
      </w:pPr>
    </w:p>
    <w:p>
      <w:pPr>
        <w:ind w:left="560" w:right="600"/>
        <w:spacing w:after="0" w:line="260" w:lineRule="auto"/>
        <w:rPr>
          <w:sz w:val="20"/>
          <w:szCs w:val="20"/>
          <w:color w:val="auto"/>
        </w:rPr>
      </w:pPr>
      <w:r>
        <w:rPr>
          <w:rFonts w:ascii="Calibri" w:cs="Calibri" w:eastAsia="Calibri" w:hAnsi="Calibri"/>
          <w:sz w:val="18"/>
          <w:szCs w:val="18"/>
          <w:color w:val="52575B"/>
        </w:rPr>
        <w:t>This Insider Trading Policy applies to all directors, ofcers, employees, including temporary employees, and consultants (if any consultants are notfed in writng that this policy applies to them). This Insider Trading Policy also applies to:</w:t>
      </w:r>
    </w:p>
    <w:p>
      <w:pPr>
        <w:spacing w:after="0" w:line="181" w:lineRule="exact"/>
        <w:rPr>
          <w:sz w:val="20"/>
          <w:szCs w:val="20"/>
          <w:color w:val="auto"/>
        </w:rPr>
      </w:pPr>
    </w:p>
    <w:p>
      <w:pPr>
        <w:ind w:left="960" w:hanging="236"/>
        <w:spacing w:after="0"/>
        <w:tabs>
          <w:tab w:leader="none" w:pos="960" w:val="left"/>
        </w:tabs>
        <w:numPr>
          <w:ilvl w:val="0"/>
          <w:numId w:val="49"/>
        </w:numPr>
        <w:rPr>
          <w:rFonts w:ascii="Arial" w:cs="Arial" w:eastAsia="Arial" w:hAnsi="Arial"/>
          <w:sz w:val="18"/>
          <w:szCs w:val="18"/>
          <w:color w:val="52575B"/>
        </w:rPr>
      </w:pPr>
      <w:r>
        <w:rPr>
          <w:rFonts w:ascii="Calibri" w:cs="Calibri" w:eastAsia="Calibri" w:hAnsi="Calibri"/>
          <w:sz w:val="18"/>
          <w:szCs w:val="18"/>
          <w:color w:val="52575B"/>
        </w:rPr>
        <w:t>Your family members or other persons who reside with you; and</w:t>
      </w:r>
    </w:p>
    <w:p>
      <w:pPr>
        <w:spacing w:after="0" w:line="284" w:lineRule="exact"/>
        <w:rPr>
          <w:rFonts w:ascii="Arial" w:cs="Arial" w:eastAsia="Arial" w:hAnsi="Arial"/>
          <w:sz w:val="18"/>
          <w:szCs w:val="18"/>
          <w:color w:val="52575B"/>
        </w:rPr>
      </w:pPr>
    </w:p>
    <w:p>
      <w:pPr>
        <w:ind w:left="960" w:right="980" w:hanging="236"/>
        <w:spacing w:after="0" w:line="260" w:lineRule="auto"/>
        <w:tabs>
          <w:tab w:leader="none" w:pos="955" w:val="left"/>
        </w:tabs>
        <w:numPr>
          <w:ilvl w:val="0"/>
          <w:numId w:val="49"/>
        </w:numPr>
        <w:rPr>
          <w:rFonts w:ascii="Arial" w:cs="Arial" w:eastAsia="Arial" w:hAnsi="Arial"/>
          <w:sz w:val="18"/>
          <w:szCs w:val="18"/>
          <w:color w:val="52575B"/>
        </w:rPr>
      </w:pPr>
      <w:r>
        <w:rPr>
          <w:rFonts w:ascii="Calibri" w:cs="Calibri" w:eastAsia="Calibri" w:hAnsi="Calibri"/>
          <w:sz w:val="18"/>
          <w:szCs w:val="18"/>
          <w:color w:val="52575B"/>
        </w:rPr>
        <w:t>Any other person whose transactons in Company securites are directed by you or are subject to your infuence or control (such as parents or children who consult with you before they trade in Company securites).</w:t>
      </w:r>
    </w:p>
    <w:p>
      <w:pPr>
        <w:spacing w:after="0" w:line="172" w:lineRule="exact"/>
        <w:rPr>
          <w:sz w:val="20"/>
          <w:szCs w:val="20"/>
          <w:color w:val="auto"/>
        </w:rPr>
      </w:pPr>
    </w:p>
    <w:p>
      <w:pPr>
        <w:ind w:left="560" w:right="200"/>
        <w:spacing w:after="0" w:line="289" w:lineRule="auto"/>
        <w:rPr>
          <w:sz w:val="20"/>
          <w:szCs w:val="20"/>
          <w:color w:val="auto"/>
        </w:rPr>
      </w:pPr>
      <w:r>
        <w:rPr>
          <w:rFonts w:ascii="Calibri" w:cs="Calibri" w:eastAsia="Calibri" w:hAnsi="Calibri"/>
          <w:sz w:val="18"/>
          <w:szCs w:val="18"/>
          <w:color w:val="52575B"/>
        </w:rPr>
        <w:t>Finally, this Insider Trading Policy also applies to any enttes that you infuence or control, including any corporatons, partnerships or trusts (such as family or living trusts).</w:t>
      </w:r>
    </w:p>
    <w:p>
      <w:pPr>
        <w:spacing w:after="0" w:line="213" w:lineRule="exact"/>
        <w:rPr>
          <w:sz w:val="20"/>
          <w:szCs w:val="20"/>
          <w:color w:val="auto"/>
        </w:rPr>
      </w:pPr>
    </w:p>
    <w:p>
      <w:pPr>
        <w:ind w:left="560" w:right="420"/>
        <w:spacing w:after="0" w:line="305" w:lineRule="auto"/>
        <w:rPr>
          <w:sz w:val="20"/>
          <w:szCs w:val="20"/>
          <w:color w:val="auto"/>
        </w:rPr>
      </w:pPr>
      <w:r>
        <w:rPr>
          <w:rFonts w:ascii="Calibri" w:cs="Calibri" w:eastAsia="Calibri" w:hAnsi="Calibri"/>
          <w:sz w:val="17"/>
          <w:szCs w:val="17"/>
          <w:color w:val="52575B"/>
        </w:rPr>
        <w:t>You are responsible for the transactons of the above-referenced persons and therefore you should make them aware of the need to confer with you before they trade in Company securites. As used in this Insider Trading Policy, “you” means anyone subject to this Insider Trading Policy.</w:t>
      </w:r>
    </w:p>
    <w:p>
      <w:pPr>
        <w:spacing w:after="0" w:line="148" w:lineRule="exact"/>
        <w:rPr>
          <w:sz w:val="20"/>
          <w:szCs w:val="20"/>
          <w:color w:val="auto"/>
        </w:rPr>
      </w:pPr>
    </w:p>
    <w:p>
      <w:pPr>
        <w:ind w:left="560" w:right="120"/>
        <w:spacing w:after="0" w:line="283" w:lineRule="auto"/>
        <w:rPr>
          <w:sz w:val="20"/>
          <w:szCs w:val="20"/>
          <w:color w:val="auto"/>
        </w:rPr>
      </w:pPr>
      <w:r>
        <w:rPr>
          <w:rFonts w:ascii="Calibri" w:cs="Calibri" w:eastAsia="Calibri" w:hAnsi="Calibri"/>
          <w:sz w:val="18"/>
          <w:szCs w:val="18"/>
          <w:color w:val="52575B"/>
        </w:rPr>
        <w:t>You are expected to comply with this Insider Trading Policy untl such tme as you are no longer afliated with the Company and you no longer possess any material non-public informaton about the Company. In additon, if you are subject to a trading blackout under this Insider Trading Policy at the tme you cease to be afliated with the Company, you are expected to abide by the applicable trading restrictons untl at least the end of the relevant blackout period.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20"/>
                <w:szCs w:val="20"/>
                <w:color w:val="auto"/>
              </w:rPr>
            </w:pPr>
            <w:r>
              <w:rPr>
                <w:rFonts w:ascii="Calibri" w:cs="Calibri" w:eastAsia="Calibri" w:hAnsi="Calibri"/>
                <w:sz w:val="13"/>
                <w:szCs w:val="13"/>
                <w:color w:val="A8ABAD"/>
              </w:rPr>
              <w:t>PRIVILEGED AND CONFIDENTIAL — FOR INTERNAL USE ONLY — NOT FOR DISTRIBUTION</w:t>
            </w:r>
          </w:p>
        </w:tc>
        <w:tc>
          <w:tcPr>
            <w:tcW w:w="740" w:type="dxa"/>
            <w:vAlign w:val="bottom"/>
          </w:tcPr>
          <w:p>
            <w:pPr>
              <w:jc w:val="right"/>
              <w:spacing w:after="0"/>
              <w:rPr>
                <w:sz w:val="20"/>
                <w:szCs w:val="20"/>
                <w:color w:val="auto"/>
              </w:rPr>
            </w:pPr>
            <w:r>
              <w:rPr>
                <w:rFonts w:ascii="Calibri" w:cs="Calibri" w:eastAsia="Calibri" w:hAnsi="Calibri"/>
                <w:sz w:val="13"/>
                <w:szCs w:val="13"/>
                <w:color w:val="A8ABAD"/>
              </w:rPr>
              <w:t>3</w:t>
            </w:r>
          </w:p>
        </w:tc>
      </w:tr>
    </w:tbl>
    <w:p>
      <w:pPr>
        <w:sectPr>
          <w:pgSz w:w="11900" w:h="16838" w:orient="portrait"/>
          <w:cols w:equalWidth="0" w:num="1">
            <w:col w:w="11200"/>
          </w:cols>
          <w:pgMar w:left="360" w:top="99" w:right="339" w:bottom="1440" w:gutter="0" w:footer="0" w:header="0"/>
        </w:sectPr>
      </w:pPr>
    </w:p>
    <w:bookmarkStart w:id="135" w:name="page136"/>
    <w:bookmarkEnd w:id="135"/>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0" w:hanging="485"/>
        <w:spacing w:after="0"/>
        <w:tabs>
          <w:tab w:leader="none" w:pos="560" w:val="left"/>
        </w:tabs>
        <w:numPr>
          <w:ilvl w:val="0"/>
          <w:numId w:val="50"/>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Transactons Restricted by This Policy</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365F"/>
        </w:rPr>
        <w:t xml:space="preserve">A. </w:t>
      </w:r>
      <w:r>
        <w:rPr>
          <w:rFonts w:ascii="Calibri" w:cs="Calibri" w:eastAsia="Calibri" w:hAnsi="Calibri"/>
          <w:sz w:val="22"/>
          <w:szCs w:val="22"/>
          <w:b w:val="1"/>
          <w:bCs w:val="1"/>
          <w:color w:val="02365F"/>
        </w:rPr>
        <w:t>No Trading, Improper Disclosures, or Actng on Material Non-Public Informaton</w:t>
      </w:r>
    </w:p>
    <w:p>
      <w:pPr>
        <w:spacing w:after="0" w:line="48" w:lineRule="exact"/>
        <w:rPr>
          <w:sz w:val="20"/>
          <w:szCs w:val="20"/>
          <w:color w:val="auto"/>
        </w:rPr>
      </w:pPr>
    </w:p>
    <w:p>
      <w:pPr>
        <w:ind w:left="560" w:right="700"/>
        <w:spacing w:after="0" w:line="274" w:lineRule="auto"/>
        <w:rPr>
          <w:sz w:val="20"/>
          <w:szCs w:val="20"/>
          <w:color w:val="auto"/>
        </w:rPr>
      </w:pPr>
      <w:r>
        <w:rPr>
          <w:rFonts w:ascii="Calibri" w:cs="Calibri" w:eastAsia="Calibri" w:hAnsi="Calibri"/>
          <w:sz w:val="18"/>
          <w:szCs w:val="18"/>
          <w:color w:val="52575B"/>
        </w:rPr>
        <w:t>If you are aware of “material non-public informaton” relatng to the Company or its securites, you may not, either directly or through family members or other persons or enttes:</w:t>
      </w:r>
    </w:p>
    <w:p>
      <w:pPr>
        <w:spacing w:after="0" w:line="187" w:lineRule="exact"/>
        <w:rPr>
          <w:sz w:val="20"/>
          <w:szCs w:val="20"/>
          <w:color w:val="auto"/>
        </w:rPr>
      </w:pPr>
    </w:p>
    <w:p>
      <w:pPr>
        <w:ind w:left="960" w:right="380" w:hanging="236"/>
        <w:spacing w:after="0" w:line="284" w:lineRule="auto"/>
        <w:tabs>
          <w:tab w:leader="none" w:pos="955" w:val="left"/>
        </w:tabs>
        <w:numPr>
          <w:ilvl w:val="1"/>
          <w:numId w:val="51"/>
        </w:numPr>
        <w:rPr>
          <w:rFonts w:ascii="Arial" w:cs="Arial" w:eastAsia="Arial" w:hAnsi="Arial"/>
          <w:sz w:val="18"/>
          <w:szCs w:val="18"/>
          <w:color w:val="52575B"/>
        </w:rPr>
      </w:pPr>
      <w:r>
        <w:rPr>
          <w:rFonts w:ascii="Calibri" w:cs="Calibri" w:eastAsia="Calibri" w:hAnsi="Calibri"/>
          <w:sz w:val="18"/>
          <w:szCs w:val="18"/>
          <w:color w:val="52575B"/>
        </w:rPr>
        <w:t>Engage in transactons in Company securites, except as otherwise specifed in this Insider Trading Policy under Secton 3.C. (“Rules Concerning Transactons under Company Plans”), “Other Transactons” in Secton 3.D. (“Rules Concerning Certain Other Transactons”), and Secton 5 (“Rule 10b5-1 Trading Plans (Designated Insiders Only)”) of this Insider Trading Policy; or</w:t>
      </w:r>
    </w:p>
    <w:p>
      <w:pPr>
        <w:spacing w:after="0" w:line="146" w:lineRule="exact"/>
        <w:rPr>
          <w:rFonts w:ascii="Arial" w:cs="Arial" w:eastAsia="Arial" w:hAnsi="Arial"/>
          <w:sz w:val="18"/>
          <w:szCs w:val="18"/>
          <w:color w:val="52575B"/>
        </w:rPr>
      </w:pPr>
    </w:p>
    <w:p>
      <w:pPr>
        <w:ind w:left="960" w:hanging="236"/>
        <w:spacing w:after="0"/>
        <w:tabs>
          <w:tab w:leader="none" w:pos="960" w:val="left"/>
        </w:tabs>
        <w:numPr>
          <w:ilvl w:val="1"/>
          <w:numId w:val="51"/>
        </w:numPr>
        <w:rPr>
          <w:rFonts w:ascii="Arial" w:cs="Arial" w:eastAsia="Arial" w:hAnsi="Arial"/>
          <w:sz w:val="18"/>
          <w:szCs w:val="18"/>
          <w:color w:val="52575B"/>
        </w:rPr>
      </w:pPr>
      <w:r>
        <w:rPr>
          <w:rFonts w:ascii="Calibri" w:cs="Calibri" w:eastAsia="Calibri" w:hAnsi="Calibri"/>
          <w:sz w:val="18"/>
          <w:szCs w:val="18"/>
          <w:color w:val="52575B"/>
        </w:rPr>
        <w:t>Recommend the purchase or sale of any of the Company’s securites; or</w:t>
      </w:r>
    </w:p>
    <w:p>
      <w:pPr>
        <w:spacing w:after="0" w:line="284" w:lineRule="exact"/>
        <w:rPr>
          <w:rFonts w:ascii="Arial" w:cs="Arial" w:eastAsia="Arial" w:hAnsi="Arial"/>
          <w:sz w:val="18"/>
          <w:szCs w:val="18"/>
          <w:color w:val="52575B"/>
        </w:rPr>
      </w:pPr>
    </w:p>
    <w:p>
      <w:pPr>
        <w:ind w:left="960" w:right="480" w:hanging="236"/>
        <w:spacing w:after="0" w:line="274" w:lineRule="auto"/>
        <w:tabs>
          <w:tab w:leader="none" w:pos="955" w:val="left"/>
        </w:tabs>
        <w:numPr>
          <w:ilvl w:val="1"/>
          <w:numId w:val="51"/>
        </w:numPr>
        <w:rPr>
          <w:rFonts w:ascii="Arial" w:cs="Arial" w:eastAsia="Arial" w:hAnsi="Arial"/>
          <w:sz w:val="18"/>
          <w:szCs w:val="18"/>
          <w:color w:val="52575B"/>
        </w:rPr>
      </w:pPr>
      <w:r>
        <w:rPr>
          <w:rFonts w:ascii="Calibri" w:cs="Calibri" w:eastAsia="Calibri" w:hAnsi="Calibri"/>
          <w:sz w:val="18"/>
          <w:szCs w:val="18"/>
          <w:color w:val="52575B"/>
        </w:rPr>
        <w:t>Pass that informaton on to others within the Company whose jobs do not require them to have that informaton or to anyone outside the Company, including family and friends; or</w:t>
      </w:r>
    </w:p>
    <w:p>
      <w:pPr>
        <w:spacing w:after="0" w:line="168" w:lineRule="exact"/>
        <w:rPr>
          <w:rFonts w:ascii="Arial" w:cs="Arial" w:eastAsia="Arial" w:hAnsi="Arial"/>
          <w:sz w:val="18"/>
          <w:szCs w:val="18"/>
          <w:color w:val="52575B"/>
        </w:rPr>
      </w:pPr>
    </w:p>
    <w:p>
      <w:pPr>
        <w:ind w:left="960" w:hanging="236"/>
        <w:spacing w:after="0"/>
        <w:tabs>
          <w:tab w:leader="none" w:pos="960" w:val="left"/>
        </w:tabs>
        <w:numPr>
          <w:ilvl w:val="1"/>
          <w:numId w:val="51"/>
        </w:numPr>
        <w:rPr>
          <w:rFonts w:ascii="Arial" w:cs="Arial" w:eastAsia="Arial" w:hAnsi="Arial"/>
          <w:sz w:val="18"/>
          <w:szCs w:val="18"/>
          <w:color w:val="52575B"/>
        </w:rPr>
      </w:pPr>
      <w:r>
        <w:rPr>
          <w:rFonts w:ascii="Calibri" w:cs="Calibri" w:eastAsia="Calibri" w:hAnsi="Calibri"/>
          <w:sz w:val="18"/>
          <w:szCs w:val="18"/>
          <w:color w:val="52575B"/>
        </w:rPr>
        <w:t>Assist anyone engaged in the above activities.</w:t>
      </w:r>
    </w:p>
    <w:p>
      <w:pPr>
        <w:spacing w:after="0" w:line="375" w:lineRule="exact"/>
        <w:rPr>
          <w:rFonts w:ascii="Arial" w:cs="Arial" w:eastAsia="Arial" w:hAnsi="Arial"/>
          <w:sz w:val="18"/>
          <w:szCs w:val="18"/>
          <w:color w:val="52575B"/>
        </w:rPr>
      </w:pPr>
    </w:p>
    <w:p>
      <w:pPr>
        <w:ind w:left="820" w:hanging="256"/>
        <w:spacing w:after="0"/>
        <w:tabs>
          <w:tab w:leader="none" w:pos="820" w:val="left"/>
        </w:tabs>
        <w:numPr>
          <w:ilvl w:val="0"/>
          <w:numId w:val="51"/>
        </w:numPr>
        <w:rPr>
          <w:rFonts w:ascii="Calibri" w:cs="Calibri" w:eastAsia="Calibri" w:hAnsi="Calibri"/>
          <w:sz w:val="22"/>
          <w:szCs w:val="22"/>
          <w:b w:val="1"/>
          <w:bCs w:val="1"/>
          <w:color w:val="02365F"/>
        </w:rPr>
      </w:pPr>
      <w:r>
        <w:rPr>
          <w:rFonts w:ascii="Calibri" w:cs="Calibri" w:eastAsia="Calibri" w:hAnsi="Calibri"/>
          <w:sz w:val="22"/>
          <w:szCs w:val="22"/>
          <w:b w:val="1"/>
          <w:bCs w:val="1"/>
          <w:color w:val="02365F"/>
        </w:rPr>
        <w:t>What Consttutes Non-Public Informaton?</w:t>
      </w:r>
    </w:p>
    <w:p>
      <w:pPr>
        <w:spacing w:after="0" w:line="45" w:lineRule="exact"/>
        <w:rPr>
          <w:sz w:val="20"/>
          <w:szCs w:val="20"/>
          <w:color w:val="auto"/>
        </w:rPr>
      </w:pPr>
    </w:p>
    <w:p>
      <w:pPr>
        <w:ind w:left="720" w:right="280"/>
        <w:spacing w:after="0" w:line="282" w:lineRule="auto"/>
        <w:rPr>
          <w:sz w:val="20"/>
          <w:szCs w:val="20"/>
          <w:color w:val="auto"/>
        </w:rPr>
      </w:pPr>
      <w:r>
        <w:rPr>
          <w:rFonts w:ascii="Calibri" w:cs="Calibri" w:eastAsia="Calibri" w:hAnsi="Calibri"/>
          <w:sz w:val="18"/>
          <w:szCs w:val="18"/>
          <w:color w:val="52575B"/>
        </w:rPr>
        <w:t>Informaton is considered “non-public” untl the informaton has been disclosed broadly to the marketplace (such as by a Company press release or a Securites and Exchange Commission (the “SEC”) fling) and the investng public has had tme to absorb the informaton fully. To avoid the appearance of impropriety, informaton will generally not be considered fully absorbed by the marketplace untl one (1) full trading day has elapsed since the informaton has been publicly disclosed broadly to the marketplace. The following charts provide examples illustratng when informaton is considered absorbed and thus trading may begin; however, please note that depending on the circumstances, the SCC may determine that a shorter or longer period should apply.</w:t>
      </w:r>
    </w:p>
    <w:p>
      <w:pPr>
        <w:spacing w:after="0" w:line="134" w:lineRule="exact"/>
        <w:rPr>
          <w:sz w:val="20"/>
          <w:szCs w:val="20"/>
          <w:color w:val="auto"/>
        </w:rPr>
      </w:pPr>
    </w:p>
    <w:p>
      <w:pPr>
        <w:ind w:left="720"/>
        <w:spacing w:after="0"/>
        <w:rPr>
          <w:sz w:val="20"/>
          <w:szCs w:val="20"/>
          <w:color w:val="auto"/>
        </w:rPr>
      </w:pPr>
      <w:r>
        <w:rPr>
          <w:rFonts w:ascii="Calibri" w:cs="Calibri" w:eastAsia="Calibri" w:hAnsi="Calibri"/>
          <w:sz w:val="18"/>
          <w:szCs w:val="18"/>
          <w:b w:val="1"/>
          <w:bCs w:val="1"/>
          <w:color w:val="52575B"/>
        </w:rPr>
        <w:t>Examples: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760" w:type="dxa"/>
            <w:vAlign w:val="bottom"/>
            <w:tcBorders>
              <w:right w:val="single" w:sz="8" w:color="52575B"/>
            </w:tcBorders>
          </w:tcPr>
          <w:p>
            <w:pPr>
              <w:spacing w:after="0"/>
              <w:rPr>
                <w:sz w:val="24"/>
                <w:szCs w:val="24"/>
                <w:color w:val="auto"/>
              </w:rPr>
            </w:pPr>
          </w:p>
        </w:tc>
        <w:tc>
          <w:tcPr>
            <w:tcW w:w="4800" w:type="dxa"/>
            <w:vAlign w:val="bottom"/>
            <w:tcBorders>
              <w:right w:val="single" w:sz="8" w:color="231F20"/>
            </w:tcBorders>
            <w:shd w:val="clear" w:color="auto" w:fill="00365F"/>
          </w:tcPr>
          <w:p>
            <w:pPr>
              <w:jc w:val="center"/>
              <w:spacing w:after="0"/>
              <w:rPr>
                <w:sz w:val="20"/>
                <w:szCs w:val="20"/>
                <w:color w:val="auto"/>
              </w:rPr>
            </w:pPr>
            <w:r>
              <w:rPr>
                <w:rFonts w:ascii="Calibri" w:cs="Calibri" w:eastAsia="Calibri" w:hAnsi="Calibri"/>
                <w:sz w:val="18"/>
                <w:szCs w:val="18"/>
                <w:color w:val="FFFFFF"/>
                <w:w w:val="98"/>
              </w:rPr>
              <w:t>If the informaton is announced pre-market</w:t>
            </w:r>
          </w:p>
        </w:tc>
        <w:tc>
          <w:tcPr>
            <w:tcW w:w="4140" w:type="dxa"/>
            <w:vAlign w:val="bottom"/>
            <w:tcBorders>
              <w:right w:val="single" w:sz="8" w:color="52575B"/>
            </w:tcBorders>
            <w:shd w:val="clear" w:color="auto" w:fill="00365F"/>
          </w:tcPr>
          <w:p>
            <w:pPr>
              <w:jc w:val="center"/>
              <w:spacing w:after="0"/>
              <w:rPr>
                <w:sz w:val="20"/>
                <w:szCs w:val="20"/>
                <w:color w:val="auto"/>
              </w:rPr>
            </w:pPr>
            <w:r>
              <w:rPr>
                <w:rFonts w:ascii="Calibri" w:cs="Calibri" w:eastAsia="Calibri" w:hAnsi="Calibri"/>
                <w:sz w:val="18"/>
                <w:szCs w:val="18"/>
                <w:color w:val="F1F3F4"/>
                <w:w w:val="95"/>
              </w:rPr>
              <w:t>You may begin trading</w:t>
            </w:r>
          </w:p>
        </w:tc>
      </w:tr>
      <w:tr>
        <w:trPr>
          <w:trHeight w:val="64"/>
        </w:trPr>
        <w:tc>
          <w:tcPr>
            <w:tcW w:w="760" w:type="dxa"/>
            <w:vAlign w:val="bottom"/>
            <w:tcBorders>
              <w:right w:val="single" w:sz="8" w:color="52575B"/>
            </w:tcBorders>
          </w:tcPr>
          <w:p>
            <w:pPr>
              <w:spacing w:after="0"/>
              <w:rPr>
                <w:sz w:val="5"/>
                <w:szCs w:val="5"/>
                <w:color w:val="auto"/>
              </w:rPr>
            </w:pPr>
          </w:p>
        </w:tc>
        <w:tc>
          <w:tcPr>
            <w:tcW w:w="4800" w:type="dxa"/>
            <w:vAlign w:val="bottom"/>
            <w:tcBorders>
              <w:bottom w:val="single" w:sz="8" w:color="231F20"/>
              <w:right w:val="single" w:sz="8" w:color="231F20"/>
            </w:tcBorders>
            <w:shd w:val="clear" w:color="auto" w:fill="00365F"/>
          </w:tcPr>
          <w:p>
            <w:pPr>
              <w:spacing w:after="0"/>
              <w:rPr>
                <w:sz w:val="5"/>
                <w:szCs w:val="5"/>
                <w:color w:val="auto"/>
              </w:rPr>
            </w:pPr>
          </w:p>
        </w:tc>
        <w:tc>
          <w:tcPr>
            <w:tcW w:w="4140" w:type="dxa"/>
            <w:vAlign w:val="bottom"/>
            <w:tcBorders>
              <w:bottom w:val="single" w:sz="8" w:color="231F20"/>
              <w:right w:val="single" w:sz="8" w:color="52575B"/>
            </w:tcBorders>
            <w:shd w:val="clear" w:color="auto" w:fill="00365F"/>
          </w:tcPr>
          <w:p>
            <w:pPr>
              <w:spacing w:after="0"/>
              <w:rPr>
                <w:sz w:val="5"/>
                <w:szCs w:val="5"/>
                <w:color w:val="auto"/>
              </w:rPr>
            </w:pPr>
          </w:p>
        </w:tc>
      </w:tr>
      <w:tr>
        <w:trPr>
          <w:trHeight w:val="254"/>
        </w:trPr>
        <w:tc>
          <w:tcPr>
            <w:tcW w:w="760" w:type="dxa"/>
            <w:vAlign w:val="bottom"/>
            <w:tcBorders>
              <w:right w:val="single" w:sz="8" w:color="52575B"/>
            </w:tcBorders>
          </w:tcPr>
          <w:p>
            <w:pPr>
              <w:spacing w:after="0"/>
              <w:rPr>
                <w:sz w:val="22"/>
                <w:szCs w:val="22"/>
                <w:color w:val="auto"/>
              </w:rPr>
            </w:pPr>
          </w:p>
        </w:tc>
        <w:tc>
          <w:tcPr>
            <w:tcW w:w="4800" w:type="dxa"/>
            <w:vAlign w:val="bottom"/>
            <w:tcBorders>
              <w:right w:val="single" w:sz="8" w:color="231F20"/>
            </w:tcBorders>
          </w:tcPr>
          <w:p>
            <w:pPr>
              <w:jc w:val="center"/>
              <w:spacing w:after="0"/>
              <w:rPr>
                <w:sz w:val="20"/>
                <w:szCs w:val="20"/>
                <w:color w:val="auto"/>
              </w:rPr>
            </w:pPr>
            <w:r>
              <w:rPr>
                <w:rFonts w:ascii="Calibri" w:cs="Calibri" w:eastAsia="Calibri" w:hAnsi="Calibri"/>
                <w:sz w:val="18"/>
                <w:szCs w:val="18"/>
                <w:color w:val="52575B"/>
                <w:w w:val="95"/>
              </w:rPr>
              <w:t>Monday</w:t>
            </w:r>
          </w:p>
        </w:tc>
        <w:tc>
          <w:tcPr>
            <w:tcW w:w="4140" w:type="dxa"/>
            <w:vAlign w:val="bottom"/>
            <w:tcBorders>
              <w:right w:val="single" w:sz="8" w:color="52575B"/>
            </w:tcBorders>
          </w:tcPr>
          <w:p>
            <w:pPr>
              <w:jc w:val="center"/>
              <w:spacing w:after="0"/>
              <w:rPr>
                <w:sz w:val="20"/>
                <w:szCs w:val="20"/>
                <w:color w:val="auto"/>
              </w:rPr>
            </w:pPr>
            <w:r>
              <w:rPr>
                <w:rFonts w:ascii="Calibri" w:cs="Calibri" w:eastAsia="Calibri" w:hAnsi="Calibri"/>
                <w:sz w:val="18"/>
                <w:szCs w:val="18"/>
                <w:color w:val="52575B"/>
                <w:w w:val="92"/>
              </w:rPr>
              <w:t>Tuesday</w:t>
            </w:r>
          </w:p>
        </w:tc>
      </w:tr>
      <w:tr>
        <w:trPr>
          <w:trHeight w:val="50"/>
        </w:trPr>
        <w:tc>
          <w:tcPr>
            <w:tcW w:w="760" w:type="dxa"/>
            <w:vAlign w:val="bottom"/>
            <w:tcBorders>
              <w:right w:val="single" w:sz="8" w:color="52575B"/>
            </w:tcBorders>
          </w:tcPr>
          <w:p>
            <w:pPr>
              <w:spacing w:after="0"/>
              <w:rPr>
                <w:sz w:val="4"/>
                <w:szCs w:val="4"/>
                <w:color w:val="auto"/>
              </w:rPr>
            </w:pPr>
          </w:p>
        </w:tc>
        <w:tc>
          <w:tcPr>
            <w:tcW w:w="4800" w:type="dxa"/>
            <w:vAlign w:val="bottom"/>
            <w:tcBorders>
              <w:bottom w:val="single" w:sz="8" w:color="52575B"/>
              <w:right w:val="single" w:sz="8" w:color="231F20"/>
            </w:tcBorders>
          </w:tcPr>
          <w:p>
            <w:pPr>
              <w:spacing w:after="0"/>
              <w:rPr>
                <w:sz w:val="4"/>
                <w:szCs w:val="4"/>
                <w:color w:val="auto"/>
              </w:rPr>
            </w:pPr>
          </w:p>
        </w:tc>
        <w:tc>
          <w:tcPr>
            <w:tcW w:w="4140" w:type="dxa"/>
            <w:vAlign w:val="bottom"/>
            <w:tcBorders>
              <w:bottom w:val="single" w:sz="8" w:color="52575B"/>
              <w:right w:val="single" w:sz="8" w:color="52575B"/>
            </w:tcBorders>
          </w:tcPr>
          <w:p>
            <w:pPr>
              <w:spacing w:after="0"/>
              <w:rPr>
                <w:sz w:val="4"/>
                <w:szCs w:val="4"/>
                <w:color w:val="auto"/>
              </w:rPr>
            </w:pPr>
          </w:p>
        </w:tc>
      </w:tr>
      <w:tr>
        <w:trPr>
          <w:trHeight w:val="309"/>
        </w:trPr>
        <w:tc>
          <w:tcPr>
            <w:tcW w:w="760" w:type="dxa"/>
            <w:vAlign w:val="bottom"/>
            <w:tcBorders>
              <w:right w:val="single" w:sz="8" w:color="52575B"/>
            </w:tcBorders>
          </w:tcPr>
          <w:p>
            <w:pPr>
              <w:spacing w:after="0"/>
              <w:rPr>
                <w:sz w:val="24"/>
                <w:szCs w:val="24"/>
                <w:color w:val="auto"/>
              </w:rPr>
            </w:pPr>
          </w:p>
        </w:tc>
        <w:tc>
          <w:tcPr>
            <w:tcW w:w="4800" w:type="dxa"/>
            <w:vAlign w:val="bottom"/>
            <w:tcBorders>
              <w:bottom w:val="single" w:sz="8" w:color="E5EAEF"/>
              <w:right w:val="single" w:sz="8" w:color="231F20"/>
            </w:tcBorders>
            <w:shd w:val="clear" w:color="auto" w:fill="E5EAEF"/>
          </w:tcPr>
          <w:p>
            <w:pPr>
              <w:jc w:val="center"/>
              <w:spacing w:after="0"/>
              <w:rPr>
                <w:sz w:val="20"/>
                <w:szCs w:val="20"/>
                <w:color w:val="auto"/>
              </w:rPr>
            </w:pPr>
            <w:r>
              <w:rPr>
                <w:rFonts w:ascii="Calibri" w:cs="Calibri" w:eastAsia="Calibri" w:hAnsi="Calibri"/>
                <w:sz w:val="18"/>
                <w:szCs w:val="18"/>
                <w:color w:val="333333"/>
                <w:w w:val="93"/>
              </w:rPr>
              <w:t>Friday</w:t>
            </w:r>
          </w:p>
        </w:tc>
        <w:tc>
          <w:tcPr>
            <w:tcW w:w="4140" w:type="dxa"/>
            <w:vAlign w:val="bottom"/>
            <w:tcBorders>
              <w:bottom w:val="single" w:sz="8" w:color="E5EAEF"/>
              <w:right w:val="single" w:sz="8" w:color="52575B"/>
            </w:tcBorders>
            <w:shd w:val="clear" w:color="auto" w:fill="E5EAEF"/>
          </w:tcPr>
          <w:p>
            <w:pPr>
              <w:jc w:val="center"/>
              <w:spacing w:after="0"/>
              <w:rPr>
                <w:sz w:val="20"/>
                <w:szCs w:val="20"/>
                <w:color w:val="auto"/>
              </w:rPr>
            </w:pPr>
            <w:r>
              <w:rPr>
                <w:rFonts w:ascii="Calibri" w:cs="Calibri" w:eastAsia="Calibri" w:hAnsi="Calibri"/>
                <w:sz w:val="18"/>
                <w:szCs w:val="18"/>
                <w:color w:val="333333"/>
                <w:w w:val="99"/>
              </w:rPr>
              <w:t>Monday</w:t>
            </w:r>
          </w:p>
        </w:tc>
      </w:tr>
      <w:tr>
        <w:trPr>
          <w:trHeight w:val="254"/>
        </w:trPr>
        <w:tc>
          <w:tcPr>
            <w:tcW w:w="760" w:type="dxa"/>
            <w:vAlign w:val="bottom"/>
            <w:tcBorders>
              <w:right w:val="single" w:sz="8" w:color="52575B"/>
            </w:tcBorders>
          </w:tcPr>
          <w:p>
            <w:pPr>
              <w:spacing w:after="0"/>
              <w:rPr>
                <w:sz w:val="22"/>
                <w:szCs w:val="22"/>
                <w:color w:val="auto"/>
              </w:rPr>
            </w:pPr>
          </w:p>
        </w:tc>
        <w:tc>
          <w:tcPr>
            <w:tcW w:w="4800" w:type="dxa"/>
            <w:vAlign w:val="bottom"/>
            <w:tcBorders>
              <w:top w:val="single" w:sz="8" w:color="52575B"/>
              <w:right w:val="single" w:sz="8" w:color="231F20"/>
            </w:tcBorders>
          </w:tcPr>
          <w:p>
            <w:pPr>
              <w:jc w:val="center"/>
              <w:spacing w:after="0"/>
              <w:rPr>
                <w:sz w:val="20"/>
                <w:szCs w:val="20"/>
                <w:color w:val="auto"/>
              </w:rPr>
            </w:pPr>
            <w:r>
              <w:rPr>
                <w:rFonts w:ascii="Calibri" w:cs="Calibri" w:eastAsia="Calibri" w:hAnsi="Calibri"/>
                <w:sz w:val="18"/>
                <w:szCs w:val="18"/>
                <w:color w:val="52575B"/>
                <w:w w:val="96"/>
              </w:rPr>
              <w:t>Friday before a Monday holiday</w:t>
            </w:r>
          </w:p>
        </w:tc>
        <w:tc>
          <w:tcPr>
            <w:tcW w:w="4140" w:type="dxa"/>
            <w:vAlign w:val="bottom"/>
            <w:tcBorders>
              <w:top w:val="single" w:sz="8" w:color="52575B"/>
              <w:right w:val="single" w:sz="8" w:color="52575B"/>
            </w:tcBorders>
          </w:tcPr>
          <w:p>
            <w:pPr>
              <w:jc w:val="center"/>
              <w:spacing w:after="0"/>
              <w:rPr>
                <w:sz w:val="20"/>
                <w:szCs w:val="20"/>
                <w:color w:val="auto"/>
              </w:rPr>
            </w:pPr>
            <w:r>
              <w:rPr>
                <w:rFonts w:ascii="Calibri" w:cs="Calibri" w:eastAsia="Calibri" w:hAnsi="Calibri"/>
                <w:sz w:val="18"/>
                <w:szCs w:val="18"/>
                <w:color w:val="52575B"/>
                <w:w w:val="92"/>
              </w:rPr>
              <w:t>Tuesday</w:t>
            </w:r>
          </w:p>
        </w:tc>
      </w:tr>
      <w:tr>
        <w:trPr>
          <w:trHeight w:val="50"/>
        </w:trPr>
        <w:tc>
          <w:tcPr>
            <w:tcW w:w="760" w:type="dxa"/>
            <w:vAlign w:val="bottom"/>
            <w:tcBorders>
              <w:right w:val="single" w:sz="8" w:color="52575B"/>
            </w:tcBorders>
          </w:tcPr>
          <w:p>
            <w:pPr>
              <w:spacing w:after="0"/>
              <w:rPr>
                <w:sz w:val="4"/>
                <w:szCs w:val="4"/>
                <w:color w:val="auto"/>
              </w:rPr>
            </w:pPr>
          </w:p>
        </w:tc>
        <w:tc>
          <w:tcPr>
            <w:tcW w:w="4800" w:type="dxa"/>
            <w:vAlign w:val="bottom"/>
            <w:tcBorders>
              <w:bottom w:val="single" w:sz="8" w:color="231F20"/>
              <w:right w:val="single" w:sz="8" w:color="231F20"/>
            </w:tcBorders>
          </w:tcPr>
          <w:p>
            <w:pPr>
              <w:spacing w:after="0"/>
              <w:rPr>
                <w:sz w:val="4"/>
                <w:szCs w:val="4"/>
                <w:color w:val="auto"/>
              </w:rPr>
            </w:pPr>
          </w:p>
        </w:tc>
        <w:tc>
          <w:tcPr>
            <w:tcW w:w="4140" w:type="dxa"/>
            <w:vAlign w:val="bottom"/>
            <w:tcBorders>
              <w:bottom w:val="single" w:sz="8" w:color="231F20"/>
              <w:right w:val="single" w:sz="8" w:color="52575B"/>
            </w:tcBorders>
          </w:tcPr>
          <w:p>
            <w:pPr>
              <w:spacing w:after="0"/>
              <w:rPr>
                <w:sz w:val="4"/>
                <w:szCs w:val="4"/>
                <w:color w:val="auto"/>
              </w:rPr>
            </w:pPr>
          </w:p>
        </w:tc>
      </w:tr>
      <w:tr>
        <w:trPr>
          <w:trHeight w:val="444"/>
        </w:trPr>
        <w:tc>
          <w:tcPr>
            <w:tcW w:w="760" w:type="dxa"/>
            <w:vAlign w:val="bottom"/>
            <w:tcBorders>
              <w:right w:val="single" w:sz="8" w:color="52575B"/>
            </w:tcBorders>
          </w:tcPr>
          <w:p>
            <w:pPr>
              <w:spacing w:after="0"/>
              <w:rPr>
                <w:sz w:val="24"/>
                <w:szCs w:val="24"/>
                <w:color w:val="auto"/>
              </w:rPr>
            </w:pPr>
          </w:p>
        </w:tc>
        <w:tc>
          <w:tcPr>
            <w:tcW w:w="4800" w:type="dxa"/>
            <w:vAlign w:val="bottom"/>
            <w:tcBorders>
              <w:bottom w:val="single" w:sz="8" w:color="00365F"/>
              <w:right w:val="single" w:sz="8" w:color="231F20"/>
            </w:tcBorders>
            <w:shd w:val="clear" w:color="auto" w:fill="00365F"/>
          </w:tcPr>
          <w:p>
            <w:pPr>
              <w:jc w:val="center"/>
              <w:spacing w:after="0"/>
              <w:rPr>
                <w:sz w:val="20"/>
                <w:szCs w:val="20"/>
                <w:color w:val="auto"/>
              </w:rPr>
            </w:pPr>
            <w:r>
              <w:rPr>
                <w:rFonts w:ascii="Calibri" w:cs="Calibri" w:eastAsia="Calibri" w:hAnsi="Calibri"/>
                <w:sz w:val="18"/>
                <w:szCs w:val="18"/>
                <w:color w:val="FFFFFF"/>
                <w:w w:val="99"/>
              </w:rPr>
              <w:t>If the informaton is announced during or afer market</w:t>
            </w:r>
          </w:p>
        </w:tc>
        <w:tc>
          <w:tcPr>
            <w:tcW w:w="4140" w:type="dxa"/>
            <w:vAlign w:val="bottom"/>
            <w:tcBorders>
              <w:bottom w:val="single" w:sz="8" w:color="00365F"/>
              <w:right w:val="single" w:sz="8" w:color="52575B"/>
            </w:tcBorders>
            <w:shd w:val="clear" w:color="auto" w:fill="00365F"/>
          </w:tcPr>
          <w:p>
            <w:pPr>
              <w:jc w:val="center"/>
              <w:spacing w:after="0"/>
              <w:rPr>
                <w:sz w:val="20"/>
                <w:szCs w:val="20"/>
                <w:color w:val="auto"/>
              </w:rPr>
            </w:pPr>
            <w:r>
              <w:rPr>
                <w:rFonts w:ascii="Calibri" w:cs="Calibri" w:eastAsia="Calibri" w:hAnsi="Calibri"/>
                <w:sz w:val="18"/>
                <w:szCs w:val="18"/>
                <w:color w:val="FFFFFF"/>
                <w:w w:val="95"/>
              </w:rPr>
              <w:t>You may begin trading</w:t>
            </w:r>
          </w:p>
        </w:tc>
      </w:tr>
      <w:tr>
        <w:trPr>
          <w:trHeight w:val="254"/>
        </w:trPr>
        <w:tc>
          <w:tcPr>
            <w:tcW w:w="760" w:type="dxa"/>
            <w:vAlign w:val="bottom"/>
            <w:tcBorders>
              <w:right w:val="single" w:sz="8" w:color="52575B"/>
            </w:tcBorders>
          </w:tcPr>
          <w:p>
            <w:pPr>
              <w:spacing w:after="0"/>
              <w:rPr>
                <w:sz w:val="22"/>
                <w:szCs w:val="22"/>
                <w:color w:val="auto"/>
              </w:rPr>
            </w:pPr>
          </w:p>
        </w:tc>
        <w:tc>
          <w:tcPr>
            <w:tcW w:w="4800" w:type="dxa"/>
            <w:vAlign w:val="bottom"/>
            <w:tcBorders>
              <w:top w:val="single" w:sz="8" w:color="231F20"/>
              <w:right w:val="single" w:sz="8" w:color="231F20"/>
            </w:tcBorders>
          </w:tcPr>
          <w:p>
            <w:pPr>
              <w:jc w:val="center"/>
              <w:spacing w:after="0"/>
              <w:rPr>
                <w:sz w:val="20"/>
                <w:szCs w:val="20"/>
                <w:color w:val="auto"/>
              </w:rPr>
            </w:pPr>
            <w:r>
              <w:rPr>
                <w:rFonts w:ascii="Calibri" w:cs="Calibri" w:eastAsia="Calibri" w:hAnsi="Calibri"/>
                <w:sz w:val="18"/>
                <w:szCs w:val="18"/>
                <w:color w:val="52575B"/>
                <w:w w:val="95"/>
              </w:rPr>
              <w:t>Monday</w:t>
            </w:r>
          </w:p>
        </w:tc>
        <w:tc>
          <w:tcPr>
            <w:tcW w:w="4140" w:type="dxa"/>
            <w:vAlign w:val="bottom"/>
            <w:tcBorders>
              <w:top w:val="single" w:sz="8" w:color="231F20"/>
              <w:right w:val="single" w:sz="8" w:color="52575B"/>
            </w:tcBorders>
          </w:tcPr>
          <w:p>
            <w:pPr>
              <w:jc w:val="center"/>
              <w:spacing w:after="0"/>
              <w:rPr>
                <w:sz w:val="20"/>
                <w:szCs w:val="20"/>
                <w:color w:val="auto"/>
              </w:rPr>
            </w:pPr>
            <w:r>
              <w:rPr>
                <w:rFonts w:ascii="Calibri" w:cs="Calibri" w:eastAsia="Calibri" w:hAnsi="Calibri"/>
                <w:sz w:val="18"/>
                <w:szCs w:val="18"/>
                <w:color w:val="52575B"/>
                <w:w w:val="92"/>
              </w:rPr>
              <w:t>Wednesday</w:t>
            </w:r>
          </w:p>
        </w:tc>
      </w:tr>
      <w:tr>
        <w:trPr>
          <w:trHeight w:val="50"/>
        </w:trPr>
        <w:tc>
          <w:tcPr>
            <w:tcW w:w="760" w:type="dxa"/>
            <w:vAlign w:val="bottom"/>
            <w:tcBorders>
              <w:right w:val="single" w:sz="8" w:color="52575B"/>
            </w:tcBorders>
          </w:tcPr>
          <w:p>
            <w:pPr>
              <w:spacing w:after="0"/>
              <w:rPr>
                <w:sz w:val="4"/>
                <w:szCs w:val="4"/>
                <w:color w:val="auto"/>
              </w:rPr>
            </w:pPr>
          </w:p>
        </w:tc>
        <w:tc>
          <w:tcPr>
            <w:tcW w:w="4800" w:type="dxa"/>
            <w:vAlign w:val="bottom"/>
            <w:tcBorders>
              <w:bottom w:val="single" w:sz="8" w:color="52575B"/>
              <w:right w:val="single" w:sz="8" w:color="231F20"/>
            </w:tcBorders>
          </w:tcPr>
          <w:p>
            <w:pPr>
              <w:spacing w:after="0"/>
              <w:rPr>
                <w:sz w:val="4"/>
                <w:szCs w:val="4"/>
                <w:color w:val="auto"/>
              </w:rPr>
            </w:pPr>
          </w:p>
        </w:tc>
        <w:tc>
          <w:tcPr>
            <w:tcW w:w="4140" w:type="dxa"/>
            <w:vAlign w:val="bottom"/>
            <w:tcBorders>
              <w:bottom w:val="single" w:sz="8" w:color="52575B"/>
              <w:right w:val="single" w:sz="8" w:color="52575B"/>
            </w:tcBorders>
          </w:tcPr>
          <w:p>
            <w:pPr>
              <w:spacing w:after="0"/>
              <w:rPr>
                <w:sz w:val="4"/>
                <w:szCs w:val="4"/>
                <w:color w:val="auto"/>
              </w:rPr>
            </w:pPr>
          </w:p>
        </w:tc>
      </w:tr>
      <w:tr>
        <w:trPr>
          <w:trHeight w:val="309"/>
        </w:trPr>
        <w:tc>
          <w:tcPr>
            <w:tcW w:w="760" w:type="dxa"/>
            <w:vAlign w:val="bottom"/>
            <w:tcBorders>
              <w:right w:val="single" w:sz="8" w:color="52575B"/>
            </w:tcBorders>
          </w:tcPr>
          <w:p>
            <w:pPr>
              <w:spacing w:after="0"/>
              <w:rPr>
                <w:sz w:val="24"/>
                <w:szCs w:val="24"/>
                <w:color w:val="auto"/>
              </w:rPr>
            </w:pPr>
          </w:p>
        </w:tc>
        <w:tc>
          <w:tcPr>
            <w:tcW w:w="4800" w:type="dxa"/>
            <w:vAlign w:val="bottom"/>
            <w:tcBorders>
              <w:bottom w:val="single" w:sz="8" w:color="E5EAEF"/>
              <w:right w:val="single" w:sz="8" w:color="231F20"/>
            </w:tcBorders>
            <w:shd w:val="clear" w:color="auto" w:fill="E5EAEF"/>
          </w:tcPr>
          <w:p>
            <w:pPr>
              <w:jc w:val="center"/>
              <w:spacing w:after="0"/>
              <w:rPr>
                <w:sz w:val="20"/>
                <w:szCs w:val="20"/>
                <w:color w:val="auto"/>
              </w:rPr>
            </w:pPr>
            <w:r>
              <w:rPr>
                <w:rFonts w:ascii="Calibri" w:cs="Calibri" w:eastAsia="Calibri" w:hAnsi="Calibri"/>
                <w:sz w:val="18"/>
                <w:szCs w:val="18"/>
                <w:color w:val="333333"/>
                <w:w w:val="93"/>
              </w:rPr>
              <w:t>Friday</w:t>
            </w:r>
          </w:p>
        </w:tc>
        <w:tc>
          <w:tcPr>
            <w:tcW w:w="4140" w:type="dxa"/>
            <w:vAlign w:val="bottom"/>
            <w:tcBorders>
              <w:bottom w:val="single" w:sz="8" w:color="E5EAEF"/>
              <w:right w:val="single" w:sz="8" w:color="52575B"/>
            </w:tcBorders>
            <w:shd w:val="clear" w:color="auto" w:fill="E5EAEF"/>
          </w:tcPr>
          <w:p>
            <w:pPr>
              <w:jc w:val="center"/>
              <w:spacing w:after="0"/>
              <w:rPr>
                <w:sz w:val="20"/>
                <w:szCs w:val="20"/>
                <w:color w:val="auto"/>
              </w:rPr>
            </w:pPr>
            <w:r>
              <w:rPr>
                <w:rFonts w:ascii="Calibri" w:cs="Calibri" w:eastAsia="Calibri" w:hAnsi="Calibri"/>
                <w:sz w:val="18"/>
                <w:szCs w:val="18"/>
                <w:color w:val="333333"/>
                <w:w w:val="92"/>
              </w:rPr>
              <w:t>Tuesday</w:t>
            </w:r>
          </w:p>
        </w:tc>
      </w:tr>
      <w:tr>
        <w:trPr>
          <w:trHeight w:val="254"/>
        </w:trPr>
        <w:tc>
          <w:tcPr>
            <w:tcW w:w="760" w:type="dxa"/>
            <w:vAlign w:val="bottom"/>
            <w:tcBorders>
              <w:right w:val="single" w:sz="8" w:color="52575B"/>
            </w:tcBorders>
          </w:tcPr>
          <w:p>
            <w:pPr>
              <w:spacing w:after="0"/>
              <w:rPr>
                <w:sz w:val="22"/>
                <w:szCs w:val="22"/>
                <w:color w:val="auto"/>
              </w:rPr>
            </w:pPr>
          </w:p>
        </w:tc>
        <w:tc>
          <w:tcPr>
            <w:tcW w:w="4800" w:type="dxa"/>
            <w:vAlign w:val="bottom"/>
            <w:tcBorders>
              <w:top w:val="single" w:sz="8" w:color="52575B"/>
              <w:right w:val="single" w:sz="8" w:color="231F20"/>
            </w:tcBorders>
          </w:tcPr>
          <w:p>
            <w:pPr>
              <w:jc w:val="center"/>
              <w:spacing w:after="0"/>
              <w:rPr>
                <w:sz w:val="20"/>
                <w:szCs w:val="20"/>
                <w:color w:val="auto"/>
              </w:rPr>
            </w:pPr>
            <w:r>
              <w:rPr>
                <w:rFonts w:ascii="Calibri" w:cs="Calibri" w:eastAsia="Calibri" w:hAnsi="Calibri"/>
                <w:sz w:val="18"/>
                <w:szCs w:val="18"/>
                <w:color w:val="52575B"/>
                <w:w w:val="96"/>
              </w:rPr>
              <w:t>Friday before a Monday holiday</w:t>
            </w:r>
          </w:p>
        </w:tc>
        <w:tc>
          <w:tcPr>
            <w:tcW w:w="4140" w:type="dxa"/>
            <w:vAlign w:val="bottom"/>
            <w:tcBorders>
              <w:top w:val="single" w:sz="8" w:color="52575B"/>
              <w:right w:val="single" w:sz="8" w:color="52575B"/>
            </w:tcBorders>
          </w:tcPr>
          <w:p>
            <w:pPr>
              <w:jc w:val="center"/>
              <w:spacing w:after="0"/>
              <w:rPr>
                <w:sz w:val="20"/>
                <w:szCs w:val="20"/>
                <w:color w:val="auto"/>
              </w:rPr>
            </w:pPr>
            <w:r>
              <w:rPr>
                <w:rFonts w:ascii="Calibri" w:cs="Calibri" w:eastAsia="Calibri" w:hAnsi="Calibri"/>
                <w:sz w:val="18"/>
                <w:szCs w:val="18"/>
                <w:color w:val="52575B"/>
                <w:w w:val="92"/>
              </w:rPr>
              <w:t>Wednesday</w:t>
            </w:r>
          </w:p>
        </w:tc>
      </w:tr>
      <w:tr>
        <w:trPr>
          <w:trHeight w:val="50"/>
        </w:trPr>
        <w:tc>
          <w:tcPr>
            <w:tcW w:w="760" w:type="dxa"/>
            <w:vAlign w:val="bottom"/>
            <w:tcBorders>
              <w:right w:val="single" w:sz="8" w:color="52575B"/>
            </w:tcBorders>
          </w:tcPr>
          <w:p>
            <w:pPr>
              <w:spacing w:after="0"/>
              <w:rPr>
                <w:sz w:val="4"/>
                <w:szCs w:val="4"/>
                <w:color w:val="auto"/>
              </w:rPr>
            </w:pPr>
          </w:p>
        </w:tc>
        <w:tc>
          <w:tcPr>
            <w:tcW w:w="4800" w:type="dxa"/>
            <w:vAlign w:val="bottom"/>
            <w:tcBorders>
              <w:bottom w:val="single" w:sz="8" w:color="52575B"/>
              <w:right w:val="single" w:sz="8" w:color="231F20"/>
            </w:tcBorders>
          </w:tcPr>
          <w:p>
            <w:pPr>
              <w:spacing w:after="0"/>
              <w:rPr>
                <w:sz w:val="4"/>
                <w:szCs w:val="4"/>
                <w:color w:val="auto"/>
              </w:rPr>
            </w:pPr>
          </w:p>
        </w:tc>
        <w:tc>
          <w:tcPr>
            <w:tcW w:w="4140" w:type="dxa"/>
            <w:vAlign w:val="bottom"/>
            <w:tcBorders>
              <w:bottom w:val="single" w:sz="8" w:color="52575B"/>
              <w:right w:val="single" w:sz="8" w:color="52575B"/>
            </w:tcBorders>
          </w:tcPr>
          <w:p>
            <w:pPr>
              <w:spacing w:after="0"/>
              <w:rPr>
                <w:sz w:val="4"/>
                <w:szCs w:val="4"/>
                <w:color w:val="auto"/>
              </w:rPr>
            </w:pPr>
          </w:p>
        </w:tc>
      </w:tr>
      <w:tr>
        <w:trPr>
          <w:trHeight w:val="550"/>
        </w:trPr>
        <w:tc>
          <w:tcPr>
            <w:tcW w:w="5560" w:type="dxa"/>
            <w:vAlign w:val="bottom"/>
            <w:gridSpan w:val="2"/>
          </w:tcPr>
          <w:p>
            <w:pPr>
              <w:spacing w:after="0"/>
              <w:rPr>
                <w:sz w:val="20"/>
                <w:szCs w:val="20"/>
                <w:color w:val="auto"/>
              </w:rPr>
            </w:pPr>
            <w:r>
              <w:rPr>
                <w:rFonts w:ascii="Calibri" w:cs="Calibri" w:eastAsia="Calibri" w:hAnsi="Calibri"/>
                <w:sz w:val="13"/>
                <w:szCs w:val="13"/>
                <w:color w:val="A8ABAD"/>
              </w:rPr>
              <w:t>PRIVILEGED AND CONFIDENTIAL — FOR INTERNAL USE ONLY — NOT FOR DISTRIBUTION</w:t>
            </w:r>
          </w:p>
        </w:tc>
        <w:tc>
          <w:tcPr>
            <w:tcW w:w="4140" w:type="dxa"/>
            <w:vAlign w:val="bottom"/>
          </w:tcPr>
          <w:p>
            <w:pPr>
              <w:jc w:val="right"/>
              <w:ind w:right="3753"/>
              <w:spacing w:after="0"/>
              <w:rPr>
                <w:sz w:val="20"/>
                <w:szCs w:val="20"/>
                <w:color w:val="auto"/>
              </w:rPr>
            </w:pPr>
            <w:r>
              <w:rPr>
                <w:rFonts w:ascii="Calibri" w:cs="Calibri" w:eastAsia="Calibri" w:hAnsi="Calibri"/>
                <w:sz w:val="13"/>
                <w:szCs w:val="13"/>
                <w:color w:val="A8ABAD"/>
              </w:rPr>
              <w:t>4</w:t>
            </w:r>
          </w:p>
        </w:tc>
      </w:tr>
    </w:tbl>
    <w:p>
      <w:pPr>
        <w:sectPr>
          <w:pgSz w:w="11900" w:h="16838" w:orient="portrait"/>
          <w:cols w:equalWidth="0" w:num="1">
            <w:col w:w="11200"/>
          </w:cols>
          <w:pgMar w:left="360" w:top="99" w:right="339" w:bottom="1440" w:gutter="0" w:footer="0" w:header="0"/>
        </w:sectPr>
      </w:pPr>
    </w:p>
    <w:bookmarkStart w:id="136" w:name="page137"/>
    <w:bookmarkEnd w:id="136"/>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ii. What Consttutes Material Information?</w:t>
      </w:r>
    </w:p>
    <w:p>
      <w:pPr>
        <w:spacing w:after="0" w:line="34" w:lineRule="exact"/>
        <w:rPr>
          <w:sz w:val="20"/>
          <w:szCs w:val="20"/>
          <w:color w:val="auto"/>
        </w:rPr>
      </w:pPr>
    </w:p>
    <w:p>
      <w:pPr>
        <w:ind w:left="720" w:right="420"/>
        <w:spacing w:after="0" w:line="262" w:lineRule="auto"/>
        <w:rPr>
          <w:sz w:val="20"/>
          <w:szCs w:val="20"/>
          <w:color w:val="auto"/>
        </w:rPr>
      </w:pPr>
      <w:r>
        <w:rPr>
          <w:rFonts w:ascii="Calibri" w:cs="Calibri" w:eastAsia="Calibri" w:hAnsi="Calibri"/>
          <w:sz w:val="18"/>
          <w:szCs w:val="18"/>
          <w:color w:val="52575B"/>
        </w:rPr>
        <w:t>Material informaton is any informaton that a reasonable investor would consider important in making a decision to buy, hold or sell securites. Any informaton that might reasonably be expected to afect the Company’s stock price, whether positvely or negatvely, should be considered material. Some examples of informaton that would ordinarily be regarded as material are:</w:t>
      </w:r>
    </w:p>
    <w:p>
      <w:pPr>
        <w:spacing w:after="0" w:line="140" w:lineRule="exact"/>
        <w:rPr>
          <w:sz w:val="20"/>
          <w:szCs w:val="20"/>
          <w:color w:val="auto"/>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Projectons of future earnings or losses, or other earnings guidance;</w:t>
      </w:r>
    </w:p>
    <w:p>
      <w:pPr>
        <w:spacing w:after="0" w:line="239"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Earnings that are inconsistent with the consensus expectatons of the investment community;</w:t>
      </w:r>
    </w:p>
    <w:p>
      <w:pPr>
        <w:spacing w:after="0" w:line="225"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Signifcant scientfc, clinical or regulatory developments;</w:t>
      </w:r>
    </w:p>
    <w:p>
      <w:pPr>
        <w:spacing w:after="0" w:line="239"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A pending or proposed merger, acquisiton or tender offer;</w:t>
      </w:r>
    </w:p>
    <w:p>
      <w:pPr>
        <w:spacing w:after="0" w:line="225"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A pending or proposed acquisiton or dispositon of a signifcant asset;</w:t>
      </w:r>
    </w:p>
    <w:p>
      <w:pPr>
        <w:spacing w:after="0" w:line="225"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A change in dividend policy, the declaraton of a stock split, or an ofering of Company securities;</w:t>
      </w:r>
    </w:p>
    <w:p>
      <w:pPr>
        <w:spacing w:after="0" w:line="225"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The establishment of a Company stock repurchase program;</w:t>
      </w:r>
    </w:p>
    <w:p>
      <w:pPr>
        <w:spacing w:after="0" w:line="239"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Bank borrowings or other fnancing transactons out of the ordinary course;</w:t>
      </w:r>
    </w:p>
    <w:p>
      <w:pPr>
        <w:spacing w:after="0" w:line="225"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A change in management;</w:t>
      </w:r>
    </w:p>
    <w:p>
      <w:pPr>
        <w:spacing w:after="0" w:line="225"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A signifcant license, collaboraton or other agreement, including the existence or status of negotaton of such agreement;</w:t>
      </w:r>
    </w:p>
    <w:p>
      <w:pPr>
        <w:spacing w:after="0" w:line="176" w:lineRule="exact"/>
        <w:rPr>
          <w:rFonts w:ascii="Arial" w:cs="Arial" w:eastAsia="Arial" w:hAnsi="Arial"/>
          <w:sz w:val="18"/>
          <w:szCs w:val="18"/>
          <w:color w:val="52575B"/>
        </w:rPr>
      </w:pPr>
    </w:p>
    <w:p>
      <w:pPr>
        <w:ind w:left="960" w:right="380" w:hanging="236"/>
        <w:spacing w:after="0" w:line="289" w:lineRule="auto"/>
        <w:tabs>
          <w:tab w:leader="none" w:pos="955" w:val="left"/>
        </w:tabs>
        <w:numPr>
          <w:ilvl w:val="1"/>
          <w:numId w:val="52"/>
        </w:numPr>
        <w:rPr>
          <w:rFonts w:ascii="Arial" w:cs="Arial" w:eastAsia="Arial" w:hAnsi="Arial"/>
          <w:sz w:val="17"/>
          <w:szCs w:val="17"/>
          <w:color w:val="52575B"/>
        </w:rPr>
      </w:pPr>
      <w:r>
        <w:rPr>
          <w:rFonts w:ascii="Calibri" w:cs="Calibri" w:eastAsia="Calibri" w:hAnsi="Calibri"/>
          <w:sz w:val="17"/>
          <w:szCs w:val="17"/>
          <w:color w:val="52575B"/>
        </w:rPr>
        <w:t>A signifcant cybersecurity incident, such as a data breach, or any other signifcant disrupton in the Company’s operatons or loss, potental loss, breach or unauthorized access of its property or assets, whether at its facilites or through its informaton technology infrastructure;</w:t>
      </w:r>
    </w:p>
    <w:p>
      <w:pPr>
        <w:spacing w:after="0" w:line="129" w:lineRule="exact"/>
        <w:rPr>
          <w:rFonts w:ascii="Arial" w:cs="Arial" w:eastAsia="Arial" w:hAnsi="Arial"/>
          <w:sz w:val="17"/>
          <w:szCs w:val="17"/>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The existence of any signifcant pending or threatened litgaton, claims or disputes;</w:t>
      </w:r>
    </w:p>
    <w:p>
      <w:pPr>
        <w:spacing w:after="0" w:line="252"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The issuance of a signifcant patent, achievement of milestones or loss of important intellectual property rights of the Company; or</w:t>
      </w:r>
    </w:p>
    <w:p>
      <w:pPr>
        <w:spacing w:after="0" w:line="171" w:lineRule="exact"/>
        <w:rPr>
          <w:rFonts w:ascii="Arial" w:cs="Arial" w:eastAsia="Arial" w:hAnsi="Arial"/>
          <w:sz w:val="18"/>
          <w:szCs w:val="18"/>
          <w:color w:val="52575B"/>
        </w:rPr>
      </w:pPr>
    </w:p>
    <w:p>
      <w:pPr>
        <w:ind w:left="960" w:hanging="236"/>
        <w:spacing w:after="0"/>
        <w:tabs>
          <w:tab w:leader="none" w:pos="960" w:val="left"/>
        </w:tabs>
        <w:numPr>
          <w:ilvl w:val="1"/>
          <w:numId w:val="52"/>
        </w:numPr>
        <w:rPr>
          <w:rFonts w:ascii="Arial" w:cs="Arial" w:eastAsia="Arial" w:hAnsi="Arial"/>
          <w:sz w:val="18"/>
          <w:szCs w:val="18"/>
          <w:color w:val="52575B"/>
        </w:rPr>
      </w:pPr>
      <w:r>
        <w:rPr>
          <w:rFonts w:ascii="Calibri" w:cs="Calibri" w:eastAsia="Calibri" w:hAnsi="Calibri"/>
          <w:sz w:val="18"/>
          <w:szCs w:val="18"/>
          <w:color w:val="52575B"/>
        </w:rPr>
        <w:t>Impending bankruptcy or the existence of liquidity problems.</w:t>
      </w:r>
    </w:p>
    <w:p>
      <w:pPr>
        <w:spacing w:after="0" w:line="362" w:lineRule="exact"/>
        <w:rPr>
          <w:rFonts w:ascii="Arial" w:cs="Arial" w:eastAsia="Arial" w:hAnsi="Arial"/>
          <w:sz w:val="18"/>
          <w:szCs w:val="18"/>
          <w:color w:val="52575B"/>
        </w:rPr>
      </w:pPr>
    </w:p>
    <w:p>
      <w:pPr>
        <w:ind w:left="820" w:hanging="256"/>
        <w:spacing w:after="0"/>
        <w:tabs>
          <w:tab w:leader="none" w:pos="820" w:val="left"/>
        </w:tabs>
        <w:numPr>
          <w:ilvl w:val="0"/>
          <w:numId w:val="52"/>
        </w:numPr>
        <w:rPr>
          <w:rFonts w:ascii="Calibri" w:cs="Calibri" w:eastAsia="Calibri" w:hAnsi="Calibri"/>
          <w:sz w:val="22"/>
          <w:szCs w:val="22"/>
          <w:b w:val="1"/>
          <w:bCs w:val="1"/>
          <w:color w:val="02365F"/>
        </w:rPr>
      </w:pPr>
      <w:r>
        <w:rPr>
          <w:rFonts w:ascii="Calibri" w:cs="Calibri" w:eastAsia="Calibri" w:hAnsi="Calibri"/>
          <w:sz w:val="22"/>
          <w:szCs w:val="22"/>
          <w:b w:val="1"/>
          <w:bCs w:val="1"/>
          <w:color w:val="02365F"/>
        </w:rPr>
        <w:t>Material Non-Public Informaton of Another Company</w:t>
      </w:r>
    </w:p>
    <w:p>
      <w:pPr>
        <w:spacing w:after="0" w:line="32" w:lineRule="exact"/>
        <w:rPr>
          <w:sz w:val="20"/>
          <w:szCs w:val="20"/>
          <w:color w:val="auto"/>
        </w:rPr>
      </w:pPr>
    </w:p>
    <w:p>
      <w:pPr>
        <w:ind w:left="720" w:right="140"/>
        <w:spacing w:after="0" w:line="263" w:lineRule="auto"/>
        <w:rPr>
          <w:sz w:val="20"/>
          <w:szCs w:val="20"/>
          <w:color w:val="auto"/>
        </w:rPr>
      </w:pPr>
      <w:r>
        <w:rPr>
          <w:rFonts w:ascii="Calibri" w:cs="Calibri" w:eastAsia="Calibri" w:hAnsi="Calibri"/>
          <w:sz w:val="18"/>
          <w:szCs w:val="18"/>
          <w:color w:val="52575B"/>
        </w:rPr>
        <w:t>Generally, it is illegal and a violaton of this Insider Trading Policy to trade in securites of any other entty with whom the Company does business (such as the Company’s collaborators, customers, partners and suppliers), or the Company’s competitors while you are in possession of material non-public informaton about that other entity obtained in the course of your position with the Company. You may not trade in the other entty’s securites untl the informaton becomes public or is no longer material.</w:t>
      </w:r>
    </w:p>
    <w:p>
      <w:pPr>
        <w:spacing w:after="0" w:line="112"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iv. No Excepton for Hardship</w:t>
      </w:r>
    </w:p>
    <w:p>
      <w:pPr>
        <w:spacing w:after="0" w:line="34" w:lineRule="exact"/>
        <w:rPr>
          <w:sz w:val="20"/>
          <w:szCs w:val="20"/>
          <w:color w:val="auto"/>
        </w:rPr>
      </w:pPr>
    </w:p>
    <w:p>
      <w:pPr>
        <w:ind w:left="720" w:right="400"/>
        <w:spacing w:after="0" w:line="285" w:lineRule="auto"/>
        <w:rPr>
          <w:sz w:val="20"/>
          <w:szCs w:val="20"/>
          <w:color w:val="auto"/>
        </w:rPr>
      </w:pPr>
      <w:r>
        <w:rPr>
          <w:rFonts w:ascii="Calibri" w:cs="Calibri" w:eastAsia="Calibri" w:hAnsi="Calibri"/>
          <w:sz w:val="17"/>
          <w:szCs w:val="17"/>
          <w:color w:val="52575B"/>
        </w:rPr>
        <w:t>Transactons that may be necessary or justfable for independent reasons (such as the need to raise money for an emergency expenditure) are not exempted from this Insider Trading Policy. The securites laws do not recognize such mitgatng circumstances. In any event, even the appearance of an improper transacton must be avoided to preserve the Company’s reputaton for adhering to high standards of conduct.</w:t>
      </w:r>
    </w:p>
    <w:p>
      <w:pPr>
        <w:spacing w:after="0" w:line="106"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v. 20/20 Hindsight</w:t>
      </w:r>
    </w:p>
    <w:p>
      <w:pPr>
        <w:spacing w:after="0" w:line="34" w:lineRule="exact"/>
        <w:rPr>
          <w:sz w:val="20"/>
          <w:szCs w:val="20"/>
          <w:color w:val="auto"/>
        </w:rPr>
      </w:pPr>
    </w:p>
    <w:p>
      <w:pPr>
        <w:ind w:left="720"/>
        <w:spacing w:after="0" w:line="245" w:lineRule="auto"/>
        <w:rPr>
          <w:sz w:val="20"/>
          <w:szCs w:val="20"/>
          <w:color w:val="auto"/>
        </w:rPr>
      </w:pPr>
      <w:r>
        <w:rPr>
          <w:rFonts w:ascii="Calibri" w:cs="Calibri" w:eastAsia="Calibri" w:hAnsi="Calibri"/>
          <w:sz w:val="18"/>
          <w:szCs w:val="18"/>
          <w:color w:val="52575B"/>
        </w:rPr>
        <w:t>Remember, anyone scrutnizing your transactons will be doing so afer the fact, with the beneft of hindsight. As a practcal mater, before engaging in any transacton, you should carefully consider how the transacton might be viewed in hindsight.</w:t>
      </w:r>
    </w:p>
    <w:p>
      <w:pPr>
        <w:sectPr>
          <w:pgSz w:w="11900" w:h="16838" w:orient="portrait"/>
          <w:cols w:equalWidth="0" w:num="1">
            <w:col w:w="11200"/>
          </w:cols>
          <w:pgMar w:left="360" w:top="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5780" w:val="left"/>
        </w:tabs>
        <w:rPr>
          <w:sz w:val="20"/>
          <w:szCs w:val="20"/>
          <w:color w:val="auto"/>
        </w:rPr>
      </w:pPr>
      <w:r>
        <w:rPr>
          <w:rFonts w:ascii="Calibri" w:cs="Calibri" w:eastAsia="Calibri" w:hAnsi="Calibri"/>
          <w:sz w:val="13"/>
          <w:szCs w:val="13"/>
          <w:color w:val="A8ABAD"/>
        </w:rPr>
        <w:t>PRIVILEGED AND CONFIDENTIAL — FOR INTERNAL USE ONLY — NOT FOR DISTRIBUTION</w:t>
      </w:r>
      <w:r>
        <w:rPr>
          <w:sz w:val="20"/>
          <w:szCs w:val="20"/>
          <w:color w:val="auto"/>
        </w:rPr>
        <w:tab/>
      </w:r>
      <w:r>
        <w:rPr>
          <w:rFonts w:ascii="Calibri" w:cs="Calibri" w:eastAsia="Calibri" w:hAnsi="Calibri"/>
          <w:sz w:val="10"/>
          <w:szCs w:val="10"/>
          <w:color w:val="A8ABAD"/>
        </w:rPr>
        <w:t>5</w:t>
      </w:r>
    </w:p>
    <w:p>
      <w:pPr>
        <w:sectPr>
          <w:pgSz w:w="11900" w:h="16838" w:orient="portrait"/>
          <w:cols w:equalWidth="0" w:num="1">
            <w:col w:w="11200"/>
          </w:cols>
          <w:pgMar w:left="360" w:top="99" w:right="339" w:bottom="1440" w:gutter="0" w:footer="0" w:header="0"/>
          <w:type w:val="continuous"/>
        </w:sectPr>
      </w:pPr>
    </w:p>
    <w:bookmarkStart w:id="137" w:name="page138"/>
    <w:bookmarkEnd w:id="137"/>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365F"/>
        </w:rPr>
        <w:t xml:space="preserve">B. </w:t>
      </w:r>
      <w:r>
        <w:rPr>
          <w:rFonts w:ascii="Calibri" w:cs="Calibri" w:eastAsia="Calibri" w:hAnsi="Calibri"/>
          <w:sz w:val="22"/>
          <w:szCs w:val="22"/>
          <w:b w:val="1"/>
          <w:bCs w:val="1"/>
          <w:color w:val="02365F"/>
        </w:rPr>
        <w:t>Other Prohibited Transactions</w:t>
      </w:r>
    </w:p>
    <w:p>
      <w:pPr>
        <w:spacing w:after="0" w:line="29" w:lineRule="exact"/>
        <w:rPr>
          <w:sz w:val="20"/>
          <w:szCs w:val="20"/>
          <w:color w:val="auto"/>
        </w:rPr>
      </w:pPr>
    </w:p>
    <w:p>
      <w:pPr>
        <w:ind w:left="560" w:right="320"/>
        <w:spacing w:after="0" w:line="232" w:lineRule="auto"/>
        <w:rPr>
          <w:sz w:val="20"/>
          <w:szCs w:val="20"/>
          <w:color w:val="auto"/>
        </w:rPr>
      </w:pPr>
      <w:r>
        <w:rPr>
          <w:rFonts w:ascii="Calibri" w:cs="Calibri" w:eastAsia="Calibri" w:hAnsi="Calibri"/>
          <w:sz w:val="18"/>
          <w:szCs w:val="18"/>
          <w:color w:val="52575B"/>
        </w:rPr>
        <w:t>The Company considers it improper and inappropriate for any persons subject to this Insider Trading Policy to engage in speculatve transactons in Company securites or other transactons that might give the appearance of impropriety. Therefore, this Insider Trading Policy also prohibits the following transactons:</w:t>
      </w:r>
    </w:p>
    <w:p>
      <w:pPr>
        <w:spacing w:after="0" w:line="135"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  Short Sales</w:t>
      </w:r>
    </w:p>
    <w:p>
      <w:pPr>
        <w:spacing w:after="0" w:line="45" w:lineRule="exact"/>
        <w:rPr>
          <w:sz w:val="20"/>
          <w:szCs w:val="20"/>
          <w:color w:val="auto"/>
        </w:rPr>
      </w:pPr>
    </w:p>
    <w:p>
      <w:pPr>
        <w:ind w:left="720" w:right="460"/>
        <w:spacing w:after="0" w:line="283" w:lineRule="auto"/>
        <w:rPr>
          <w:sz w:val="20"/>
          <w:szCs w:val="20"/>
          <w:color w:val="auto"/>
        </w:rPr>
      </w:pPr>
      <w:r>
        <w:rPr>
          <w:rFonts w:ascii="Calibri" w:cs="Calibri" w:eastAsia="Calibri" w:hAnsi="Calibri"/>
          <w:sz w:val="18"/>
          <w:szCs w:val="18"/>
          <w:color w:val="52575B"/>
        </w:rPr>
        <w:t>You may not engage in short sales of Company securites. Short sales may reduce a seller’s incentive to seek to improve the Company’s performance and ofen have the potental to signal to the market that the seller lacks confdence in the Company’s prospects. In additon, Secton 16(c) of the Securites Exchange Act of 1934, as amended (the “Exchange Act”) prohibits ofcers and directors from engaging in short sales.</w:t>
      </w:r>
    </w:p>
    <w:p>
      <w:pPr>
        <w:spacing w:after="0" w:line="108"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ii. Trading in Derivatve Securities</w:t>
      </w:r>
    </w:p>
    <w:p>
      <w:pPr>
        <w:spacing w:after="0" w:line="45" w:lineRule="exact"/>
        <w:rPr>
          <w:sz w:val="20"/>
          <w:szCs w:val="20"/>
          <w:color w:val="auto"/>
        </w:rPr>
      </w:pPr>
    </w:p>
    <w:p>
      <w:pPr>
        <w:ind w:left="720" w:right="340"/>
        <w:spacing w:after="0" w:line="284" w:lineRule="auto"/>
        <w:rPr>
          <w:sz w:val="20"/>
          <w:szCs w:val="20"/>
          <w:color w:val="auto"/>
        </w:rPr>
      </w:pPr>
      <w:r>
        <w:rPr>
          <w:rFonts w:ascii="Calibri" w:cs="Calibri" w:eastAsia="Calibri" w:hAnsi="Calibri"/>
          <w:sz w:val="18"/>
          <w:szCs w:val="18"/>
          <w:color w:val="52575B"/>
        </w:rPr>
        <w:t>You may not engage in transactons involving puts, calls or other derivatve securites based on Company securites. Given the relatvely short term of publicly-traded optons, they may create the appearance that you are trading based on material nonpublic informaton and focused on short-term performance at the expense of the Company’s long-term objectves.</w:t>
      </w:r>
    </w:p>
    <w:p>
      <w:pPr>
        <w:spacing w:after="0" w:line="106"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iii. Hedging or Monetzaton Transactions</w:t>
      </w:r>
    </w:p>
    <w:p>
      <w:pPr>
        <w:spacing w:after="0" w:line="47" w:lineRule="exact"/>
        <w:rPr>
          <w:sz w:val="20"/>
          <w:szCs w:val="20"/>
          <w:color w:val="auto"/>
        </w:rPr>
      </w:pPr>
    </w:p>
    <w:p>
      <w:pPr>
        <w:ind w:left="720" w:right="260"/>
        <w:spacing w:after="0" w:line="283" w:lineRule="auto"/>
        <w:rPr>
          <w:sz w:val="20"/>
          <w:szCs w:val="20"/>
          <w:color w:val="auto"/>
        </w:rPr>
      </w:pPr>
      <w:r>
        <w:rPr>
          <w:rFonts w:ascii="Calibri" w:cs="Calibri" w:eastAsia="Calibri" w:hAnsi="Calibri"/>
          <w:sz w:val="18"/>
          <w:szCs w:val="18"/>
          <w:color w:val="52575B"/>
        </w:rPr>
        <w:t>You may not engage (directly or indirectly) in any hedging or monetzaton transactons involving Company securites (including prepaid variable forward contracts, equity swaps, collars and exchange funds) or otherwise engage in transactons that hedge or ofset, or are designed to hedge or ofset, any decrease in the market value of Company securites. Hedging or monetzaton transactons may allow a stockholder to own Company securites without the full risk and rewards of ownership.</w:t>
      </w:r>
    </w:p>
    <w:p>
      <w:pPr>
        <w:spacing w:after="0" w:line="108"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iv. Trading in Margin Accounts and Pledges</w:t>
      </w:r>
    </w:p>
    <w:p>
      <w:pPr>
        <w:spacing w:after="0" w:line="45" w:lineRule="exact"/>
        <w:rPr>
          <w:sz w:val="20"/>
          <w:szCs w:val="20"/>
          <w:color w:val="auto"/>
        </w:rPr>
      </w:pPr>
    </w:p>
    <w:p>
      <w:pPr>
        <w:ind w:left="720" w:right="360"/>
        <w:spacing w:after="0" w:line="277" w:lineRule="auto"/>
        <w:rPr>
          <w:sz w:val="20"/>
          <w:szCs w:val="20"/>
          <w:color w:val="auto"/>
        </w:rPr>
      </w:pPr>
      <w:r>
        <w:rPr>
          <w:rFonts w:ascii="Calibri" w:cs="Calibri" w:eastAsia="Calibri" w:hAnsi="Calibri"/>
          <w:sz w:val="18"/>
          <w:szCs w:val="18"/>
          <w:color w:val="52575B"/>
        </w:rPr>
        <w:t>Because a margin sale or foreclosure sale may occur at a tme when the pledgor is aware of material nonpublic informaton or otherwise is not permited to trade in Company securites, you may not: (a) purchase Company securites on margin;(b) borrow against any account in which Company securites are held; or (c) pledge Company securites as collateral for a loan.</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365F"/>
        </w:rPr>
        <w:t xml:space="preserve">C. </w:t>
      </w:r>
      <w:r>
        <w:rPr>
          <w:rFonts w:ascii="Calibri" w:cs="Calibri" w:eastAsia="Calibri" w:hAnsi="Calibri"/>
          <w:sz w:val="22"/>
          <w:szCs w:val="22"/>
          <w:b w:val="1"/>
          <w:bCs w:val="1"/>
          <w:color w:val="02365F"/>
        </w:rPr>
        <w:t>Rules Concerning Transactons under Company Plans Stock Opton Exercises</w:t>
      </w:r>
    </w:p>
    <w:p>
      <w:pPr>
        <w:spacing w:after="0" w:line="29" w:lineRule="exact"/>
        <w:rPr>
          <w:sz w:val="20"/>
          <w:szCs w:val="20"/>
          <w:color w:val="auto"/>
        </w:rPr>
      </w:pPr>
    </w:p>
    <w:p>
      <w:pPr>
        <w:ind w:left="720" w:right="360"/>
        <w:spacing w:after="0" w:line="270" w:lineRule="auto"/>
        <w:rPr>
          <w:sz w:val="20"/>
          <w:szCs w:val="20"/>
          <w:color w:val="auto"/>
        </w:rPr>
      </w:pPr>
      <w:r>
        <w:rPr>
          <w:rFonts w:ascii="Calibri" w:cs="Calibri" w:eastAsia="Calibri" w:hAnsi="Calibri"/>
          <w:sz w:val="18"/>
          <w:szCs w:val="18"/>
          <w:color w:val="52575B"/>
        </w:rPr>
        <w:t>This Insider Trading Policy does not apply to your exercise of a stock opton granted to you by the Company for cash or, where permited under the terms of your opton, by a net exercise transacton with the Company. This Insider Trading Policy does apply, however, to any sale of stock as part of a broker-assisted cashless exercise of an opton, or any other market sale for the purpose of generatng the cash needed to pay the exercise price of an opton or associated taxes, or otherwise.</w:t>
      </w:r>
    </w:p>
    <w:p>
      <w:pPr>
        <w:spacing w:after="0" w:line="132"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  Restricted Stock Units (RSUs)</w:t>
      </w:r>
    </w:p>
    <w:p>
      <w:pPr>
        <w:spacing w:after="0" w:line="34" w:lineRule="exact"/>
        <w:rPr>
          <w:sz w:val="20"/>
          <w:szCs w:val="20"/>
          <w:color w:val="auto"/>
        </w:rPr>
      </w:pPr>
    </w:p>
    <w:p>
      <w:pPr>
        <w:ind w:left="720" w:right="200"/>
        <w:spacing w:after="0" w:line="260" w:lineRule="auto"/>
        <w:rPr>
          <w:sz w:val="20"/>
          <w:szCs w:val="20"/>
          <w:color w:val="auto"/>
        </w:rPr>
      </w:pPr>
      <w:r>
        <w:rPr>
          <w:rFonts w:ascii="Calibri" w:cs="Calibri" w:eastAsia="Calibri" w:hAnsi="Calibri"/>
          <w:sz w:val="18"/>
          <w:szCs w:val="18"/>
          <w:color w:val="52575B"/>
        </w:rPr>
        <w:t>This Insider Trading Policy does not apply to the vestng of RSUs granted to you by the Company, or the exercise of a tax withholding right pursuant to which you elect to have the Company withhold shares of stock to satsfy tax withholding requirements upon the vestng of any RSUs. This Insider Trading Policy does apply, however, to a sale of the Company’s common stock by you at your electon in lieu of making a cash payment to cover taxes due as a result of the vestng of RSUs and the delivery of shares to you in connecton with such vestng, as well as any other market sale, whether or not for the purpose of generatng the cash needed to pay taxes.</w:t>
      </w:r>
    </w:p>
    <w:p>
      <w:pPr>
        <w:spacing w:after="0" w:line="116"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ii. 401(K) Plan</w:t>
      </w:r>
    </w:p>
    <w:p>
      <w:pPr>
        <w:spacing w:after="0" w:line="32" w:lineRule="exact"/>
        <w:rPr>
          <w:sz w:val="20"/>
          <w:szCs w:val="20"/>
          <w:color w:val="auto"/>
        </w:rPr>
      </w:pPr>
    </w:p>
    <w:p>
      <w:pPr>
        <w:ind w:left="720" w:right="240"/>
        <w:spacing w:after="0" w:line="263" w:lineRule="auto"/>
        <w:rPr>
          <w:sz w:val="20"/>
          <w:szCs w:val="20"/>
          <w:color w:val="auto"/>
        </w:rPr>
      </w:pPr>
      <w:r>
        <w:rPr>
          <w:rFonts w:ascii="Calibri" w:cs="Calibri" w:eastAsia="Calibri" w:hAnsi="Calibri"/>
          <w:sz w:val="18"/>
          <w:szCs w:val="18"/>
          <w:color w:val="52575B"/>
        </w:rPr>
        <w:t>This Insider Trading Policy applies to an electon by you to make any intra-plan transfer out of the Company stock fund within the 401(k) Plan (to the extent such transfers are otherwise permited under the 401(k) Plan). This Insider Trading Policy also applies to an electon to borrow money against your 401(k) Plan account if the loan would result in a liquidaton of some or all of your Company stock held in your 401(k) Plan account, and to the repayment of a plan loan if some or all of the payments would be allocated to the Company stock fund.</w:t>
      </w:r>
    </w:p>
    <w:p>
      <w:pPr>
        <w:spacing w:after="0" w:line="112"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iii. Employee Stock Purchase Plan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20"/>
                <w:szCs w:val="20"/>
                <w:color w:val="auto"/>
              </w:rPr>
            </w:pPr>
            <w:r>
              <w:rPr>
                <w:rFonts w:ascii="Calibri" w:cs="Calibri" w:eastAsia="Calibri" w:hAnsi="Calibri"/>
                <w:sz w:val="13"/>
                <w:szCs w:val="13"/>
                <w:color w:val="A8ABAD"/>
              </w:rPr>
              <w:t>PRIVILEGED AND CONFIDENTIAL — FOR INTERNAL USE ONLY — NOT FOR DISTRIBUTION</w:t>
            </w:r>
          </w:p>
        </w:tc>
        <w:tc>
          <w:tcPr>
            <w:tcW w:w="740" w:type="dxa"/>
            <w:vAlign w:val="bottom"/>
          </w:tcPr>
          <w:p>
            <w:pPr>
              <w:jc w:val="right"/>
              <w:spacing w:after="0"/>
              <w:rPr>
                <w:sz w:val="20"/>
                <w:szCs w:val="20"/>
                <w:color w:val="auto"/>
              </w:rPr>
            </w:pPr>
            <w:r>
              <w:rPr>
                <w:rFonts w:ascii="Calibri" w:cs="Calibri" w:eastAsia="Calibri" w:hAnsi="Calibri"/>
                <w:sz w:val="13"/>
                <w:szCs w:val="13"/>
                <w:color w:val="A8ABAD"/>
              </w:rPr>
              <w:t>6</w:t>
            </w:r>
          </w:p>
        </w:tc>
      </w:tr>
    </w:tbl>
    <w:p>
      <w:pPr>
        <w:sectPr>
          <w:pgSz w:w="11900" w:h="16838" w:orient="portrait"/>
          <w:cols w:equalWidth="0" w:num="1">
            <w:col w:w="11200"/>
          </w:cols>
          <w:pgMar w:left="360" w:top="99" w:right="339" w:bottom="1440" w:gutter="0" w:footer="0" w:header="0"/>
        </w:sectPr>
      </w:pPr>
    </w:p>
    <w:bookmarkStart w:id="138" w:name="page139"/>
    <w:bookmarkEnd w:id="138"/>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369" w:lineRule="exact"/>
        <w:rPr>
          <w:sz w:val="20"/>
          <w:szCs w:val="20"/>
          <w:color w:val="auto"/>
        </w:rPr>
      </w:pPr>
    </w:p>
    <w:p>
      <w:pPr>
        <w:ind w:left="720" w:right="180"/>
        <w:spacing w:after="0" w:line="284" w:lineRule="auto"/>
        <w:rPr>
          <w:sz w:val="20"/>
          <w:szCs w:val="20"/>
          <w:color w:val="auto"/>
        </w:rPr>
      </w:pPr>
      <w:r>
        <w:rPr>
          <w:rFonts w:ascii="Calibri" w:cs="Calibri" w:eastAsia="Calibri" w:hAnsi="Calibri"/>
          <w:sz w:val="18"/>
          <w:szCs w:val="18"/>
          <w:color w:val="52575B"/>
        </w:rPr>
        <w:t>This Insider Trading Policy does not apply to the purchase of Company stock under the Employee Stock Purchase Plan resultng from your periodic contributons of money to the plan. This Insider Trading Policy does apply, however, to the subsequent sale of any stock acquired through the Company’s Employee Stock Purchase Plan.</w:t>
      </w:r>
    </w:p>
    <w:p>
      <w:pPr>
        <w:spacing w:after="0" w:line="361"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365F"/>
        </w:rPr>
        <w:t xml:space="preserve">D. </w:t>
      </w:r>
      <w:r>
        <w:rPr>
          <w:rFonts w:ascii="Calibri" w:cs="Calibri" w:eastAsia="Calibri" w:hAnsi="Calibri"/>
          <w:sz w:val="22"/>
          <w:szCs w:val="22"/>
          <w:b w:val="1"/>
          <w:bCs w:val="1"/>
          <w:color w:val="02365F"/>
        </w:rPr>
        <w:t>Rules Concerning Certain Other Transactons</w:t>
      </w:r>
    </w:p>
    <w:p>
      <w:pPr>
        <w:spacing w:after="0" w:line="112"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  Gifs</w:t>
      </w:r>
    </w:p>
    <w:p>
      <w:pPr>
        <w:ind w:left="720" w:right="140"/>
        <w:spacing w:after="0" w:line="259" w:lineRule="auto"/>
        <w:rPr>
          <w:sz w:val="20"/>
          <w:szCs w:val="20"/>
          <w:color w:val="auto"/>
        </w:rPr>
      </w:pPr>
      <w:r>
        <w:rPr>
          <w:rFonts w:ascii="Calibri" w:cs="Calibri" w:eastAsia="Calibri" w:hAnsi="Calibri"/>
          <w:sz w:val="18"/>
          <w:szCs w:val="18"/>
          <w:color w:val="52575B"/>
        </w:rPr>
        <w:t>Gifs of securites may include gifs to trusts for estate planning purposes, as well as donatons to a charitable organizaton. Whether a gif of securites is a transacton that should be avoided while the person making the gif is aware of material non-public informaton or is a Designated Insider (as defned below) subject to a blackout period, as set forth in Secton 4.A (“Trading Windows and Blackout Periods”) of this Insider Trading Policy, may depend on various circumstances surrounding the gif, and accordingly you are encouraged to consult the SCC when contemplatng a gif. In additon, a Designated Insider contemplatng a gif outside of an open trading window will be required to: (a) pre-clear the gif transacton with the SCC (even if you are not a Secton 16 Filer (as defned below) normally subject to the pre-clearance requirements under this Insider Trading Policy); and (b) obtain writen certfcaton from the recipient that such recipient will not sell the securites untl the next open trading window.</w:t>
      </w:r>
    </w:p>
    <w:p>
      <w:pPr>
        <w:spacing w:after="0" w:line="143"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ii. Other Transactons</w:t>
      </w:r>
    </w:p>
    <w:p>
      <w:pPr>
        <w:spacing w:after="0" w:line="72" w:lineRule="exact"/>
        <w:rPr>
          <w:sz w:val="20"/>
          <w:szCs w:val="20"/>
          <w:color w:val="auto"/>
        </w:rPr>
      </w:pPr>
    </w:p>
    <w:p>
      <w:pPr>
        <w:ind w:left="720" w:right="760"/>
        <w:spacing w:after="0" w:line="274" w:lineRule="auto"/>
        <w:rPr>
          <w:sz w:val="20"/>
          <w:szCs w:val="20"/>
          <w:color w:val="auto"/>
        </w:rPr>
      </w:pPr>
      <w:r>
        <w:rPr>
          <w:rFonts w:ascii="Calibri" w:cs="Calibri" w:eastAsia="Calibri" w:hAnsi="Calibri"/>
          <w:sz w:val="18"/>
          <w:szCs w:val="18"/>
          <w:color w:val="52575B"/>
        </w:rPr>
        <w:t>Transfers by will or the laws of descent and distributon, and transactons in mutual funds that are invested in Company securites, are not transactons subject to this Insider Trading Policy.</w:t>
      </w:r>
    </w:p>
    <w:p>
      <w:pPr>
        <w:spacing w:after="0" w:line="143" w:lineRule="exact"/>
        <w:rPr>
          <w:sz w:val="20"/>
          <w:szCs w:val="20"/>
          <w:color w:val="auto"/>
        </w:rPr>
      </w:pPr>
    </w:p>
    <w:p>
      <w:pPr>
        <w:ind w:left="840" w:hanging="278"/>
        <w:spacing w:after="0"/>
        <w:tabs>
          <w:tab w:leader="none" w:pos="840" w:val="left"/>
        </w:tabs>
        <w:numPr>
          <w:ilvl w:val="0"/>
          <w:numId w:val="53"/>
        </w:numPr>
        <w:rPr>
          <w:rFonts w:ascii="Arial" w:cs="Arial" w:eastAsia="Arial" w:hAnsi="Arial"/>
          <w:sz w:val="22"/>
          <w:szCs w:val="22"/>
          <w:b w:val="1"/>
          <w:bCs w:val="1"/>
          <w:color w:val="00365F"/>
        </w:rPr>
      </w:pPr>
      <w:r>
        <w:rPr>
          <w:rFonts w:ascii="Calibri" w:cs="Calibri" w:eastAsia="Calibri" w:hAnsi="Calibri"/>
          <w:sz w:val="22"/>
          <w:szCs w:val="22"/>
          <w:b w:val="1"/>
          <w:bCs w:val="1"/>
          <w:color w:val="02365F"/>
        </w:rPr>
        <w:t>Responding to Investor Inquiries for Information</w:t>
      </w:r>
    </w:p>
    <w:p>
      <w:pPr>
        <w:spacing w:after="0" w:line="32" w:lineRule="exact"/>
        <w:rPr>
          <w:sz w:val="20"/>
          <w:szCs w:val="20"/>
          <w:color w:val="auto"/>
        </w:rPr>
      </w:pPr>
    </w:p>
    <w:p>
      <w:pPr>
        <w:ind w:left="560" w:right="340"/>
        <w:spacing w:after="0" w:line="259" w:lineRule="auto"/>
        <w:rPr>
          <w:sz w:val="20"/>
          <w:szCs w:val="20"/>
          <w:color w:val="auto"/>
        </w:rPr>
      </w:pPr>
      <w:r>
        <w:rPr>
          <w:rFonts w:ascii="Calibri" w:cs="Calibri" w:eastAsia="Calibri" w:hAnsi="Calibri"/>
          <w:sz w:val="18"/>
          <w:szCs w:val="18"/>
          <w:color w:val="52575B"/>
        </w:rPr>
        <w:t>In the event that you receive an investment inquiry from someone outside the Company, you should refer the inquiry to the Company’s Investor Relatons Department. The Company is required under Regulaton FD (Fair Disclosure) of the federal securites laws to avoid the selectve disclosure of material non-public informaton. In general, the regulaton provides that when a public company discloses material non-public informaton, it must simultaneously disseminate that informaton in a broad, non-exclusionary manner. Violatons of this regulaton can subject you and the Company to SEC enforcement actons, which may result in injunctons and severe monetary penaltes. The Company has established procedures for releasing material informaton in a manner that is designed to achieve broad public disseminaton of the informaton immediately upon its release.</w:t>
      </w:r>
    </w:p>
    <w:p>
      <w:pPr>
        <w:spacing w:after="0" w:line="279" w:lineRule="exact"/>
        <w:rPr>
          <w:sz w:val="20"/>
          <w:szCs w:val="20"/>
          <w:color w:val="auto"/>
        </w:rPr>
      </w:pPr>
    </w:p>
    <w:p>
      <w:pPr>
        <w:ind w:left="560" w:hanging="485"/>
        <w:spacing w:after="0"/>
        <w:tabs>
          <w:tab w:leader="none" w:pos="560" w:val="left"/>
        </w:tabs>
        <w:numPr>
          <w:ilvl w:val="0"/>
          <w:numId w:val="54"/>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Trading Procedures for Designated Insiders and Others</w:t>
      </w:r>
    </w:p>
    <w:p>
      <w:pPr>
        <w:spacing w:after="0" w:line="280" w:lineRule="exact"/>
        <w:rPr>
          <w:sz w:val="20"/>
          <w:szCs w:val="20"/>
          <w:color w:val="auto"/>
        </w:rPr>
      </w:pPr>
    </w:p>
    <w:p>
      <w:pPr>
        <w:ind w:left="560" w:right="160"/>
        <w:spacing w:after="0" w:line="259" w:lineRule="auto"/>
        <w:rPr>
          <w:sz w:val="20"/>
          <w:szCs w:val="20"/>
          <w:color w:val="auto"/>
        </w:rPr>
      </w:pPr>
      <w:r>
        <w:rPr>
          <w:rFonts w:ascii="Calibri" w:cs="Calibri" w:eastAsia="Calibri" w:hAnsi="Calibri"/>
          <w:sz w:val="18"/>
          <w:szCs w:val="18"/>
          <w:color w:val="52575B"/>
        </w:rPr>
        <w:t>Because certain people have regular access to material non-public informaton, we have adopted additonal procedures governing when these individuals may transact in Company securites. These individuals include directors and executve ofcers (including those subject to the requirements of Secton 16 of the Exchange Act, collectvely referred to as “Secton 16 Filers”) and certain other employees as designated from tme to tme by the SCC. We refer to all such individuals as “Designated Insiders.” However, any employee or other individual who is aware of material non-material informaton, regardless of status as a Designated Insider, is prohibited from transactng in Company securites or engaging in the other actvites specifed in Secton 3.A (“No Trading, Improper Disclosures, or Actng on Material Non-Public Informaton”) and elsewhere in this Insider Trading Policy.</w:t>
      </w:r>
    </w:p>
    <w:p>
      <w:pPr>
        <w:spacing w:after="0" w:line="146" w:lineRule="exact"/>
        <w:rPr>
          <w:sz w:val="20"/>
          <w:szCs w:val="20"/>
          <w:color w:val="auto"/>
        </w:rPr>
      </w:pPr>
    </w:p>
    <w:p>
      <w:pPr>
        <w:ind w:left="840" w:hanging="278"/>
        <w:spacing w:after="0"/>
        <w:tabs>
          <w:tab w:leader="none" w:pos="840" w:val="left"/>
        </w:tabs>
        <w:numPr>
          <w:ilvl w:val="0"/>
          <w:numId w:val="55"/>
        </w:numPr>
        <w:rPr>
          <w:rFonts w:ascii="Arial" w:cs="Arial" w:eastAsia="Arial" w:hAnsi="Arial"/>
          <w:sz w:val="22"/>
          <w:szCs w:val="22"/>
          <w:b w:val="1"/>
          <w:bCs w:val="1"/>
          <w:color w:val="00365F"/>
        </w:rPr>
      </w:pPr>
      <w:r>
        <w:rPr>
          <w:rFonts w:ascii="Calibri" w:cs="Calibri" w:eastAsia="Calibri" w:hAnsi="Calibri"/>
          <w:sz w:val="22"/>
          <w:szCs w:val="22"/>
          <w:b w:val="1"/>
          <w:bCs w:val="1"/>
          <w:color w:val="02365F"/>
        </w:rPr>
        <w:t>Trading Windows and Blackout Periods Quarterly Trading Window</w:t>
      </w:r>
    </w:p>
    <w:p>
      <w:pPr>
        <w:ind w:left="720"/>
        <w:spacing w:after="0" w:line="225" w:lineRule="auto"/>
        <w:rPr>
          <w:sz w:val="20"/>
          <w:szCs w:val="20"/>
          <w:color w:val="auto"/>
        </w:rPr>
      </w:pPr>
      <w:r>
        <w:rPr>
          <w:rFonts w:ascii="Calibri" w:cs="Calibri" w:eastAsia="Calibri" w:hAnsi="Calibri"/>
          <w:sz w:val="18"/>
          <w:szCs w:val="18"/>
          <w:color w:val="52575B"/>
        </w:rPr>
        <w:t>Designated Insiders may not conduct transactons in Company securites, except during the following “window” periods:</w:t>
      </w:r>
    </w:p>
    <w:p>
      <w:pPr>
        <w:spacing w:after="0" w:line="190" w:lineRule="exact"/>
        <w:rPr>
          <w:sz w:val="20"/>
          <w:szCs w:val="20"/>
          <w:color w:val="auto"/>
        </w:rPr>
      </w:pPr>
    </w:p>
    <w:p>
      <w:pPr>
        <w:ind w:left="960" w:right="560" w:hanging="236"/>
        <w:spacing w:after="0" w:line="281" w:lineRule="auto"/>
        <w:tabs>
          <w:tab w:leader="none" w:pos="955" w:val="left"/>
        </w:tabs>
        <w:numPr>
          <w:ilvl w:val="0"/>
          <w:numId w:val="56"/>
        </w:numPr>
        <w:rPr>
          <w:rFonts w:ascii="Arial" w:cs="Arial" w:eastAsia="Arial" w:hAnsi="Arial"/>
          <w:sz w:val="17"/>
          <w:szCs w:val="17"/>
          <w:color w:val="52575B"/>
        </w:rPr>
      </w:pPr>
      <w:r>
        <w:rPr>
          <w:rFonts w:ascii="Calibri" w:cs="Calibri" w:eastAsia="Calibri" w:hAnsi="Calibri"/>
          <w:sz w:val="17"/>
          <w:szCs w:val="17"/>
          <w:color w:val="52575B"/>
        </w:rPr>
        <w:t>Tier 1 Designated Insiders. Unless shortened or lengthened by the SCC, each “window” period shall commence one (1) full trading day afer the Company issues its press release announcing quarterly or year-end fnancial results, and end on the later of (x) the last business</w:t>
      </w:r>
    </w:p>
    <w:p>
      <w:pPr>
        <w:ind w:left="960" w:right="420"/>
        <w:spacing w:after="0" w:line="255" w:lineRule="auto"/>
        <w:rPr>
          <w:rFonts w:ascii="Arial" w:cs="Arial" w:eastAsia="Arial" w:hAnsi="Arial"/>
          <w:sz w:val="17"/>
          <w:szCs w:val="17"/>
          <w:color w:val="52575B"/>
        </w:rPr>
      </w:pPr>
      <w:r>
        <w:rPr>
          <w:rFonts w:ascii="Calibri" w:cs="Calibri" w:eastAsia="Calibri" w:hAnsi="Calibri"/>
          <w:sz w:val="18"/>
          <w:szCs w:val="18"/>
          <w:color w:val="52575B"/>
        </w:rPr>
        <w:t>day of the second calendar month of each fscal quarter or (y) ten (10) trading days afer the window opens, provided that the “window” period shall only commence if the press release includes adequate comment on new developments during the period and that no material non-public informaton not disclosed in the press release exists (as determined by the SCC).</w:t>
      </w:r>
    </w:p>
    <w:p>
      <w:pPr>
        <w:spacing w:after="0" w:line="190" w:lineRule="exact"/>
        <w:rPr>
          <w:rFonts w:ascii="Arial" w:cs="Arial" w:eastAsia="Arial" w:hAnsi="Arial"/>
          <w:sz w:val="17"/>
          <w:szCs w:val="17"/>
          <w:color w:val="52575B"/>
        </w:rPr>
      </w:pPr>
    </w:p>
    <w:p>
      <w:pPr>
        <w:ind w:left="960" w:right="380" w:hanging="236"/>
        <w:spacing w:after="0" w:line="255" w:lineRule="auto"/>
        <w:tabs>
          <w:tab w:leader="none" w:pos="955" w:val="left"/>
        </w:tabs>
        <w:numPr>
          <w:ilvl w:val="0"/>
          <w:numId w:val="56"/>
        </w:numPr>
        <w:rPr>
          <w:rFonts w:ascii="Arial" w:cs="Arial" w:eastAsia="Arial" w:hAnsi="Arial"/>
          <w:sz w:val="18"/>
          <w:szCs w:val="18"/>
          <w:color w:val="52575B"/>
        </w:rPr>
      </w:pPr>
      <w:r>
        <w:rPr>
          <w:rFonts w:ascii="Calibri" w:cs="Calibri" w:eastAsia="Calibri" w:hAnsi="Calibri"/>
          <w:sz w:val="18"/>
          <w:szCs w:val="18"/>
          <w:color w:val="52575B"/>
        </w:rPr>
        <w:t>Tier 2 Designated Insiders. Unless shortened or lengthened by the SCC, each “window” period shall commence one (1) full trading day afer the Company issues its press release announcing quarterly or year-end fnancial results, and end on the last business day of each fscal quarter, provided that the “window” period shall only commence if the press</w:t>
      </w:r>
    </w:p>
    <w:p>
      <w:pPr>
        <w:sectPr>
          <w:pgSz w:w="11900" w:h="16838" w:orient="portrait"/>
          <w:cols w:equalWidth="0" w:num="1">
            <w:col w:w="11200"/>
          </w:cols>
          <w:pgMar w:left="360" w:top="99" w:right="339" w:bottom="1440" w:gutter="0" w:footer="0" w:header="0"/>
        </w:sectPr>
      </w:pPr>
    </w:p>
    <w:p>
      <w:pPr>
        <w:spacing w:after="0" w:line="98" w:lineRule="exact"/>
        <w:rPr>
          <w:sz w:val="20"/>
          <w:szCs w:val="20"/>
          <w:color w:val="auto"/>
        </w:rPr>
      </w:pPr>
    </w:p>
    <w:p>
      <w:pPr>
        <w:spacing w:after="0"/>
        <w:tabs>
          <w:tab w:leader="none" w:pos="5780" w:val="left"/>
        </w:tabs>
        <w:rPr>
          <w:sz w:val="20"/>
          <w:szCs w:val="20"/>
          <w:color w:val="auto"/>
        </w:rPr>
      </w:pPr>
      <w:r>
        <w:rPr>
          <w:rFonts w:ascii="Calibri" w:cs="Calibri" w:eastAsia="Calibri" w:hAnsi="Calibri"/>
          <w:sz w:val="13"/>
          <w:szCs w:val="13"/>
          <w:color w:val="A8ABAD"/>
        </w:rPr>
        <w:t>PRIVILEGED AND CONFIDENTIAL — FOR INTERNAL USE ONLY — NOT FOR DISTRIBUTION</w:t>
      </w:r>
      <w:r>
        <w:rPr>
          <w:sz w:val="20"/>
          <w:szCs w:val="20"/>
          <w:color w:val="auto"/>
        </w:rPr>
        <w:tab/>
      </w:r>
      <w:r>
        <w:rPr>
          <w:rFonts w:ascii="Calibri" w:cs="Calibri" w:eastAsia="Calibri" w:hAnsi="Calibri"/>
          <w:sz w:val="10"/>
          <w:szCs w:val="10"/>
          <w:color w:val="A8ABAD"/>
        </w:rPr>
        <w:t>7</w:t>
      </w:r>
    </w:p>
    <w:p>
      <w:pPr>
        <w:sectPr>
          <w:pgSz w:w="11900" w:h="16838" w:orient="portrait"/>
          <w:cols w:equalWidth="0" w:num="1">
            <w:col w:w="11200"/>
          </w:cols>
          <w:pgMar w:left="360" w:top="99" w:right="339" w:bottom="1440" w:gutter="0" w:footer="0" w:header="0"/>
          <w:type w:val="continuous"/>
        </w:sectPr>
      </w:pPr>
    </w:p>
    <w:bookmarkStart w:id="139" w:name="page140"/>
    <w:bookmarkEnd w:id="139"/>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60" w:right="420"/>
        <w:spacing w:after="0" w:line="260" w:lineRule="auto"/>
        <w:rPr>
          <w:sz w:val="20"/>
          <w:szCs w:val="20"/>
          <w:color w:val="auto"/>
        </w:rPr>
      </w:pPr>
      <w:r>
        <w:rPr>
          <w:rFonts w:ascii="Calibri" w:cs="Calibri" w:eastAsia="Calibri" w:hAnsi="Calibri"/>
          <w:sz w:val="18"/>
          <w:szCs w:val="18"/>
          <w:color w:val="52575B"/>
        </w:rPr>
        <w:t>release includes adequate comment on new developments during the period and that no material non-public informaton not disclosed in the press release exists (as determined by the SCC).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spacing w:after="0"/>
        <w:rPr>
          <w:sz w:val="20"/>
          <w:szCs w:val="20"/>
          <w:color w:val="auto"/>
        </w:rPr>
      </w:pPr>
      <w:r>
        <w:rPr>
          <w:rFonts w:ascii="Calibri" w:cs="Calibri" w:eastAsia="Calibri" w:hAnsi="Calibri"/>
          <w:sz w:val="18"/>
          <w:szCs w:val="18"/>
          <w:b w:val="1"/>
          <w:bCs w:val="1"/>
          <w:color w:val="52575B"/>
        </w:rPr>
        <w:t>Examples:</w:t>
      </w:r>
    </w:p>
    <w:p>
      <w:pPr>
        <w:spacing w:after="0" w:line="307" w:lineRule="exact"/>
        <w:rPr>
          <w:sz w:val="20"/>
          <w:szCs w:val="20"/>
          <w:color w:val="auto"/>
        </w:rPr>
      </w:pPr>
    </w:p>
    <w:tbl>
      <w:tblPr>
        <w:tblLayout w:type="fixed"/>
        <w:tblInd w:w="750" w:type="dxa"/>
        <w:tblCellMar>
          <w:top w:w="0" w:type="dxa"/>
          <w:left w:w="0" w:type="dxa"/>
          <w:bottom w:w="0" w:type="dxa"/>
          <w:right w:w="0" w:type="dxa"/>
        </w:tblCellMar>
      </w:tblPr>
      <w:tr>
        <w:trPr>
          <w:trHeight w:val="545"/>
        </w:trPr>
        <w:tc>
          <w:tcPr>
            <w:tcW w:w="4820" w:type="dxa"/>
            <w:vAlign w:val="bottom"/>
            <w:tcBorders>
              <w:left w:val="single" w:sz="8" w:color="52575B"/>
              <w:bottom w:val="single" w:sz="8" w:color="00365F"/>
              <w:right w:val="single" w:sz="8" w:color="231F20"/>
            </w:tcBorders>
            <w:shd w:val="clear" w:color="auto" w:fill="00365F"/>
          </w:tcPr>
          <w:p>
            <w:pPr>
              <w:jc w:val="center"/>
              <w:spacing w:after="0"/>
              <w:rPr>
                <w:sz w:val="20"/>
                <w:szCs w:val="20"/>
                <w:color w:val="auto"/>
              </w:rPr>
            </w:pPr>
            <w:r>
              <w:rPr>
                <w:rFonts w:ascii="Calibri" w:cs="Calibri" w:eastAsia="Calibri" w:hAnsi="Calibri"/>
                <w:sz w:val="18"/>
                <w:szCs w:val="18"/>
                <w:color w:val="FFFFFF"/>
                <w:w w:val="98"/>
              </w:rPr>
              <w:t>If the informaton is announced pre-market</w:t>
            </w:r>
          </w:p>
        </w:tc>
        <w:tc>
          <w:tcPr>
            <w:tcW w:w="4140" w:type="dxa"/>
            <w:vAlign w:val="bottom"/>
            <w:tcBorders>
              <w:bottom w:val="single" w:sz="8" w:color="00365F"/>
              <w:right w:val="single" w:sz="8" w:color="52575B"/>
            </w:tcBorders>
            <w:shd w:val="clear" w:color="auto" w:fill="00365F"/>
          </w:tcPr>
          <w:p>
            <w:pPr>
              <w:jc w:val="center"/>
              <w:spacing w:after="0"/>
              <w:rPr>
                <w:sz w:val="20"/>
                <w:szCs w:val="20"/>
                <w:color w:val="auto"/>
              </w:rPr>
            </w:pPr>
            <w:r>
              <w:rPr>
                <w:rFonts w:ascii="Calibri" w:cs="Calibri" w:eastAsia="Calibri" w:hAnsi="Calibri"/>
                <w:sz w:val="18"/>
                <w:szCs w:val="18"/>
                <w:color w:val="F1F3F4"/>
                <w:w w:val="95"/>
              </w:rPr>
              <w:t>You may begin trading</w:t>
            </w:r>
          </w:p>
        </w:tc>
      </w:tr>
      <w:tr>
        <w:trPr>
          <w:trHeight w:val="267"/>
        </w:trPr>
        <w:tc>
          <w:tcPr>
            <w:tcW w:w="4820" w:type="dxa"/>
            <w:vAlign w:val="bottom"/>
            <w:tcBorders>
              <w:top w:val="single" w:sz="8" w:color="231F20"/>
              <w:left w:val="single" w:sz="8" w:color="52575B"/>
              <w:right w:val="single" w:sz="8" w:color="231F20"/>
            </w:tcBorders>
          </w:tcPr>
          <w:p>
            <w:pPr>
              <w:jc w:val="center"/>
              <w:spacing w:after="0"/>
              <w:rPr>
                <w:sz w:val="20"/>
                <w:szCs w:val="20"/>
                <w:color w:val="auto"/>
              </w:rPr>
            </w:pPr>
            <w:r>
              <w:rPr>
                <w:rFonts w:ascii="Calibri" w:cs="Calibri" w:eastAsia="Calibri" w:hAnsi="Calibri"/>
                <w:sz w:val="18"/>
                <w:szCs w:val="18"/>
                <w:color w:val="52575B"/>
                <w:w w:val="95"/>
              </w:rPr>
              <w:t>Monday</w:t>
            </w:r>
          </w:p>
        </w:tc>
        <w:tc>
          <w:tcPr>
            <w:tcW w:w="4140" w:type="dxa"/>
            <w:vAlign w:val="bottom"/>
            <w:tcBorders>
              <w:top w:val="single" w:sz="8" w:color="231F20"/>
              <w:right w:val="single" w:sz="8" w:color="52575B"/>
            </w:tcBorders>
          </w:tcPr>
          <w:p>
            <w:pPr>
              <w:jc w:val="center"/>
              <w:spacing w:after="0"/>
              <w:rPr>
                <w:sz w:val="20"/>
                <w:szCs w:val="20"/>
                <w:color w:val="auto"/>
              </w:rPr>
            </w:pPr>
            <w:r>
              <w:rPr>
                <w:rFonts w:ascii="Calibri" w:cs="Calibri" w:eastAsia="Calibri" w:hAnsi="Calibri"/>
                <w:sz w:val="18"/>
                <w:szCs w:val="18"/>
                <w:color w:val="52575B"/>
                <w:w w:val="92"/>
              </w:rPr>
              <w:t>Tuesday</w:t>
            </w:r>
          </w:p>
        </w:tc>
      </w:tr>
      <w:tr>
        <w:trPr>
          <w:trHeight w:val="37"/>
        </w:trPr>
        <w:tc>
          <w:tcPr>
            <w:tcW w:w="4820" w:type="dxa"/>
            <w:vAlign w:val="bottom"/>
            <w:tcBorders>
              <w:left w:val="single" w:sz="8" w:color="52575B"/>
              <w:bottom w:val="single" w:sz="8" w:color="52575B"/>
              <w:right w:val="single" w:sz="8" w:color="231F20"/>
            </w:tcBorders>
          </w:tcPr>
          <w:p>
            <w:pPr>
              <w:spacing w:after="0"/>
              <w:rPr>
                <w:sz w:val="3"/>
                <w:szCs w:val="3"/>
                <w:color w:val="auto"/>
              </w:rPr>
            </w:pPr>
          </w:p>
        </w:tc>
        <w:tc>
          <w:tcPr>
            <w:tcW w:w="4140" w:type="dxa"/>
            <w:vAlign w:val="bottom"/>
            <w:tcBorders>
              <w:bottom w:val="single" w:sz="8" w:color="52575B"/>
              <w:right w:val="single" w:sz="8" w:color="52575B"/>
            </w:tcBorders>
          </w:tcPr>
          <w:p>
            <w:pPr>
              <w:spacing w:after="0"/>
              <w:rPr>
                <w:sz w:val="3"/>
                <w:szCs w:val="3"/>
                <w:color w:val="auto"/>
              </w:rPr>
            </w:pPr>
          </w:p>
        </w:tc>
      </w:tr>
      <w:tr>
        <w:trPr>
          <w:trHeight w:val="309"/>
        </w:trPr>
        <w:tc>
          <w:tcPr>
            <w:tcW w:w="4820" w:type="dxa"/>
            <w:vAlign w:val="bottom"/>
            <w:tcBorders>
              <w:left w:val="single" w:sz="8" w:color="52575B"/>
              <w:bottom w:val="single" w:sz="8" w:color="E5EAEF"/>
              <w:right w:val="single" w:sz="8" w:color="231F20"/>
            </w:tcBorders>
            <w:shd w:val="clear" w:color="auto" w:fill="E5EAEF"/>
          </w:tcPr>
          <w:p>
            <w:pPr>
              <w:jc w:val="center"/>
              <w:spacing w:after="0"/>
              <w:rPr>
                <w:sz w:val="20"/>
                <w:szCs w:val="20"/>
                <w:color w:val="auto"/>
              </w:rPr>
            </w:pPr>
            <w:r>
              <w:rPr>
                <w:rFonts w:ascii="Calibri" w:cs="Calibri" w:eastAsia="Calibri" w:hAnsi="Calibri"/>
                <w:sz w:val="18"/>
                <w:szCs w:val="18"/>
                <w:color w:val="231F20"/>
                <w:w w:val="93"/>
              </w:rPr>
              <w:t>Friday</w:t>
            </w:r>
          </w:p>
        </w:tc>
        <w:tc>
          <w:tcPr>
            <w:tcW w:w="4140" w:type="dxa"/>
            <w:vAlign w:val="bottom"/>
            <w:tcBorders>
              <w:bottom w:val="single" w:sz="8" w:color="E5EAEF"/>
              <w:right w:val="single" w:sz="8" w:color="52575B"/>
            </w:tcBorders>
            <w:shd w:val="clear" w:color="auto" w:fill="E5EAEF"/>
          </w:tcPr>
          <w:p>
            <w:pPr>
              <w:jc w:val="center"/>
              <w:spacing w:after="0"/>
              <w:rPr>
                <w:sz w:val="20"/>
                <w:szCs w:val="20"/>
                <w:color w:val="auto"/>
              </w:rPr>
            </w:pPr>
            <w:r>
              <w:rPr>
                <w:rFonts w:ascii="Calibri" w:cs="Calibri" w:eastAsia="Calibri" w:hAnsi="Calibri"/>
                <w:sz w:val="18"/>
                <w:szCs w:val="18"/>
                <w:color w:val="231F20"/>
                <w:w w:val="99"/>
              </w:rPr>
              <w:t>Monday</w:t>
            </w:r>
          </w:p>
        </w:tc>
      </w:tr>
      <w:tr>
        <w:trPr>
          <w:trHeight w:val="267"/>
        </w:trPr>
        <w:tc>
          <w:tcPr>
            <w:tcW w:w="4820" w:type="dxa"/>
            <w:vAlign w:val="bottom"/>
            <w:tcBorders>
              <w:top w:val="single" w:sz="8" w:color="52575B"/>
              <w:left w:val="single" w:sz="8" w:color="52575B"/>
              <w:right w:val="single" w:sz="8" w:color="231F20"/>
            </w:tcBorders>
          </w:tcPr>
          <w:p>
            <w:pPr>
              <w:jc w:val="center"/>
              <w:spacing w:after="0"/>
              <w:rPr>
                <w:sz w:val="20"/>
                <w:szCs w:val="20"/>
                <w:color w:val="auto"/>
              </w:rPr>
            </w:pPr>
            <w:r>
              <w:rPr>
                <w:rFonts w:ascii="Calibri" w:cs="Calibri" w:eastAsia="Calibri" w:hAnsi="Calibri"/>
                <w:sz w:val="18"/>
                <w:szCs w:val="18"/>
                <w:color w:val="52575B"/>
                <w:w w:val="96"/>
              </w:rPr>
              <w:t>Friday before a Monday holiday</w:t>
            </w:r>
          </w:p>
        </w:tc>
        <w:tc>
          <w:tcPr>
            <w:tcW w:w="4140" w:type="dxa"/>
            <w:vAlign w:val="bottom"/>
            <w:tcBorders>
              <w:top w:val="single" w:sz="8" w:color="52575B"/>
              <w:right w:val="single" w:sz="8" w:color="52575B"/>
            </w:tcBorders>
          </w:tcPr>
          <w:p>
            <w:pPr>
              <w:jc w:val="center"/>
              <w:spacing w:after="0"/>
              <w:rPr>
                <w:sz w:val="20"/>
                <w:szCs w:val="20"/>
                <w:color w:val="auto"/>
              </w:rPr>
            </w:pPr>
            <w:r>
              <w:rPr>
                <w:rFonts w:ascii="Calibri" w:cs="Calibri" w:eastAsia="Calibri" w:hAnsi="Calibri"/>
                <w:sz w:val="18"/>
                <w:szCs w:val="18"/>
                <w:color w:val="52575B"/>
                <w:w w:val="92"/>
              </w:rPr>
              <w:t>Tuesday</w:t>
            </w:r>
          </w:p>
        </w:tc>
      </w:tr>
      <w:tr>
        <w:trPr>
          <w:trHeight w:val="37"/>
        </w:trPr>
        <w:tc>
          <w:tcPr>
            <w:tcW w:w="4820" w:type="dxa"/>
            <w:vAlign w:val="bottom"/>
            <w:tcBorders>
              <w:left w:val="single" w:sz="8" w:color="52575B"/>
              <w:bottom w:val="single" w:sz="8" w:color="231F20"/>
              <w:right w:val="single" w:sz="8" w:color="231F20"/>
            </w:tcBorders>
          </w:tcPr>
          <w:p>
            <w:pPr>
              <w:spacing w:after="0"/>
              <w:rPr>
                <w:sz w:val="3"/>
                <w:szCs w:val="3"/>
                <w:color w:val="auto"/>
              </w:rPr>
            </w:pPr>
          </w:p>
        </w:tc>
        <w:tc>
          <w:tcPr>
            <w:tcW w:w="4140" w:type="dxa"/>
            <w:vAlign w:val="bottom"/>
            <w:tcBorders>
              <w:bottom w:val="single" w:sz="8" w:color="231F20"/>
              <w:right w:val="single" w:sz="8" w:color="52575B"/>
            </w:tcBorders>
          </w:tcPr>
          <w:p>
            <w:pPr>
              <w:spacing w:after="0"/>
              <w:rPr>
                <w:sz w:val="3"/>
                <w:szCs w:val="3"/>
                <w:color w:val="auto"/>
              </w:rPr>
            </w:pPr>
          </w:p>
        </w:tc>
      </w:tr>
      <w:tr>
        <w:trPr>
          <w:trHeight w:val="444"/>
        </w:trPr>
        <w:tc>
          <w:tcPr>
            <w:tcW w:w="4820" w:type="dxa"/>
            <w:vAlign w:val="bottom"/>
            <w:tcBorders>
              <w:left w:val="single" w:sz="8" w:color="52575B"/>
              <w:bottom w:val="single" w:sz="8" w:color="00365F"/>
              <w:right w:val="single" w:sz="8" w:color="231F20"/>
            </w:tcBorders>
            <w:shd w:val="clear" w:color="auto" w:fill="00365F"/>
          </w:tcPr>
          <w:p>
            <w:pPr>
              <w:jc w:val="center"/>
              <w:spacing w:after="0"/>
              <w:rPr>
                <w:sz w:val="20"/>
                <w:szCs w:val="20"/>
                <w:color w:val="auto"/>
              </w:rPr>
            </w:pPr>
            <w:r>
              <w:rPr>
                <w:rFonts w:ascii="Calibri" w:cs="Calibri" w:eastAsia="Calibri" w:hAnsi="Calibri"/>
                <w:sz w:val="18"/>
                <w:szCs w:val="18"/>
                <w:color w:val="FFFFFF"/>
                <w:w w:val="99"/>
              </w:rPr>
              <w:t>If the informaton is announced during or afer market</w:t>
            </w:r>
          </w:p>
        </w:tc>
        <w:tc>
          <w:tcPr>
            <w:tcW w:w="4140" w:type="dxa"/>
            <w:vAlign w:val="bottom"/>
            <w:tcBorders>
              <w:bottom w:val="single" w:sz="8" w:color="00365F"/>
              <w:right w:val="single" w:sz="8" w:color="52575B"/>
            </w:tcBorders>
            <w:shd w:val="clear" w:color="auto" w:fill="00365F"/>
          </w:tcPr>
          <w:p>
            <w:pPr>
              <w:jc w:val="center"/>
              <w:spacing w:after="0"/>
              <w:rPr>
                <w:sz w:val="20"/>
                <w:szCs w:val="20"/>
                <w:color w:val="auto"/>
              </w:rPr>
            </w:pPr>
            <w:r>
              <w:rPr>
                <w:rFonts w:ascii="Calibri" w:cs="Calibri" w:eastAsia="Calibri" w:hAnsi="Calibri"/>
                <w:sz w:val="18"/>
                <w:szCs w:val="18"/>
                <w:color w:val="FFFFFF"/>
                <w:w w:val="95"/>
              </w:rPr>
              <w:t>You may begin trading</w:t>
            </w:r>
          </w:p>
        </w:tc>
      </w:tr>
      <w:tr>
        <w:trPr>
          <w:trHeight w:val="267"/>
        </w:trPr>
        <w:tc>
          <w:tcPr>
            <w:tcW w:w="4820" w:type="dxa"/>
            <w:vAlign w:val="bottom"/>
            <w:tcBorders>
              <w:top w:val="single" w:sz="8" w:color="231F20"/>
              <w:left w:val="single" w:sz="8" w:color="52575B"/>
              <w:right w:val="single" w:sz="8" w:color="231F20"/>
            </w:tcBorders>
          </w:tcPr>
          <w:p>
            <w:pPr>
              <w:jc w:val="center"/>
              <w:spacing w:after="0"/>
              <w:rPr>
                <w:sz w:val="20"/>
                <w:szCs w:val="20"/>
                <w:color w:val="auto"/>
              </w:rPr>
            </w:pPr>
            <w:r>
              <w:rPr>
                <w:rFonts w:ascii="Calibri" w:cs="Calibri" w:eastAsia="Calibri" w:hAnsi="Calibri"/>
                <w:sz w:val="18"/>
                <w:szCs w:val="18"/>
                <w:color w:val="52575B"/>
                <w:w w:val="95"/>
              </w:rPr>
              <w:t>Monday</w:t>
            </w:r>
          </w:p>
        </w:tc>
        <w:tc>
          <w:tcPr>
            <w:tcW w:w="4140" w:type="dxa"/>
            <w:vAlign w:val="bottom"/>
            <w:tcBorders>
              <w:top w:val="single" w:sz="8" w:color="231F20"/>
              <w:right w:val="single" w:sz="8" w:color="52575B"/>
            </w:tcBorders>
          </w:tcPr>
          <w:p>
            <w:pPr>
              <w:jc w:val="center"/>
              <w:spacing w:after="0"/>
              <w:rPr>
                <w:sz w:val="20"/>
                <w:szCs w:val="20"/>
                <w:color w:val="auto"/>
              </w:rPr>
            </w:pPr>
            <w:r>
              <w:rPr>
                <w:rFonts w:ascii="Calibri" w:cs="Calibri" w:eastAsia="Calibri" w:hAnsi="Calibri"/>
                <w:sz w:val="18"/>
                <w:szCs w:val="18"/>
                <w:color w:val="52575B"/>
                <w:w w:val="92"/>
              </w:rPr>
              <w:t>Wednesday</w:t>
            </w:r>
          </w:p>
        </w:tc>
      </w:tr>
      <w:tr>
        <w:trPr>
          <w:trHeight w:val="37"/>
        </w:trPr>
        <w:tc>
          <w:tcPr>
            <w:tcW w:w="4820" w:type="dxa"/>
            <w:vAlign w:val="bottom"/>
            <w:tcBorders>
              <w:left w:val="single" w:sz="8" w:color="52575B"/>
              <w:bottom w:val="single" w:sz="8" w:color="52575B"/>
              <w:right w:val="single" w:sz="8" w:color="231F20"/>
            </w:tcBorders>
          </w:tcPr>
          <w:p>
            <w:pPr>
              <w:spacing w:after="0"/>
              <w:rPr>
                <w:sz w:val="3"/>
                <w:szCs w:val="3"/>
                <w:color w:val="auto"/>
              </w:rPr>
            </w:pPr>
          </w:p>
        </w:tc>
        <w:tc>
          <w:tcPr>
            <w:tcW w:w="4140" w:type="dxa"/>
            <w:vAlign w:val="bottom"/>
            <w:tcBorders>
              <w:bottom w:val="single" w:sz="8" w:color="52575B"/>
              <w:right w:val="single" w:sz="8" w:color="52575B"/>
            </w:tcBorders>
          </w:tcPr>
          <w:p>
            <w:pPr>
              <w:spacing w:after="0"/>
              <w:rPr>
                <w:sz w:val="3"/>
                <w:szCs w:val="3"/>
                <w:color w:val="auto"/>
              </w:rPr>
            </w:pPr>
          </w:p>
        </w:tc>
      </w:tr>
      <w:tr>
        <w:trPr>
          <w:trHeight w:val="309"/>
        </w:trPr>
        <w:tc>
          <w:tcPr>
            <w:tcW w:w="4820" w:type="dxa"/>
            <w:vAlign w:val="bottom"/>
            <w:tcBorders>
              <w:left w:val="single" w:sz="8" w:color="52575B"/>
              <w:bottom w:val="single" w:sz="8" w:color="E5EAEF"/>
              <w:right w:val="single" w:sz="8" w:color="231F20"/>
            </w:tcBorders>
            <w:shd w:val="clear" w:color="auto" w:fill="E5EAEF"/>
          </w:tcPr>
          <w:p>
            <w:pPr>
              <w:jc w:val="center"/>
              <w:spacing w:after="0"/>
              <w:rPr>
                <w:sz w:val="20"/>
                <w:szCs w:val="20"/>
                <w:color w:val="auto"/>
              </w:rPr>
            </w:pPr>
            <w:r>
              <w:rPr>
                <w:rFonts w:ascii="Calibri" w:cs="Calibri" w:eastAsia="Calibri" w:hAnsi="Calibri"/>
                <w:sz w:val="18"/>
                <w:szCs w:val="18"/>
                <w:color w:val="333333"/>
                <w:w w:val="93"/>
              </w:rPr>
              <w:t>Friday</w:t>
            </w:r>
          </w:p>
        </w:tc>
        <w:tc>
          <w:tcPr>
            <w:tcW w:w="4140" w:type="dxa"/>
            <w:vAlign w:val="bottom"/>
            <w:tcBorders>
              <w:bottom w:val="single" w:sz="8" w:color="E5EAEF"/>
              <w:right w:val="single" w:sz="8" w:color="52575B"/>
            </w:tcBorders>
            <w:shd w:val="clear" w:color="auto" w:fill="E5EAEF"/>
          </w:tcPr>
          <w:p>
            <w:pPr>
              <w:jc w:val="center"/>
              <w:spacing w:after="0"/>
              <w:rPr>
                <w:sz w:val="20"/>
                <w:szCs w:val="20"/>
                <w:color w:val="auto"/>
              </w:rPr>
            </w:pPr>
            <w:r>
              <w:rPr>
                <w:rFonts w:ascii="Calibri" w:cs="Calibri" w:eastAsia="Calibri" w:hAnsi="Calibri"/>
                <w:sz w:val="18"/>
                <w:szCs w:val="18"/>
                <w:color w:val="333333"/>
                <w:w w:val="92"/>
              </w:rPr>
              <w:t>Tuesday</w:t>
            </w:r>
          </w:p>
        </w:tc>
      </w:tr>
      <w:tr>
        <w:trPr>
          <w:trHeight w:val="267"/>
        </w:trPr>
        <w:tc>
          <w:tcPr>
            <w:tcW w:w="4820" w:type="dxa"/>
            <w:vAlign w:val="bottom"/>
            <w:tcBorders>
              <w:top w:val="single" w:sz="8" w:color="52575B"/>
              <w:left w:val="single" w:sz="8" w:color="52575B"/>
              <w:right w:val="single" w:sz="8" w:color="231F20"/>
            </w:tcBorders>
          </w:tcPr>
          <w:p>
            <w:pPr>
              <w:jc w:val="center"/>
              <w:spacing w:after="0"/>
              <w:rPr>
                <w:sz w:val="20"/>
                <w:szCs w:val="20"/>
                <w:color w:val="auto"/>
              </w:rPr>
            </w:pPr>
            <w:r>
              <w:rPr>
                <w:rFonts w:ascii="Calibri" w:cs="Calibri" w:eastAsia="Calibri" w:hAnsi="Calibri"/>
                <w:sz w:val="18"/>
                <w:szCs w:val="18"/>
                <w:color w:val="52575B"/>
                <w:w w:val="96"/>
              </w:rPr>
              <w:t>Friday before a Monday holiday</w:t>
            </w:r>
          </w:p>
        </w:tc>
        <w:tc>
          <w:tcPr>
            <w:tcW w:w="4140" w:type="dxa"/>
            <w:vAlign w:val="bottom"/>
            <w:tcBorders>
              <w:top w:val="single" w:sz="8" w:color="52575B"/>
              <w:right w:val="single" w:sz="8" w:color="52575B"/>
            </w:tcBorders>
          </w:tcPr>
          <w:p>
            <w:pPr>
              <w:jc w:val="center"/>
              <w:spacing w:after="0"/>
              <w:rPr>
                <w:sz w:val="20"/>
                <w:szCs w:val="20"/>
                <w:color w:val="auto"/>
              </w:rPr>
            </w:pPr>
            <w:r>
              <w:rPr>
                <w:rFonts w:ascii="Calibri" w:cs="Calibri" w:eastAsia="Calibri" w:hAnsi="Calibri"/>
                <w:sz w:val="18"/>
                <w:szCs w:val="18"/>
                <w:color w:val="52575B"/>
                <w:w w:val="92"/>
              </w:rPr>
              <w:t>Wednesday</w:t>
            </w:r>
          </w:p>
        </w:tc>
      </w:tr>
      <w:tr>
        <w:trPr>
          <w:trHeight w:val="37"/>
        </w:trPr>
        <w:tc>
          <w:tcPr>
            <w:tcW w:w="4820" w:type="dxa"/>
            <w:vAlign w:val="bottom"/>
            <w:tcBorders>
              <w:left w:val="single" w:sz="8" w:color="52575B"/>
              <w:bottom w:val="single" w:sz="8" w:color="52575B"/>
              <w:right w:val="single" w:sz="8" w:color="231F20"/>
            </w:tcBorders>
          </w:tcPr>
          <w:p>
            <w:pPr>
              <w:spacing w:after="0"/>
              <w:rPr>
                <w:sz w:val="3"/>
                <w:szCs w:val="3"/>
                <w:color w:val="auto"/>
              </w:rPr>
            </w:pPr>
          </w:p>
        </w:tc>
        <w:tc>
          <w:tcPr>
            <w:tcW w:w="4140" w:type="dxa"/>
            <w:vAlign w:val="bottom"/>
            <w:tcBorders>
              <w:bottom w:val="single" w:sz="8" w:color="52575B"/>
              <w:right w:val="single" w:sz="8" w:color="52575B"/>
            </w:tcBorders>
          </w:tcPr>
          <w:p>
            <w:pPr>
              <w:spacing w:after="0"/>
              <w:rPr>
                <w:sz w:val="3"/>
                <w:szCs w:val="3"/>
                <w:color w:val="auto"/>
              </w:rPr>
            </w:pPr>
          </w:p>
        </w:tc>
      </w:tr>
    </w:tbl>
    <w:p>
      <w:pPr>
        <w:spacing w:after="0" w:line="275" w:lineRule="exact"/>
        <w:rPr>
          <w:sz w:val="20"/>
          <w:szCs w:val="20"/>
          <w:color w:val="auto"/>
        </w:rPr>
      </w:pPr>
    </w:p>
    <w:p>
      <w:pPr>
        <w:ind w:left="720" w:right="180"/>
        <w:spacing w:after="0" w:line="289" w:lineRule="auto"/>
        <w:rPr>
          <w:sz w:val="20"/>
          <w:szCs w:val="20"/>
          <w:color w:val="auto"/>
        </w:rPr>
      </w:pPr>
      <w:r>
        <w:rPr>
          <w:rFonts w:ascii="Calibri" w:cs="Calibri" w:eastAsia="Calibri" w:hAnsi="Calibri"/>
          <w:sz w:val="18"/>
          <w:szCs w:val="18"/>
          <w:color w:val="52575B"/>
        </w:rPr>
        <w:t>Any period other than an open trading window consttutes a “blackout period” during which Designated Insiders are restricted from transactng in Company securites.</w:t>
      </w:r>
    </w:p>
    <w:p>
      <w:pPr>
        <w:spacing w:after="0" w:line="100"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  Event-Specifc Blackouts</w:t>
      </w:r>
    </w:p>
    <w:p>
      <w:pPr>
        <w:spacing w:after="0" w:line="47" w:lineRule="exact"/>
        <w:rPr>
          <w:sz w:val="20"/>
          <w:szCs w:val="20"/>
          <w:color w:val="auto"/>
        </w:rPr>
      </w:pPr>
    </w:p>
    <w:p>
      <w:pPr>
        <w:ind w:left="720" w:right="260"/>
        <w:spacing w:after="0" w:line="281" w:lineRule="auto"/>
        <w:rPr>
          <w:sz w:val="20"/>
          <w:szCs w:val="20"/>
          <w:color w:val="auto"/>
        </w:rPr>
      </w:pPr>
      <w:r>
        <w:rPr>
          <w:rFonts w:ascii="Calibri" w:cs="Calibri" w:eastAsia="Calibri" w:hAnsi="Calibri"/>
          <w:sz w:val="18"/>
          <w:szCs w:val="18"/>
          <w:color w:val="52575B"/>
        </w:rPr>
        <w:t>From tme to tme, an event may occur or informaton may arise that is material to the Company and is known by only certain individuals inside the Company. While the event or informaton remains material and non-public, the individuals designated by the SCC will not be allowed to transact in Company securites, even during periods that would otherwise qualify as quarterly trading windows. If you are required to “pre-clear” transactons in Company securites in accordance with Secton 6.B (“Pre-Clearance Requirement for Secton 16 Filers”) below and request such pre-clearance during an event-specifc blackout, you will be informed of the existence of an event-specifc blackout, but you may not be advised of the reason for the blackout. If you are made aware of the existence of an event-specifc blackout, you should not disclose the existence of the blackout to any other person.</w:t>
      </w:r>
    </w:p>
    <w:p>
      <w:pPr>
        <w:spacing w:after="0" w:line="113"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ii. Exceptons</w:t>
      </w:r>
    </w:p>
    <w:p>
      <w:pPr>
        <w:spacing w:after="0" w:line="32" w:lineRule="exact"/>
        <w:rPr>
          <w:sz w:val="20"/>
          <w:szCs w:val="20"/>
          <w:color w:val="auto"/>
        </w:rPr>
      </w:pPr>
    </w:p>
    <w:p>
      <w:pPr>
        <w:ind w:left="720" w:right="480"/>
        <w:spacing w:after="0" w:line="260" w:lineRule="auto"/>
        <w:rPr>
          <w:sz w:val="20"/>
          <w:szCs w:val="20"/>
          <w:color w:val="auto"/>
        </w:rPr>
      </w:pPr>
      <w:r>
        <w:rPr>
          <w:rFonts w:ascii="Calibri" w:cs="Calibri" w:eastAsia="Calibri" w:hAnsi="Calibri"/>
          <w:sz w:val="18"/>
          <w:szCs w:val="18"/>
          <w:color w:val="52575B"/>
        </w:rPr>
        <w:t>These quarterly trading restrictons and event-specifc blackout restrictons do not apply to those transactons to which this Insider Trading Policy does not apply, as described in Secton 3.C. (“Rules Concerning Transactons under Company Plans”) and the transactions set forth under “Other Transactions” in Secton 3.D. (“Rules Concerning Certain Other Transactons”) of this Insider Trading Policy, or to transactons conducted pursuant to approved Trading Plans described in Secton 5 (“Rule 10b5-1 Trading Plans (Designated Insiders Only)”) of this Insider Trading Policy.</w:t>
      </w:r>
    </w:p>
    <w:p>
      <w:pPr>
        <w:spacing w:after="0" w:line="143" w:lineRule="exact"/>
        <w:rPr>
          <w:sz w:val="20"/>
          <w:szCs w:val="20"/>
          <w:color w:val="auto"/>
        </w:rPr>
      </w:pPr>
    </w:p>
    <w:p>
      <w:pPr>
        <w:ind w:left="840" w:hanging="278"/>
        <w:spacing w:after="0"/>
        <w:tabs>
          <w:tab w:leader="none" w:pos="840" w:val="left"/>
        </w:tabs>
        <w:numPr>
          <w:ilvl w:val="0"/>
          <w:numId w:val="57"/>
        </w:numPr>
        <w:rPr>
          <w:rFonts w:ascii="Arial" w:cs="Arial" w:eastAsia="Arial" w:hAnsi="Arial"/>
          <w:sz w:val="22"/>
          <w:szCs w:val="22"/>
          <w:b w:val="1"/>
          <w:bCs w:val="1"/>
          <w:color w:val="00365F"/>
        </w:rPr>
      </w:pPr>
      <w:r>
        <w:rPr>
          <w:rFonts w:ascii="Calibri" w:cs="Calibri" w:eastAsia="Calibri" w:hAnsi="Calibri"/>
          <w:sz w:val="22"/>
          <w:szCs w:val="22"/>
          <w:b w:val="1"/>
          <w:bCs w:val="1"/>
          <w:color w:val="02365F"/>
        </w:rPr>
        <w:t>Trading Platorm Restrictons and Certifications</w:t>
      </w:r>
    </w:p>
    <w:p>
      <w:pPr>
        <w:spacing w:after="0" w:line="32" w:lineRule="exact"/>
        <w:rPr>
          <w:sz w:val="20"/>
          <w:szCs w:val="20"/>
          <w:color w:val="auto"/>
        </w:rPr>
      </w:pPr>
    </w:p>
    <w:p>
      <w:pPr>
        <w:ind w:left="560" w:right="140"/>
        <w:spacing w:after="0" w:line="261" w:lineRule="auto"/>
        <w:rPr>
          <w:sz w:val="20"/>
          <w:szCs w:val="20"/>
          <w:color w:val="auto"/>
        </w:rPr>
      </w:pPr>
      <w:r>
        <w:rPr>
          <w:rFonts w:ascii="Calibri" w:cs="Calibri" w:eastAsia="Calibri" w:hAnsi="Calibri"/>
          <w:sz w:val="18"/>
          <w:szCs w:val="18"/>
          <w:color w:val="52575B"/>
        </w:rPr>
        <w:t>Trading platorms managed by the Company will not permit Designated Insiders to transact in Company securites during any blackout period. In additon, prior to transactng in Company securites via any trading platorm managed by the Company (and regardless of whether the transacton is executed online or via telephone), all persons subject to this Insider Trading Policy will be required to certfy that he or she is not currently aware of any material non-public informaton. For individuals who hold Company securites outside of any trading platorm managed by the Company, the Company will not be able to restrict trading by Designated Insiders during blackout periods or require certfcaton that an individual is not aware of any material non-public informaton; however, all employees and other individuals subject to this Insider Trading Policy will stll be responsible for complying with this policy and any and all securites laws, as described in Secton 7 (“Individual Responsibility”) below and including prohibitons on trading with knowledge of material non-public informaton, and failure to do so may result in severe consequences, as described in Secton 8 (“Consequences of an Insider Trading Violaton”) below.</w:t>
      </w:r>
    </w:p>
    <w:p>
      <w:pPr>
        <w:sectPr>
          <w:pgSz w:w="11900" w:h="16838" w:orient="portrait"/>
          <w:cols w:equalWidth="0" w:num="1">
            <w:col w:w="11200"/>
          </w:cols>
          <w:pgMar w:left="360" w:top="99" w:right="339" w:bottom="1440" w:gutter="0" w:footer="0" w:header="0"/>
        </w:sectPr>
      </w:pPr>
    </w:p>
    <w:p>
      <w:pPr>
        <w:spacing w:after="0" w:line="92" w:lineRule="exact"/>
        <w:rPr>
          <w:sz w:val="20"/>
          <w:szCs w:val="20"/>
          <w:color w:val="auto"/>
        </w:rPr>
      </w:pPr>
    </w:p>
    <w:p>
      <w:pPr>
        <w:spacing w:after="0"/>
        <w:tabs>
          <w:tab w:leader="none" w:pos="5780" w:val="left"/>
        </w:tabs>
        <w:rPr>
          <w:sz w:val="20"/>
          <w:szCs w:val="20"/>
          <w:color w:val="auto"/>
        </w:rPr>
      </w:pPr>
      <w:r>
        <w:rPr>
          <w:rFonts w:ascii="Calibri" w:cs="Calibri" w:eastAsia="Calibri" w:hAnsi="Calibri"/>
          <w:sz w:val="13"/>
          <w:szCs w:val="13"/>
          <w:color w:val="A8ABAD"/>
        </w:rPr>
        <w:t>PRIVILEGED AND CONFIDENTIAL — FOR INTERNAL USE ONLY — NOT FOR DISTRIBUTION</w:t>
      </w:r>
      <w:r>
        <w:rPr>
          <w:sz w:val="20"/>
          <w:szCs w:val="20"/>
          <w:color w:val="auto"/>
        </w:rPr>
        <w:tab/>
      </w:r>
      <w:r>
        <w:rPr>
          <w:rFonts w:ascii="Calibri" w:cs="Calibri" w:eastAsia="Calibri" w:hAnsi="Calibri"/>
          <w:sz w:val="10"/>
          <w:szCs w:val="10"/>
          <w:color w:val="A8ABAD"/>
        </w:rPr>
        <w:t>8</w:t>
      </w:r>
    </w:p>
    <w:p>
      <w:pPr>
        <w:sectPr>
          <w:pgSz w:w="11900" w:h="16838" w:orient="portrait"/>
          <w:cols w:equalWidth="0" w:num="1">
            <w:col w:w="11200"/>
          </w:cols>
          <w:pgMar w:left="360" w:top="99" w:right="339" w:bottom="1440" w:gutter="0" w:footer="0" w:header="0"/>
          <w:type w:val="continuous"/>
        </w:sectPr>
      </w:pPr>
    </w:p>
    <w:bookmarkStart w:id="140" w:name="page141"/>
    <w:bookmarkEnd w:id="140"/>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0" w:hanging="485"/>
        <w:spacing w:after="0"/>
        <w:tabs>
          <w:tab w:leader="none" w:pos="560" w:val="left"/>
        </w:tabs>
        <w:numPr>
          <w:ilvl w:val="0"/>
          <w:numId w:val="58"/>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Rule 10b5-1 Trading Plans (Designated Insiders Only)</w:t>
      </w:r>
    </w:p>
    <w:p>
      <w:pPr>
        <w:spacing w:after="0" w:line="294" w:lineRule="exact"/>
        <w:rPr>
          <w:sz w:val="20"/>
          <w:szCs w:val="20"/>
          <w:color w:val="auto"/>
        </w:rPr>
      </w:pPr>
    </w:p>
    <w:p>
      <w:pPr>
        <w:ind w:left="560" w:right="220"/>
        <w:spacing w:after="0" w:line="282" w:lineRule="auto"/>
        <w:rPr>
          <w:sz w:val="20"/>
          <w:szCs w:val="20"/>
          <w:color w:val="auto"/>
        </w:rPr>
      </w:pPr>
      <w:r>
        <w:rPr>
          <w:rFonts w:ascii="Calibri" w:cs="Calibri" w:eastAsia="Calibri" w:hAnsi="Calibri"/>
          <w:sz w:val="18"/>
          <w:szCs w:val="18"/>
          <w:color w:val="52575B"/>
        </w:rPr>
        <w:t>Rule 10b5-1 under the Exchange Act (“Rule 10b5-1”) provides, subject to compliance with the applicable provisions of the rule, an afrmatve defense for persons against allegatons of insider trading if the person’s transactons occur under a previously established contract, plan or instructon (a “Trading Plan”). Generally, a Trading Plan must be a plan or binding contract to purchase or sell securites, must be entered into when you are not aware of any material non-public informaton and must: (1) specify the amount, price and date of the transacton(s); (2) include a writen formula for determining amounts, prices and dates for the transacton(s); and (3) not permit the person adoptng the Trading Plan to exercise any subsequent infuence over how, when, or whether to make purchases or sales.</w:t>
      </w:r>
    </w:p>
    <w:p>
      <w:pPr>
        <w:spacing w:after="0" w:line="165" w:lineRule="exact"/>
        <w:rPr>
          <w:sz w:val="20"/>
          <w:szCs w:val="20"/>
          <w:color w:val="auto"/>
        </w:rPr>
      </w:pPr>
    </w:p>
    <w:p>
      <w:pPr>
        <w:ind w:left="560" w:right="160"/>
        <w:spacing w:after="0" w:line="301" w:lineRule="auto"/>
        <w:rPr>
          <w:sz w:val="20"/>
          <w:szCs w:val="20"/>
          <w:color w:val="auto"/>
        </w:rPr>
      </w:pPr>
      <w:r>
        <w:rPr>
          <w:rFonts w:ascii="Calibri" w:cs="Calibri" w:eastAsia="Calibri" w:hAnsi="Calibri"/>
          <w:sz w:val="17"/>
          <w:szCs w:val="17"/>
          <w:color w:val="52575B"/>
        </w:rPr>
        <w:t>Any Designated Insider who wishes to enter into a Trading Plan is required to submit the Trading Plan to the SCC for approval. Any such Trading Plan must be established, modifed and/or terminated in compliance with the Company’s Rule 10b5-1 Trading Plan Policy. While the SCC will review a Trading Plan for compliance with this Insider Trading Policy and the Rule 10b5-1 Trading Plan Policy, approval of such Trading Plan does not consttute legal advice and does not relieve you from ensuring that any transactons entered into under the Trading Plan fully comply with any and all securites laws. If such Trading Plan meets the requirements of Rule 10b5-1, this Insider Trading Policy and the Rule 10b5-1 Trading Plan Policy, Company securites may be purchased or sold under such Trading Plan without regard to the restrictons in this Insider Trading Policy.</w:t>
      </w:r>
    </w:p>
    <w:p>
      <w:pPr>
        <w:spacing w:after="0" w:line="243" w:lineRule="exact"/>
        <w:rPr>
          <w:sz w:val="20"/>
          <w:szCs w:val="20"/>
          <w:color w:val="auto"/>
        </w:rPr>
      </w:pPr>
    </w:p>
    <w:p>
      <w:pPr>
        <w:ind w:left="560" w:hanging="485"/>
        <w:spacing w:after="0"/>
        <w:tabs>
          <w:tab w:leader="none" w:pos="560" w:val="left"/>
        </w:tabs>
        <w:numPr>
          <w:ilvl w:val="0"/>
          <w:numId w:val="59"/>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Additonal Requirements for Directors and Executve Ofcers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365F"/>
        </w:rPr>
        <w:t xml:space="preserve">A. </w:t>
      </w:r>
      <w:r>
        <w:rPr>
          <w:rFonts w:ascii="Calibri" w:cs="Calibri" w:eastAsia="Calibri" w:hAnsi="Calibri"/>
          <w:sz w:val="22"/>
          <w:szCs w:val="22"/>
          <w:b w:val="1"/>
          <w:bCs w:val="1"/>
          <w:color w:val="02365F"/>
        </w:rPr>
        <w:t>Secton 16 and Rule 144 Compliance</w:t>
      </w:r>
    </w:p>
    <w:p>
      <w:pPr>
        <w:spacing w:after="0" w:line="48" w:lineRule="exact"/>
        <w:rPr>
          <w:sz w:val="20"/>
          <w:szCs w:val="20"/>
          <w:color w:val="auto"/>
        </w:rPr>
      </w:pPr>
    </w:p>
    <w:p>
      <w:pPr>
        <w:ind w:left="560" w:right="280"/>
        <w:spacing w:after="0" w:line="283" w:lineRule="auto"/>
        <w:rPr>
          <w:sz w:val="20"/>
          <w:szCs w:val="20"/>
          <w:color w:val="auto"/>
        </w:rPr>
      </w:pPr>
      <w:r>
        <w:rPr>
          <w:rFonts w:ascii="Calibri" w:cs="Calibri" w:eastAsia="Calibri" w:hAnsi="Calibri"/>
          <w:sz w:val="18"/>
          <w:szCs w:val="18"/>
          <w:color w:val="52575B"/>
        </w:rPr>
        <w:t>Directors and executve ofcers of the Company are deemed Secton 16 Filers and accordingly must comply with the requirements of Secton 16 of the Exchange Act and, if applicable, Rule 144 under the Securites Act of 1933, as amended (the “Securites Act”). Secton 16 of the Exchange Act generally requires that directors and executve ofcers report changes in benefcial ownership of Company securites within two (2) business days. Rule 144 under the Securites Act may require directors and executve ofcers to fle Forms 144 before making an open market sale of Company securites. A Form 144 notfes the SEC of your intent to sell Company securites. This form is generally prepared and fled by your broker and is in additon to the Secton 16 reports that you fle or are fled on your behalf by the Company. If an approved transacton involves a director or executve ofcer, the SCC will direct Stock Administraton to assist such director or executve ofcer in complying with the reportng requirements under Secton 16(a) of the Exchange Act.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365F"/>
        </w:rPr>
        <w:t xml:space="preserve">B. </w:t>
      </w:r>
      <w:r>
        <w:rPr>
          <w:rFonts w:ascii="Calibri" w:cs="Calibri" w:eastAsia="Calibri" w:hAnsi="Calibri"/>
          <w:sz w:val="22"/>
          <w:szCs w:val="22"/>
          <w:b w:val="1"/>
          <w:bCs w:val="1"/>
          <w:color w:val="02365F"/>
        </w:rPr>
        <w:t>Pre-Clearance Requirement for Secton 16 Filers</w:t>
      </w:r>
    </w:p>
    <w:p>
      <w:pPr>
        <w:spacing w:after="0" w:line="30" w:lineRule="exact"/>
        <w:rPr>
          <w:sz w:val="20"/>
          <w:szCs w:val="20"/>
          <w:color w:val="auto"/>
        </w:rPr>
      </w:pPr>
    </w:p>
    <w:p>
      <w:pPr>
        <w:ind w:left="640" w:hanging="78"/>
        <w:spacing w:after="0"/>
        <w:tabs>
          <w:tab w:leader="none" w:pos="640" w:val="left"/>
        </w:tabs>
        <w:numPr>
          <w:ilvl w:val="0"/>
          <w:numId w:val="60"/>
        </w:numPr>
        <w:rPr>
          <w:rFonts w:ascii="Calibri" w:cs="Calibri" w:eastAsia="Calibri" w:hAnsi="Calibri"/>
          <w:sz w:val="18"/>
          <w:szCs w:val="18"/>
          <w:color w:val="52575B"/>
        </w:rPr>
      </w:pPr>
      <w:r>
        <w:rPr>
          <w:rFonts w:ascii="Calibri" w:cs="Calibri" w:eastAsia="Calibri" w:hAnsi="Calibri"/>
          <w:sz w:val="18"/>
          <w:szCs w:val="18"/>
          <w:color w:val="52575B"/>
        </w:rPr>
        <w:t>Subject to the exceptons described below, Secton 16 Filers may not engage in any transacton in Company securites (including an equity plan</w:t>
      </w:r>
    </w:p>
    <w:p>
      <w:pPr>
        <w:spacing w:after="0" w:line="28" w:lineRule="exact"/>
        <w:rPr>
          <w:rFonts w:ascii="Calibri" w:cs="Calibri" w:eastAsia="Calibri" w:hAnsi="Calibri"/>
          <w:sz w:val="18"/>
          <w:szCs w:val="18"/>
          <w:color w:val="52575B"/>
        </w:rPr>
      </w:pPr>
    </w:p>
    <w:p>
      <w:pPr>
        <w:ind w:left="560" w:right="260"/>
        <w:spacing w:after="0" w:line="245" w:lineRule="auto"/>
        <w:rPr>
          <w:rFonts w:ascii="Calibri" w:cs="Calibri" w:eastAsia="Calibri" w:hAnsi="Calibri"/>
          <w:sz w:val="18"/>
          <w:szCs w:val="18"/>
          <w:color w:val="52575B"/>
        </w:rPr>
      </w:pPr>
      <w:r>
        <w:rPr>
          <w:rFonts w:ascii="Calibri" w:cs="Calibri" w:eastAsia="Calibri" w:hAnsi="Calibri"/>
          <w:sz w:val="18"/>
          <w:szCs w:val="18"/>
          <w:color w:val="52575B"/>
        </w:rPr>
        <w:t>transacton such as an opton exercise, an intra-plan transfer out of the Company stock fund within the 401(k) Plan, gifs, or any other transactons) without frst obtaining pre-clearance of the transacton from the SCC.</w:t>
      </w:r>
    </w:p>
    <w:p>
      <w:pPr>
        <w:spacing w:after="0" w:line="186" w:lineRule="exact"/>
        <w:rPr>
          <w:sz w:val="20"/>
          <w:szCs w:val="20"/>
          <w:color w:val="auto"/>
        </w:rPr>
      </w:pPr>
    </w:p>
    <w:p>
      <w:pPr>
        <w:ind w:left="560" w:right="500"/>
        <w:spacing w:after="0" w:line="258" w:lineRule="auto"/>
        <w:rPr>
          <w:sz w:val="20"/>
          <w:szCs w:val="20"/>
          <w:color w:val="auto"/>
        </w:rPr>
      </w:pPr>
      <w:r>
        <w:rPr>
          <w:rFonts w:ascii="Calibri" w:cs="Calibri" w:eastAsia="Calibri" w:hAnsi="Calibri"/>
          <w:sz w:val="18"/>
          <w:szCs w:val="18"/>
          <w:color w:val="52575B"/>
        </w:rPr>
        <w:t>Following a request for pre-clearance, the SCC will determine whether the transacton may proceed and will notfy a Secton 16 Filer if he/she is permited to proceed with the transacton. Pre-cleared transactons not completed within fve (5) business days require a new pre-clearance under the provisions of this paragraph. The SCC may, in its discreton, shorten such tme period or issue a “stop trading” order should circumstances warrant.</w:t>
      </w:r>
    </w:p>
    <w:p>
      <w:pPr>
        <w:spacing w:after="0" w:line="176" w:lineRule="exact"/>
        <w:rPr>
          <w:sz w:val="20"/>
          <w:szCs w:val="20"/>
          <w:color w:val="auto"/>
        </w:rPr>
      </w:pPr>
    </w:p>
    <w:p>
      <w:pPr>
        <w:ind w:left="560" w:right="240"/>
        <w:spacing w:after="0" w:line="260" w:lineRule="auto"/>
        <w:rPr>
          <w:sz w:val="20"/>
          <w:szCs w:val="20"/>
          <w:color w:val="auto"/>
        </w:rPr>
      </w:pPr>
      <w:r>
        <w:rPr>
          <w:rFonts w:ascii="Calibri" w:cs="Calibri" w:eastAsia="Calibri" w:hAnsi="Calibri"/>
          <w:sz w:val="18"/>
          <w:szCs w:val="18"/>
          <w:color w:val="52575B"/>
        </w:rPr>
        <w:t>The SCC is under no obligaton to approve any transacton submited for pre-clearance and may determine not to permit such transacton. The SCC will have no liability for any refusal to permit a transacton in Company securites or for any delay in making or communicatng a decision.</w:t>
      </w:r>
    </w:p>
    <w:p>
      <w:pPr>
        <w:spacing w:after="0" w:line="126" w:lineRule="exact"/>
        <w:rPr>
          <w:sz w:val="20"/>
          <w:szCs w:val="20"/>
          <w:color w:val="auto"/>
        </w:rPr>
      </w:pPr>
    </w:p>
    <w:p>
      <w:pPr>
        <w:ind w:left="560"/>
        <w:spacing w:after="0"/>
        <w:rPr>
          <w:sz w:val="20"/>
          <w:szCs w:val="20"/>
          <w:color w:val="auto"/>
        </w:rPr>
      </w:pPr>
      <w:r>
        <w:rPr>
          <w:rFonts w:ascii="Calibri" w:cs="Calibri" w:eastAsia="Calibri" w:hAnsi="Calibri"/>
          <w:sz w:val="22"/>
          <w:szCs w:val="22"/>
          <w:b w:val="1"/>
          <w:bCs w:val="1"/>
          <w:color w:val="02365F"/>
        </w:rPr>
        <w:t>Exceptons</w:t>
      </w:r>
    </w:p>
    <w:p>
      <w:pPr>
        <w:spacing w:after="0" w:line="88" w:lineRule="exact"/>
        <w:rPr>
          <w:sz w:val="20"/>
          <w:szCs w:val="20"/>
          <w:color w:val="auto"/>
        </w:rPr>
      </w:pPr>
    </w:p>
    <w:p>
      <w:pPr>
        <w:ind w:left="720" w:right="880"/>
        <w:spacing w:after="0" w:line="274" w:lineRule="auto"/>
        <w:rPr>
          <w:sz w:val="20"/>
          <w:szCs w:val="20"/>
          <w:color w:val="auto"/>
        </w:rPr>
      </w:pPr>
      <w:r>
        <w:rPr>
          <w:rFonts w:ascii="Calibri" w:cs="Calibri" w:eastAsia="Calibri" w:hAnsi="Calibri"/>
          <w:sz w:val="18"/>
          <w:szCs w:val="18"/>
          <w:color w:val="52575B"/>
        </w:rPr>
        <w:t>This requirement for pre-clearance does not apply to transactons conducted pursuant to approved Trading Plans described in Secton 5 (“Rule 10b5-1 Trading Plans (Designated Insiders Only)”) of this Insider Trading Policy or to the</w:t>
      </w:r>
    </w:p>
    <w:p>
      <w:pPr>
        <w:spacing w:after="0" w:line="7" w:lineRule="exact"/>
        <w:rPr>
          <w:sz w:val="20"/>
          <w:szCs w:val="20"/>
          <w:color w:val="auto"/>
        </w:rPr>
      </w:pPr>
    </w:p>
    <w:p>
      <w:pPr>
        <w:ind w:left="720"/>
        <w:spacing w:after="0"/>
        <w:rPr>
          <w:sz w:val="20"/>
          <w:szCs w:val="20"/>
          <w:color w:val="auto"/>
        </w:rPr>
      </w:pPr>
      <w:r>
        <w:rPr>
          <w:rFonts w:ascii="Calibri" w:cs="Calibri" w:eastAsia="Calibri" w:hAnsi="Calibri"/>
          <w:sz w:val="18"/>
          <w:szCs w:val="18"/>
          <w:color w:val="52575B"/>
        </w:rPr>
        <w:t>transactons set forth under “Other Transactons” in Secton 3.D. (“Rules Concerning Certain Other Transactons”) of this Insider Trading Policy.</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20"/>
                <w:szCs w:val="20"/>
                <w:color w:val="auto"/>
              </w:rPr>
            </w:pPr>
            <w:r>
              <w:rPr>
                <w:rFonts w:ascii="Calibri" w:cs="Calibri" w:eastAsia="Calibri" w:hAnsi="Calibri"/>
                <w:sz w:val="13"/>
                <w:szCs w:val="13"/>
                <w:color w:val="A8ABAD"/>
              </w:rPr>
              <w:t>PRIVILEGED AND CONFIDENTIAL — FOR INTERNAL USE ONLY — NOT FOR DISTRIBUTION</w:t>
            </w:r>
          </w:p>
        </w:tc>
        <w:tc>
          <w:tcPr>
            <w:tcW w:w="740" w:type="dxa"/>
            <w:vAlign w:val="bottom"/>
          </w:tcPr>
          <w:p>
            <w:pPr>
              <w:jc w:val="right"/>
              <w:spacing w:after="0"/>
              <w:rPr>
                <w:sz w:val="20"/>
                <w:szCs w:val="20"/>
                <w:color w:val="auto"/>
              </w:rPr>
            </w:pPr>
            <w:r>
              <w:rPr>
                <w:rFonts w:ascii="Calibri" w:cs="Calibri" w:eastAsia="Calibri" w:hAnsi="Calibri"/>
                <w:sz w:val="13"/>
                <w:szCs w:val="13"/>
                <w:color w:val="A8ABAD"/>
              </w:rPr>
              <w:t>9</w:t>
            </w:r>
          </w:p>
        </w:tc>
      </w:tr>
    </w:tbl>
    <w:p>
      <w:pPr>
        <w:sectPr>
          <w:pgSz w:w="11900" w:h="16838" w:orient="portrait"/>
          <w:cols w:equalWidth="0" w:num="1">
            <w:col w:w="11200"/>
          </w:cols>
          <w:pgMar w:left="360" w:top="99" w:right="339" w:bottom="1440" w:gutter="0" w:footer="0" w:header="0"/>
        </w:sectPr>
      </w:pPr>
    </w:p>
    <w:bookmarkStart w:id="141" w:name="page142"/>
    <w:bookmarkEnd w:id="141"/>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365F"/>
        </w:rPr>
        <w:t xml:space="preserve">C. </w:t>
      </w:r>
      <w:r>
        <w:rPr>
          <w:rFonts w:ascii="Calibri" w:cs="Calibri" w:eastAsia="Calibri" w:hAnsi="Calibri"/>
          <w:sz w:val="22"/>
          <w:szCs w:val="22"/>
          <w:b w:val="1"/>
          <w:bCs w:val="1"/>
          <w:color w:val="02365F"/>
        </w:rPr>
        <w:t>Broker Interface Procedures</w:t>
      </w:r>
    </w:p>
    <w:p>
      <w:pPr>
        <w:spacing w:after="0" w:line="48" w:lineRule="exact"/>
        <w:rPr>
          <w:sz w:val="20"/>
          <w:szCs w:val="20"/>
          <w:color w:val="auto"/>
        </w:rPr>
      </w:pPr>
    </w:p>
    <w:p>
      <w:pPr>
        <w:ind w:left="560" w:right="380"/>
        <w:spacing w:after="0" w:line="284" w:lineRule="auto"/>
        <w:rPr>
          <w:sz w:val="20"/>
          <w:szCs w:val="20"/>
          <w:color w:val="auto"/>
        </w:rPr>
      </w:pPr>
      <w:r>
        <w:rPr>
          <w:rFonts w:ascii="Calibri" w:cs="Calibri" w:eastAsia="Calibri" w:hAnsi="Calibri"/>
          <w:sz w:val="18"/>
          <w:szCs w:val="18"/>
          <w:color w:val="52575B"/>
        </w:rPr>
        <w:t>The tmely reportng of transactons requires close coordinaton with brokers handling transactons for our Secton 16 Filers. As a director and/or executve ofcer of the Company, you are responsible for providing your broker with a copy of this Insider Trading Policy and ensuring that your broker:</w:t>
      </w:r>
    </w:p>
    <w:p>
      <w:pPr>
        <w:spacing w:after="0" w:line="178" w:lineRule="exact"/>
        <w:rPr>
          <w:sz w:val="20"/>
          <w:szCs w:val="20"/>
          <w:color w:val="auto"/>
        </w:rPr>
      </w:pPr>
    </w:p>
    <w:p>
      <w:pPr>
        <w:ind w:left="960" w:right="960" w:hanging="236"/>
        <w:spacing w:after="0" w:line="274" w:lineRule="auto"/>
        <w:tabs>
          <w:tab w:leader="none" w:pos="955" w:val="left"/>
        </w:tabs>
        <w:numPr>
          <w:ilvl w:val="1"/>
          <w:numId w:val="61"/>
        </w:numPr>
        <w:rPr>
          <w:rFonts w:ascii="Arial" w:cs="Arial" w:eastAsia="Arial" w:hAnsi="Arial"/>
          <w:sz w:val="18"/>
          <w:szCs w:val="18"/>
          <w:color w:val="52575B"/>
        </w:rPr>
      </w:pPr>
      <w:r>
        <w:rPr>
          <w:rFonts w:ascii="Calibri" w:cs="Calibri" w:eastAsia="Calibri" w:hAnsi="Calibri"/>
          <w:sz w:val="18"/>
          <w:szCs w:val="18"/>
          <w:color w:val="52575B"/>
        </w:rPr>
        <w:t>Will not execute any order (except for orders under pre-approved Trading Plans) without frst verifying with the Company that your transacton was pre-cleared and complying with the brokerage frm’s compliance procedures (e.g., Rule 144); and</w:t>
      </w:r>
    </w:p>
    <w:p>
      <w:pPr>
        <w:spacing w:after="0" w:line="186" w:lineRule="exact"/>
        <w:rPr>
          <w:rFonts w:ascii="Arial" w:cs="Arial" w:eastAsia="Arial" w:hAnsi="Arial"/>
          <w:sz w:val="18"/>
          <w:szCs w:val="18"/>
          <w:color w:val="52575B"/>
        </w:rPr>
      </w:pPr>
    </w:p>
    <w:p>
      <w:pPr>
        <w:ind w:left="960" w:right="1220" w:hanging="236"/>
        <w:spacing w:after="0" w:line="274" w:lineRule="auto"/>
        <w:tabs>
          <w:tab w:leader="none" w:pos="955" w:val="left"/>
        </w:tabs>
        <w:numPr>
          <w:ilvl w:val="1"/>
          <w:numId w:val="61"/>
        </w:numPr>
        <w:rPr>
          <w:rFonts w:ascii="Arial" w:cs="Arial" w:eastAsia="Arial" w:hAnsi="Arial"/>
          <w:sz w:val="18"/>
          <w:szCs w:val="18"/>
          <w:color w:val="52575B"/>
        </w:rPr>
      </w:pPr>
      <w:r>
        <w:rPr>
          <w:rFonts w:ascii="Calibri" w:cs="Calibri" w:eastAsia="Calibri" w:hAnsi="Calibri"/>
          <w:sz w:val="18"/>
          <w:szCs w:val="18"/>
          <w:color w:val="52575B"/>
        </w:rPr>
        <w:t>Will report immediately to the Company by telephone and in writng (via e-mail or fax) the details of every transacton involving Company stock, including gifs, transfers and all Trading Plan transactons.</w:t>
      </w:r>
    </w:p>
    <w:p>
      <w:pPr>
        <w:spacing w:after="0" w:line="141" w:lineRule="exact"/>
        <w:rPr>
          <w:rFonts w:ascii="Arial" w:cs="Arial" w:eastAsia="Arial" w:hAnsi="Arial"/>
          <w:sz w:val="18"/>
          <w:szCs w:val="18"/>
          <w:color w:val="52575B"/>
        </w:rPr>
      </w:pPr>
    </w:p>
    <w:p>
      <w:pPr>
        <w:ind w:left="820" w:hanging="258"/>
        <w:spacing w:after="0"/>
        <w:tabs>
          <w:tab w:leader="none" w:pos="820" w:val="left"/>
        </w:tabs>
        <w:numPr>
          <w:ilvl w:val="0"/>
          <w:numId w:val="61"/>
        </w:numPr>
        <w:rPr>
          <w:rFonts w:ascii="Arial" w:cs="Arial" w:eastAsia="Arial" w:hAnsi="Arial"/>
          <w:sz w:val="22"/>
          <w:szCs w:val="22"/>
          <w:b w:val="1"/>
          <w:bCs w:val="1"/>
          <w:color w:val="00365F"/>
        </w:rPr>
      </w:pPr>
      <w:r>
        <w:rPr>
          <w:rFonts w:ascii="Calibri" w:cs="Calibri" w:eastAsia="Calibri" w:hAnsi="Calibri"/>
          <w:sz w:val="22"/>
          <w:szCs w:val="22"/>
          <w:b w:val="1"/>
          <w:bCs w:val="1"/>
          <w:color w:val="02365F"/>
        </w:rPr>
        <w:t>Prohibiton of Trading During Pension Plan Blackouts</w:t>
      </w:r>
    </w:p>
    <w:p>
      <w:pPr>
        <w:spacing w:after="0" w:line="47" w:lineRule="exact"/>
        <w:rPr>
          <w:sz w:val="20"/>
          <w:szCs w:val="20"/>
          <w:color w:val="auto"/>
        </w:rPr>
      </w:pPr>
    </w:p>
    <w:p>
      <w:pPr>
        <w:ind w:left="560" w:right="980"/>
        <w:spacing w:after="0" w:line="274" w:lineRule="auto"/>
        <w:rPr>
          <w:sz w:val="20"/>
          <w:szCs w:val="20"/>
          <w:color w:val="auto"/>
        </w:rPr>
      </w:pPr>
      <w:r>
        <w:rPr>
          <w:rFonts w:ascii="Calibri" w:cs="Calibri" w:eastAsia="Calibri" w:hAnsi="Calibri"/>
          <w:sz w:val="18"/>
          <w:szCs w:val="18"/>
          <w:color w:val="52575B"/>
        </w:rPr>
        <w:t>No director or executve ofcer of the Company may, directly or indirectly, purchase, sell or otherwise transfer any equity security of the Company (other than an exempt security) during any “blackout period’’ (as defned in</w:t>
      </w:r>
    </w:p>
    <w:p>
      <w:pPr>
        <w:spacing w:after="0" w:line="11" w:lineRule="exact"/>
        <w:rPr>
          <w:sz w:val="20"/>
          <w:szCs w:val="20"/>
          <w:color w:val="auto"/>
        </w:rPr>
      </w:pPr>
    </w:p>
    <w:p>
      <w:pPr>
        <w:ind w:left="560" w:right="240"/>
        <w:spacing w:after="0" w:line="281" w:lineRule="auto"/>
        <w:rPr>
          <w:sz w:val="20"/>
          <w:szCs w:val="20"/>
          <w:color w:val="auto"/>
        </w:rPr>
      </w:pPr>
      <w:r>
        <w:rPr>
          <w:rFonts w:ascii="Calibri" w:cs="Calibri" w:eastAsia="Calibri" w:hAnsi="Calibri"/>
          <w:sz w:val="18"/>
          <w:szCs w:val="18"/>
          <w:color w:val="52575B"/>
        </w:rPr>
        <w:t>Regulaton BTR under the Exchange Act) if a director or executve ofcer acquires or previously acquired such equity security in connecton with his or her service or employment as a director or executve ofcer. This prohibiton does not apply to any transactons that are specifcally exempted, including but not limited to: purchases or sales of Company securites made pursuant to, and in compliance with, a Trading Plan; compensatory grants or awards of equity securites pursuant to a plan that, by its terms, permits directors and executve ofcers to receive automatc grants or awards and specifes the terms of the grants and awards; or acquisitons of equity securites by will or the laws of descent or pursuant to a domestc relatons order. The Company will notfy each director and executve ofcer of any blackout periods in accordance with the provisions of Regulaton BTR. Because Regulaton BTR is very complex, no director or executve ofcer of the Company should engage in any transactons in Company securites, even if believed to be exempt from Regulaton BTR, without frst consultng a member of the SCC.</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20"/>
                <w:szCs w:val="20"/>
                <w:color w:val="auto"/>
              </w:rPr>
            </w:pPr>
            <w:r>
              <w:rPr>
                <w:rFonts w:ascii="Calibri" w:cs="Calibri" w:eastAsia="Calibri" w:hAnsi="Calibri"/>
                <w:sz w:val="13"/>
                <w:szCs w:val="13"/>
                <w:color w:val="A8ABAD"/>
              </w:rPr>
              <w:t>PRIVILEGED AND CONFIDENTIAL — FOR INTERNAL USE ONLY — NOT FOR DISTRIBUTION</w:t>
            </w:r>
          </w:p>
        </w:tc>
        <w:tc>
          <w:tcPr>
            <w:tcW w:w="800" w:type="dxa"/>
            <w:vAlign w:val="bottom"/>
          </w:tcPr>
          <w:p>
            <w:pPr>
              <w:jc w:val="right"/>
              <w:spacing w:after="0"/>
              <w:rPr>
                <w:sz w:val="20"/>
                <w:szCs w:val="20"/>
                <w:color w:val="auto"/>
              </w:rPr>
            </w:pPr>
            <w:r>
              <w:rPr>
                <w:rFonts w:ascii="Calibri" w:cs="Calibri" w:eastAsia="Calibri" w:hAnsi="Calibri"/>
                <w:sz w:val="13"/>
                <w:szCs w:val="13"/>
                <w:color w:val="A8ABAD"/>
              </w:rPr>
              <w:t>10</w:t>
            </w:r>
          </w:p>
        </w:tc>
      </w:tr>
    </w:tbl>
    <w:p>
      <w:pPr>
        <w:sectPr>
          <w:pgSz w:w="11900" w:h="16838" w:orient="portrait"/>
          <w:cols w:equalWidth="0" w:num="1">
            <w:col w:w="11200"/>
          </w:cols>
          <w:pgMar w:left="360" w:top="99" w:right="339" w:bottom="1440" w:gutter="0" w:footer="0" w:header="0"/>
        </w:sectPr>
      </w:pPr>
    </w:p>
    <w:bookmarkStart w:id="142" w:name="page143"/>
    <w:bookmarkEnd w:id="142"/>
    <w:p>
      <w:pPr>
        <w:jc w:val="right"/>
        <w:spacing w:after="0"/>
        <w:rPr>
          <w:sz w:val="20"/>
          <w:szCs w:val="20"/>
          <w:color w:val="auto"/>
        </w:rPr>
      </w:pPr>
      <w:r>
        <w:rPr>
          <w:rFonts w:ascii="Calibri" w:cs="Calibri" w:eastAsia="Calibri" w:hAnsi="Calibri"/>
          <w:sz w:val="18"/>
          <w:szCs w:val="18"/>
          <w:b w:val="1"/>
          <w:bCs w:val="1"/>
          <w:color w:val="auto"/>
        </w:rPr>
        <w:t>Exhibit 19.1</w:t>
      </w:r>
    </w:p>
    <w:p>
      <w:pPr>
        <w:spacing w:after="0" w:line="70" w:lineRule="exact"/>
        <w:rPr>
          <w:sz w:val="20"/>
          <w:szCs w:val="20"/>
          <w:color w:val="auto"/>
        </w:rPr>
      </w:pPr>
    </w:p>
    <w:p>
      <w:pPr>
        <w:jc w:val="right"/>
        <w:ind w:right="20"/>
        <w:spacing w:after="0"/>
        <w:rPr>
          <w:sz w:val="20"/>
          <w:szCs w:val="20"/>
          <w:color w:val="auto"/>
        </w:rPr>
      </w:pPr>
      <w:r>
        <w:rPr>
          <w:rFonts w:ascii="Calibri" w:cs="Calibri" w:eastAsia="Calibri" w:hAnsi="Calibri"/>
          <w:sz w:val="13"/>
          <w:szCs w:val="13"/>
          <w:color w:val="A8ABAD"/>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0" w:hanging="485"/>
        <w:spacing w:after="0"/>
        <w:tabs>
          <w:tab w:leader="none" w:pos="560" w:val="left"/>
        </w:tabs>
        <w:numPr>
          <w:ilvl w:val="0"/>
          <w:numId w:val="62"/>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Individual Responsibility</w:t>
      </w:r>
    </w:p>
    <w:p>
      <w:pPr>
        <w:spacing w:after="0" w:line="294" w:lineRule="exact"/>
        <w:rPr>
          <w:sz w:val="20"/>
          <w:szCs w:val="20"/>
          <w:color w:val="auto"/>
        </w:rPr>
      </w:pPr>
    </w:p>
    <w:p>
      <w:pPr>
        <w:ind w:left="560" w:right="140"/>
        <w:spacing w:after="0" w:line="282" w:lineRule="auto"/>
        <w:rPr>
          <w:sz w:val="20"/>
          <w:szCs w:val="20"/>
          <w:color w:val="auto"/>
        </w:rPr>
      </w:pPr>
      <w:r>
        <w:rPr>
          <w:rFonts w:ascii="Calibri" w:cs="Calibri" w:eastAsia="Calibri" w:hAnsi="Calibri"/>
          <w:sz w:val="18"/>
          <w:szCs w:val="18"/>
          <w:color w:val="52575B"/>
        </w:rPr>
        <w:t>Persons subject to this Insider Trading Policy have ethical and legal obligatons to maintain the confdentality of informaton about the Company and not to engage in transactons in Company securites while aware of material non-public informaton. Each individual is responsible for making sure that he or she complies with this Insider Trading Policy, and that any family member, household member or other person or entty whose transactons are subject to this Insider Trading Policy, as discussed under Secton 2 (“Persons Subject to Insider Trading Policy”) above, also comply with this Insider Trading Policy. In all cases, the responsibility for determining whether an individual is aware of material non-public informaton rests with that individual, and any acton on the part of the Company or any employee or director of the Company pursuant to this Insider Trading Policy, including any approved Trading Plans described in Secton 5 (“Rule 10b5-1 Trading Plans (Designated Insiders Only)”) above, or otherwise, does not in any way consttute legal advice or insulate an individual from liability under applicable securites laws. You could be subject to severe legal penaltes and disciplinary acton by the Company for any conduct prohibited by this Insider Trading Policy or applicable securites laws. See Secton 8 (“Consequences of an Insider Trading Violaton”) below.</w:t>
      </w:r>
    </w:p>
    <w:p>
      <w:pPr>
        <w:spacing w:after="0" w:line="262" w:lineRule="exact"/>
        <w:rPr>
          <w:sz w:val="20"/>
          <w:szCs w:val="20"/>
          <w:color w:val="auto"/>
        </w:rPr>
      </w:pPr>
    </w:p>
    <w:p>
      <w:pPr>
        <w:ind w:left="560" w:hanging="485"/>
        <w:spacing w:after="0"/>
        <w:tabs>
          <w:tab w:leader="none" w:pos="560" w:val="left"/>
        </w:tabs>
        <w:numPr>
          <w:ilvl w:val="0"/>
          <w:numId w:val="63"/>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Consequences of an Insider Trading Violation</w:t>
      </w:r>
    </w:p>
    <w:p>
      <w:pPr>
        <w:spacing w:after="0" w:line="262" w:lineRule="exact"/>
        <w:rPr>
          <w:sz w:val="20"/>
          <w:szCs w:val="20"/>
          <w:color w:val="auto"/>
        </w:rPr>
      </w:pPr>
    </w:p>
    <w:p>
      <w:pPr>
        <w:ind w:left="560"/>
        <w:spacing w:after="0"/>
        <w:rPr>
          <w:sz w:val="20"/>
          <w:szCs w:val="20"/>
          <w:color w:val="auto"/>
        </w:rPr>
      </w:pPr>
      <w:r>
        <w:rPr>
          <w:rFonts w:ascii="Calibri" w:cs="Calibri" w:eastAsia="Calibri" w:hAnsi="Calibri"/>
          <w:sz w:val="18"/>
          <w:szCs w:val="18"/>
          <w:b w:val="1"/>
          <w:bCs w:val="1"/>
          <w:color w:val="52575B"/>
        </w:rPr>
        <w:t>The consequences of an insider trading violaton can be severe: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365F"/>
        </w:rPr>
        <w:t xml:space="preserve">A. </w:t>
      </w:r>
      <w:r>
        <w:rPr>
          <w:rFonts w:ascii="Calibri" w:cs="Calibri" w:eastAsia="Calibri" w:hAnsi="Calibri"/>
          <w:sz w:val="22"/>
          <w:szCs w:val="22"/>
          <w:b w:val="1"/>
          <w:bCs w:val="1"/>
          <w:color w:val="02365F"/>
        </w:rPr>
        <w:t>On Traders</w:t>
      </w:r>
    </w:p>
    <w:p>
      <w:pPr>
        <w:spacing w:after="0" w:line="43" w:lineRule="exact"/>
        <w:rPr>
          <w:sz w:val="20"/>
          <w:szCs w:val="20"/>
          <w:color w:val="auto"/>
        </w:rPr>
      </w:pPr>
    </w:p>
    <w:p>
      <w:pPr>
        <w:ind w:left="560"/>
        <w:spacing w:after="0"/>
        <w:rPr>
          <w:sz w:val="20"/>
          <w:szCs w:val="20"/>
          <w:color w:val="auto"/>
        </w:rPr>
      </w:pPr>
      <w:r>
        <w:rPr>
          <w:rFonts w:ascii="Calibri" w:cs="Calibri" w:eastAsia="Calibri" w:hAnsi="Calibri"/>
          <w:sz w:val="18"/>
          <w:szCs w:val="18"/>
          <w:color w:val="52575B"/>
        </w:rPr>
        <w:t>Company personnel (or their tppees) who trade on material non-public informaton are subject to the following penalties:</w:t>
      </w:r>
    </w:p>
    <w:p>
      <w:pPr>
        <w:spacing w:after="0" w:line="185" w:lineRule="exact"/>
        <w:rPr>
          <w:sz w:val="20"/>
          <w:szCs w:val="20"/>
          <w:color w:val="auto"/>
        </w:rPr>
      </w:pPr>
    </w:p>
    <w:p>
      <w:pPr>
        <w:ind w:left="960" w:hanging="236"/>
        <w:spacing w:after="0"/>
        <w:tabs>
          <w:tab w:leader="none" w:pos="960" w:val="left"/>
        </w:tabs>
        <w:numPr>
          <w:ilvl w:val="1"/>
          <w:numId w:val="64"/>
        </w:numPr>
        <w:rPr>
          <w:rFonts w:ascii="Arial" w:cs="Arial" w:eastAsia="Arial" w:hAnsi="Arial"/>
          <w:sz w:val="18"/>
          <w:szCs w:val="18"/>
          <w:color w:val="52575B"/>
        </w:rPr>
      </w:pPr>
      <w:r>
        <w:rPr>
          <w:rFonts w:ascii="Calibri" w:cs="Calibri" w:eastAsia="Calibri" w:hAnsi="Calibri"/>
          <w:sz w:val="18"/>
          <w:szCs w:val="18"/>
          <w:color w:val="52575B"/>
        </w:rPr>
        <w:t>A civil penalty of up to three tmes the proft gained or loss avoided;</w:t>
      </w:r>
    </w:p>
    <w:p>
      <w:pPr>
        <w:spacing w:after="0" w:line="266" w:lineRule="exact"/>
        <w:rPr>
          <w:rFonts w:ascii="Arial" w:cs="Arial" w:eastAsia="Arial" w:hAnsi="Arial"/>
          <w:sz w:val="18"/>
          <w:szCs w:val="18"/>
          <w:color w:val="52575B"/>
        </w:rPr>
      </w:pPr>
    </w:p>
    <w:p>
      <w:pPr>
        <w:ind w:left="960" w:hanging="236"/>
        <w:spacing w:after="0"/>
        <w:tabs>
          <w:tab w:leader="none" w:pos="960" w:val="left"/>
        </w:tabs>
        <w:numPr>
          <w:ilvl w:val="1"/>
          <w:numId w:val="64"/>
        </w:numPr>
        <w:rPr>
          <w:rFonts w:ascii="Arial" w:cs="Arial" w:eastAsia="Arial" w:hAnsi="Arial"/>
          <w:sz w:val="18"/>
          <w:szCs w:val="18"/>
          <w:color w:val="52575B"/>
        </w:rPr>
      </w:pPr>
      <w:r>
        <w:rPr>
          <w:rFonts w:ascii="Calibri" w:cs="Calibri" w:eastAsia="Calibri" w:hAnsi="Calibri"/>
          <w:sz w:val="18"/>
          <w:szCs w:val="18"/>
          <w:color w:val="52575B"/>
        </w:rPr>
        <w:t>A criminal fne of up to $5,000,000; and</w:t>
      </w:r>
    </w:p>
    <w:p>
      <w:pPr>
        <w:spacing w:after="0" w:line="252" w:lineRule="exact"/>
        <w:rPr>
          <w:rFonts w:ascii="Arial" w:cs="Arial" w:eastAsia="Arial" w:hAnsi="Arial"/>
          <w:sz w:val="18"/>
          <w:szCs w:val="18"/>
          <w:color w:val="52575B"/>
        </w:rPr>
      </w:pPr>
    </w:p>
    <w:p>
      <w:pPr>
        <w:ind w:left="960" w:hanging="236"/>
        <w:spacing w:after="0"/>
        <w:tabs>
          <w:tab w:leader="none" w:pos="960" w:val="left"/>
        </w:tabs>
        <w:numPr>
          <w:ilvl w:val="1"/>
          <w:numId w:val="64"/>
        </w:numPr>
        <w:rPr>
          <w:rFonts w:ascii="Arial" w:cs="Arial" w:eastAsia="Arial" w:hAnsi="Arial"/>
          <w:sz w:val="18"/>
          <w:szCs w:val="18"/>
          <w:color w:val="52575B"/>
        </w:rPr>
      </w:pPr>
      <w:r>
        <w:rPr>
          <w:rFonts w:ascii="Calibri" w:cs="Calibri" w:eastAsia="Calibri" w:hAnsi="Calibri"/>
          <w:sz w:val="18"/>
          <w:szCs w:val="18"/>
          <w:color w:val="52575B"/>
        </w:rPr>
        <w:t>A jail term of up to twenty (20) years.</w:t>
      </w:r>
    </w:p>
    <w:p>
      <w:pPr>
        <w:spacing w:after="0" w:line="200" w:lineRule="exact"/>
        <w:rPr>
          <w:rFonts w:ascii="Arial" w:cs="Arial" w:eastAsia="Arial" w:hAnsi="Arial"/>
          <w:sz w:val="18"/>
          <w:szCs w:val="18"/>
          <w:color w:val="52575B"/>
        </w:rPr>
      </w:pPr>
    </w:p>
    <w:p>
      <w:pPr>
        <w:spacing w:after="0" w:line="202" w:lineRule="exact"/>
        <w:rPr>
          <w:rFonts w:ascii="Arial" w:cs="Arial" w:eastAsia="Arial" w:hAnsi="Arial"/>
          <w:sz w:val="18"/>
          <w:szCs w:val="18"/>
          <w:color w:val="52575B"/>
        </w:rPr>
      </w:pPr>
    </w:p>
    <w:p>
      <w:pPr>
        <w:ind w:left="840" w:hanging="278"/>
        <w:spacing w:after="0"/>
        <w:tabs>
          <w:tab w:leader="none" w:pos="840" w:val="left"/>
        </w:tabs>
        <w:numPr>
          <w:ilvl w:val="0"/>
          <w:numId w:val="64"/>
        </w:numPr>
        <w:rPr>
          <w:rFonts w:ascii="Arial" w:cs="Arial" w:eastAsia="Arial" w:hAnsi="Arial"/>
          <w:sz w:val="22"/>
          <w:szCs w:val="22"/>
          <w:b w:val="1"/>
          <w:bCs w:val="1"/>
          <w:color w:val="00365F"/>
        </w:rPr>
      </w:pPr>
      <w:r>
        <w:rPr>
          <w:rFonts w:ascii="Calibri" w:cs="Calibri" w:eastAsia="Calibri" w:hAnsi="Calibri"/>
          <w:sz w:val="22"/>
          <w:szCs w:val="22"/>
          <w:b w:val="1"/>
          <w:bCs w:val="1"/>
          <w:color w:val="02365F"/>
        </w:rPr>
        <w:t>On Tippers</w:t>
      </w:r>
    </w:p>
    <w:p>
      <w:pPr>
        <w:spacing w:after="0" w:line="45" w:lineRule="exact"/>
        <w:rPr>
          <w:sz w:val="20"/>
          <w:szCs w:val="20"/>
          <w:color w:val="auto"/>
        </w:rPr>
      </w:pPr>
    </w:p>
    <w:p>
      <w:pPr>
        <w:ind w:left="560" w:right="300"/>
        <w:spacing w:after="0" w:line="274" w:lineRule="auto"/>
        <w:rPr>
          <w:sz w:val="20"/>
          <w:szCs w:val="20"/>
          <w:color w:val="auto"/>
        </w:rPr>
      </w:pPr>
      <w:r>
        <w:rPr>
          <w:rFonts w:ascii="Calibri" w:cs="Calibri" w:eastAsia="Calibri" w:hAnsi="Calibri"/>
          <w:sz w:val="18"/>
          <w:szCs w:val="18"/>
          <w:color w:val="52575B"/>
        </w:rPr>
        <w:t>Company personnel who communicate, or “tp,” material non-public informaton to a person who then trades are subject to the same penaltes as the tppee, even if the person did not trade and did not proft from the tppee’s trading.</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365F"/>
        </w:rPr>
        <w:t xml:space="preserve">C. </w:t>
      </w:r>
      <w:r>
        <w:rPr>
          <w:rFonts w:ascii="Calibri" w:cs="Calibri" w:eastAsia="Calibri" w:hAnsi="Calibri"/>
          <w:sz w:val="22"/>
          <w:szCs w:val="22"/>
          <w:b w:val="1"/>
          <w:bCs w:val="1"/>
          <w:color w:val="02365F"/>
        </w:rPr>
        <w:t>On Control Persons</w:t>
      </w:r>
    </w:p>
    <w:p>
      <w:pPr>
        <w:spacing w:after="0" w:line="61" w:lineRule="exact"/>
        <w:rPr>
          <w:sz w:val="20"/>
          <w:szCs w:val="20"/>
          <w:color w:val="auto"/>
        </w:rPr>
      </w:pPr>
    </w:p>
    <w:p>
      <w:pPr>
        <w:ind w:left="560" w:right="640"/>
        <w:spacing w:after="0" w:line="274" w:lineRule="auto"/>
        <w:rPr>
          <w:sz w:val="20"/>
          <w:szCs w:val="20"/>
          <w:color w:val="auto"/>
        </w:rPr>
      </w:pPr>
      <w:r>
        <w:rPr>
          <w:rFonts w:ascii="Calibri" w:cs="Calibri" w:eastAsia="Calibri" w:hAnsi="Calibri"/>
          <w:sz w:val="18"/>
          <w:szCs w:val="18"/>
          <w:color w:val="52575B"/>
        </w:rPr>
        <w:t>The Company and its supervisory personnel, if they fail to take appropriate steps to prevent illegal insider trading, are subject to the following penaltes:</w:t>
      </w:r>
    </w:p>
    <w:p>
      <w:pPr>
        <w:spacing w:after="0" w:line="182" w:lineRule="exact"/>
        <w:rPr>
          <w:sz w:val="20"/>
          <w:szCs w:val="20"/>
          <w:color w:val="auto"/>
        </w:rPr>
      </w:pPr>
    </w:p>
    <w:p>
      <w:pPr>
        <w:ind w:left="960" w:hanging="236"/>
        <w:spacing w:after="0"/>
        <w:tabs>
          <w:tab w:leader="none" w:pos="960" w:val="left"/>
        </w:tabs>
        <w:numPr>
          <w:ilvl w:val="1"/>
          <w:numId w:val="65"/>
        </w:numPr>
        <w:rPr>
          <w:rFonts w:ascii="Arial" w:cs="Arial" w:eastAsia="Arial" w:hAnsi="Arial"/>
          <w:sz w:val="18"/>
          <w:szCs w:val="18"/>
          <w:color w:val="52575B"/>
        </w:rPr>
      </w:pPr>
      <w:r>
        <w:rPr>
          <w:rFonts w:ascii="Calibri" w:cs="Calibri" w:eastAsia="Calibri" w:hAnsi="Calibri"/>
          <w:sz w:val="18"/>
          <w:szCs w:val="18"/>
          <w:color w:val="52575B"/>
        </w:rPr>
        <w:t>A civil penalty of up to $1,000,000 or, if greater, three tmes the proft gained or loss avoided as a result of the employee’s violaton; and</w:t>
      </w:r>
    </w:p>
    <w:p>
      <w:pPr>
        <w:spacing w:after="0" w:line="185" w:lineRule="exact"/>
        <w:rPr>
          <w:rFonts w:ascii="Arial" w:cs="Arial" w:eastAsia="Arial" w:hAnsi="Arial"/>
          <w:sz w:val="18"/>
          <w:szCs w:val="18"/>
          <w:color w:val="52575B"/>
        </w:rPr>
      </w:pPr>
    </w:p>
    <w:p>
      <w:pPr>
        <w:ind w:left="960" w:hanging="236"/>
        <w:spacing w:after="0"/>
        <w:tabs>
          <w:tab w:leader="none" w:pos="960" w:val="left"/>
        </w:tabs>
        <w:numPr>
          <w:ilvl w:val="1"/>
          <w:numId w:val="65"/>
        </w:numPr>
        <w:rPr>
          <w:rFonts w:ascii="Arial" w:cs="Arial" w:eastAsia="Arial" w:hAnsi="Arial"/>
          <w:sz w:val="18"/>
          <w:szCs w:val="18"/>
          <w:color w:val="52575B"/>
        </w:rPr>
      </w:pPr>
      <w:r>
        <w:rPr>
          <w:rFonts w:ascii="Calibri" w:cs="Calibri" w:eastAsia="Calibri" w:hAnsi="Calibri"/>
          <w:sz w:val="18"/>
          <w:szCs w:val="18"/>
          <w:color w:val="52575B"/>
        </w:rPr>
        <w:t>A criminal penalty of up to $5,000,000 for individuals and up to $25,000,000 for the Company.</w:t>
      </w:r>
    </w:p>
    <w:p>
      <w:pPr>
        <w:spacing w:after="0" w:line="200" w:lineRule="exact"/>
        <w:rPr>
          <w:rFonts w:ascii="Arial" w:cs="Arial" w:eastAsia="Arial" w:hAnsi="Arial"/>
          <w:sz w:val="18"/>
          <w:szCs w:val="18"/>
          <w:color w:val="52575B"/>
        </w:rPr>
      </w:pPr>
    </w:p>
    <w:p>
      <w:pPr>
        <w:spacing w:after="0" w:line="200" w:lineRule="exact"/>
        <w:rPr>
          <w:rFonts w:ascii="Arial" w:cs="Arial" w:eastAsia="Arial" w:hAnsi="Arial"/>
          <w:sz w:val="18"/>
          <w:szCs w:val="18"/>
          <w:color w:val="52575B"/>
        </w:rPr>
      </w:pPr>
    </w:p>
    <w:p>
      <w:pPr>
        <w:ind w:left="820" w:hanging="258"/>
        <w:spacing w:after="0"/>
        <w:tabs>
          <w:tab w:leader="none" w:pos="820" w:val="left"/>
        </w:tabs>
        <w:numPr>
          <w:ilvl w:val="0"/>
          <w:numId w:val="65"/>
        </w:numPr>
        <w:rPr>
          <w:rFonts w:ascii="Arial" w:cs="Arial" w:eastAsia="Arial" w:hAnsi="Arial"/>
          <w:sz w:val="22"/>
          <w:szCs w:val="22"/>
          <w:b w:val="1"/>
          <w:bCs w:val="1"/>
          <w:color w:val="00365F"/>
        </w:rPr>
      </w:pPr>
      <w:r>
        <w:rPr>
          <w:rFonts w:ascii="Calibri" w:cs="Calibri" w:eastAsia="Calibri" w:hAnsi="Calibri"/>
          <w:sz w:val="22"/>
          <w:szCs w:val="22"/>
          <w:b w:val="1"/>
          <w:bCs w:val="1"/>
          <w:color w:val="02365F"/>
        </w:rPr>
        <w:t>Additonal Sanctons by the Company</w:t>
      </w:r>
    </w:p>
    <w:p>
      <w:pPr>
        <w:spacing w:after="0" w:line="47" w:lineRule="exact"/>
        <w:rPr>
          <w:sz w:val="20"/>
          <w:szCs w:val="20"/>
          <w:color w:val="auto"/>
        </w:rPr>
      </w:pPr>
    </w:p>
    <w:p>
      <w:pPr>
        <w:ind w:left="720" w:right="360"/>
        <w:spacing w:after="0" w:line="274" w:lineRule="auto"/>
        <w:rPr>
          <w:sz w:val="20"/>
          <w:szCs w:val="20"/>
          <w:color w:val="auto"/>
        </w:rPr>
      </w:pPr>
      <w:r>
        <w:rPr>
          <w:rFonts w:ascii="Calibri" w:cs="Calibri" w:eastAsia="Calibri" w:hAnsi="Calibri"/>
          <w:sz w:val="18"/>
          <w:szCs w:val="18"/>
          <w:color w:val="52575B"/>
        </w:rPr>
        <w:t>An employee’s failure to comply with the Company’s Insider Trading Policy may subject the employee to Company-imposed sanctons, including terminaton of employment for cause, whether the employee’s failure to comply results in a violaton of law.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20"/>
                <w:szCs w:val="20"/>
                <w:color w:val="auto"/>
              </w:rPr>
            </w:pPr>
            <w:r>
              <w:rPr>
                <w:rFonts w:ascii="Calibri" w:cs="Calibri" w:eastAsia="Calibri" w:hAnsi="Calibri"/>
                <w:sz w:val="13"/>
                <w:szCs w:val="13"/>
                <w:color w:val="A8ABAD"/>
              </w:rPr>
              <w:t>PRIVILEGED AND CONFIDENTIAL — FOR INTERNAL USE ONLY — NOT FOR DISTRIBUTION</w:t>
            </w:r>
          </w:p>
        </w:tc>
        <w:tc>
          <w:tcPr>
            <w:tcW w:w="800" w:type="dxa"/>
            <w:vAlign w:val="bottom"/>
          </w:tcPr>
          <w:p>
            <w:pPr>
              <w:jc w:val="right"/>
              <w:spacing w:after="0"/>
              <w:rPr>
                <w:sz w:val="20"/>
                <w:szCs w:val="20"/>
                <w:color w:val="auto"/>
              </w:rPr>
            </w:pPr>
            <w:r>
              <w:rPr>
                <w:rFonts w:ascii="Calibri" w:cs="Calibri" w:eastAsia="Calibri" w:hAnsi="Calibri"/>
                <w:sz w:val="13"/>
                <w:szCs w:val="13"/>
                <w:color w:val="A8ABAD"/>
              </w:rPr>
              <w:t>11</w:t>
            </w:r>
          </w:p>
        </w:tc>
      </w:tr>
    </w:tbl>
    <w:p>
      <w:pPr>
        <w:sectPr>
          <w:pgSz w:w="11900" w:h="16838" w:orient="portrait"/>
          <w:cols w:equalWidth="0" w:num="1">
            <w:col w:w="11200"/>
          </w:cols>
          <w:pgMar w:left="360" w:top="99" w:right="339" w:bottom="1440" w:gutter="0" w:footer="0" w:header="0"/>
        </w:sectPr>
      </w:pPr>
    </w:p>
    <w:bookmarkStart w:id="143" w:name="page144"/>
    <w:bookmarkEnd w:id="143"/>
    <w:p>
      <w:pPr>
        <w:spacing w:after="0" w:line="158" w:lineRule="exact"/>
        <w:rPr>
          <w:sz w:val="20"/>
          <w:szCs w:val="20"/>
          <w:color w:val="auto"/>
        </w:rPr>
      </w:pPr>
    </w:p>
    <w:p>
      <w:pPr>
        <w:ind w:left="520" w:hanging="485"/>
        <w:spacing w:after="0"/>
        <w:tabs>
          <w:tab w:leader="none" w:pos="520" w:val="left"/>
        </w:tabs>
        <w:numPr>
          <w:ilvl w:val="0"/>
          <w:numId w:val="66"/>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Company Assistance</w:t>
      </w:r>
    </w:p>
    <w:p>
      <w:pPr>
        <w:spacing w:after="0" w:line="294" w:lineRule="exact"/>
        <w:rPr>
          <w:sz w:val="20"/>
          <w:szCs w:val="20"/>
          <w:color w:val="auto"/>
        </w:rPr>
      </w:pPr>
    </w:p>
    <w:p>
      <w:pPr>
        <w:jc w:val="both"/>
        <w:ind w:left="520" w:right="60"/>
        <w:spacing w:after="0" w:line="277" w:lineRule="auto"/>
        <w:rPr>
          <w:sz w:val="20"/>
          <w:szCs w:val="20"/>
          <w:color w:val="auto"/>
        </w:rPr>
      </w:pPr>
      <w:r>
        <w:rPr>
          <w:rFonts w:ascii="Calibri" w:cs="Calibri" w:eastAsia="Calibri" w:hAnsi="Calibri"/>
          <w:sz w:val="18"/>
          <w:szCs w:val="18"/>
          <w:color w:val="52575B"/>
        </w:rPr>
        <w:t xml:space="preserve">If you have a queston about this Insider Trading Policy or its applicaton to any proposed transacton you may obtain additonal guidance from any member of the SCC at </w:t>
      </w:r>
      <w:r>
        <w:rPr>
          <w:rFonts w:ascii="Calibri" w:cs="Calibri" w:eastAsia="Calibri" w:hAnsi="Calibri"/>
          <w:sz w:val="18"/>
          <w:szCs w:val="18"/>
          <w:u w:val="single" w:color="auto"/>
          <w:color w:val="205E9E"/>
        </w:rPr>
        <w:t>exelixis-scc@exelixis.com</w:t>
      </w:r>
      <w:r>
        <w:rPr>
          <w:rFonts w:ascii="Calibri" w:cs="Calibri" w:eastAsia="Calibri" w:hAnsi="Calibri"/>
          <w:sz w:val="18"/>
          <w:szCs w:val="18"/>
          <w:color w:val="52575B"/>
        </w:rPr>
        <w:t>. Ultmately, however, the responsibility for complying with this Insider Trading Policy and avoiding unlawful transactons rests with you.</w:t>
      </w:r>
    </w:p>
    <w:p>
      <w:pPr>
        <w:spacing w:after="0" w:line="260" w:lineRule="exact"/>
        <w:rPr>
          <w:sz w:val="20"/>
          <w:szCs w:val="20"/>
          <w:color w:val="auto"/>
        </w:rPr>
      </w:pPr>
    </w:p>
    <w:p>
      <w:pPr>
        <w:ind w:left="540" w:hanging="505"/>
        <w:spacing w:after="0"/>
        <w:tabs>
          <w:tab w:leader="none" w:pos="540" w:val="left"/>
        </w:tabs>
        <w:numPr>
          <w:ilvl w:val="0"/>
          <w:numId w:val="67"/>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Administraton and Amendments</w:t>
      </w:r>
    </w:p>
    <w:p>
      <w:pPr>
        <w:spacing w:after="0" w:line="294" w:lineRule="exact"/>
        <w:rPr>
          <w:sz w:val="20"/>
          <w:szCs w:val="20"/>
          <w:color w:val="auto"/>
        </w:rPr>
      </w:pPr>
    </w:p>
    <w:p>
      <w:pPr>
        <w:ind w:left="520"/>
        <w:spacing w:after="0" w:line="284" w:lineRule="auto"/>
        <w:rPr>
          <w:sz w:val="20"/>
          <w:szCs w:val="20"/>
          <w:color w:val="auto"/>
        </w:rPr>
      </w:pPr>
      <w:r>
        <w:rPr>
          <w:rFonts w:ascii="Calibri" w:cs="Calibri" w:eastAsia="Calibri" w:hAnsi="Calibri"/>
          <w:sz w:val="18"/>
          <w:szCs w:val="18"/>
          <w:color w:val="52575B"/>
        </w:rPr>
        <w:t>This Insider Trading Policy shall be administered by the Company’s SCC under the directon of the Compensaton Commitee of the Company’s Board of Directors. Except for technical, administratve and other non-substantve changes, this Insider Trading Policy may be amended only by the Company’s Board of Directors.</w:t>
      </w:r>
    </w:p>
    <w:p>
      <w:pPr>
        <w:spacing w:after="0" w:line="255" w:lineRule="exact"/>
        <w:rPr>
          <w:sz w:val="20"/>
          <w:szCs w:val="20"/>
          <w:color w:val="auto"/>
        </w:rPr>
      </w:pPr>
    </w:p>
    <w:p>
      <w:pPr>
        <w:ind w:left="600" w:hanging="565"/>
        <w:spacing w:after="0"/>
        <w:tabs>
          <w:tab w:leader="none" w:pos="600" w:val="left"/>
        </w:tabs>
        <w:numPr>
          <w:ilvl w:val="0"/>
          <w:numId w:val="68"/>
        </w:numPr>
        <w:rPr>
          <w:rFonts w:ascii="Arial" w:cs="Arial" w:eastAsia="Arial" w:hAnsi="Arial"/>
          <w:sz w:val="25"/>
          <w:szCs w:val="25"/>
          <w:b w:val="1"/>
          <w:bCs w:val="1"/>
          <w:color w:val="00365F"/>
        </w:rPr>
      </w:pPr>
      <w:r>
        <w:rPr>
          <w:rFonts w:ascii="Calibri" w:cs="Calibri" w:eastAsia="Calibri" w:hAnsi="Calibri"/>
          <w:sz w:val="25"/>
          <w:szCs w:val="25"/>
          <w:b w:val="1"/>
          <w:bCs w:val="1"/>
          <w:color w:val="02365F"/>
        </w:rPr>
        <w:t>Certfcaton</w:t>
      </w:r>
    </w:p>
    <w:p>
      <w:pPr>
        <w:spacing w:after="0" w:line="294" w:lineRule="exact"/>
        <w:rPr>
          <w:sz w:val="20"/>
          <w:szCs w:val="20"/>
          <w:color w:val="auto"/>
        </w:rPr>
      </w:pPr>
    </w:p>
    <w:p>
      <w:pPr>
        <w:ind w:left="520" w:right="80"/>
        <w:spacing w:after="0" w:line="274" w:lineRule="auto"/>
        <w:rPr>
          <w:sz w:val="20"/>
          <w:szCs w:val="20"/>
          <w:color w:val="auto"/>
        </w:rPr>
      </w:pPr>
      <w:r>
        <w:rPr>
          <w:rFonts w:ascii="Calibri" w:cs="Calibri" w:eastAsia="Calibri" w:hAnsi="Calibri"/>
          <w:sz w:val="18"/>
          <w:szCs w:val="18"/>
          <w:color w:val="52575B"/>
        </w:rPr>
        <w:t>All employees and directors subject to this Insider Trading Policy must certfy their understanding of, and intent to comply with, all provisions of the Company’s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3"/>
          <w:szCs w:val="13"/>
          <w:color w:val="A8ABAD"/>
        </w:rPr>
        <w:t>12</w:t>
      </w:r>
      <w:r>
        <w:rPr>
          <w:sz w:val="20"/>
          <w:szCs w:val="20"/>
          <w:color w:val="auto"/>
        </w:rPr>
        <w:tab/>
      </w:r>
      <w:r>
        <w:rPr>
          <w:rFonts w:ascii="Calibri" w:cs="Calibri" w:eastAsia="Calibri" w:hAnsi="Calibri"/>
          <w:sz w:val="13"/>
          <w:szCs w:val="13"/>
          <w:color w:val="A8ABAD"/>
        </w:rPr>
        <w:t>PRIVILEGED AND CONFIDENTIAL — FOR INTERNAL USE ONLY — NOT FOR DISTRIBUTION</w:t>
      </w:r>
    </w:p>
    <w:p>
      <w:pPr>
        <w:sectPr>
          <w:pgSz w:w="11900" w:h="16838" w:orient="portrait"/>
          <w:cols w:equalWidth="0" w:num="1">
            <w:col w:w="11000"/>
          </w:cols>
          <w:pgMar w:left="400" w:top="1440" w:right="499" w:bottom="1440" w:gutter="0" w:footer="0" w:header="0"/>
        </w:sectPr>
      </w:pPr>
    </w:p>
    <w:bookmarkStart w:id="144" w:name="page145"/>
    <w:bookmarkEnd w:id="144"/>
    <w:p>
      <w:pPr>
        <w:jc w:val="right"/>
        <w:spacing w:after="0"/>
        <w:rPr>
          <w:sz w:val="20"/>
          <w:szCs w:val="20"/>
          <w:color w:val="auto"/>
        </w:rPr>
      </w:pPr>
      <w:r>
        <w:rPr>
          <w:rFonts w:ascii="Calibri" w:cs="Calibri" w:eastAsia="Calibri" w:hAnsi="Calibri"/>
          <w:sz w:val="18"/>
          <w:szCs w:val="18"/>
          <w:b w:val="1"/>
          <w:bCs w:val="1"/>
          <w:color w:val="auto"/>
        </w:rPr>
        <w:t>Exhibit 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15240</wp:posOffset>
            </wp:positionV>
            <wp:extent cx="1062990" cy="274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Rule 10b5-1 Trading Plan Policy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1.  Purpose</w:t>
      </w:r>
    </w:p>
    <w:p>
      <w:pPr>
        <w:spacing w:after="0" w:line="188" w:lineRule="exact"/>
        <w:rPr>
          <w:sz w:val="20"/>
          <w:szCs w:val="20"/>
          <w:color w:val="auto"/>
        </w:rPr>
      </w:pPr>
    </w:p>
    <w:p>
      <w:pPr>
        <w:ind w:right="60"/>
        <w:spacing w:after="0" w:line="229" w:lineRule="auto"/>
        <w:rPr>
          <w:sz w:val="20"/>
          <w:szCs w:val="20"/>
          <w:color w:val="auto"/>
        </w:rPr>
      </w:pPr>
      <w:r>
        <w:rPr>
          <w:rFonts w:ascii="Calibri" w:cs="Calibri" w:eastAsia="Calibri" w:hAnsi="Calibri"/>
          <w:sz w:val="22"/>
          <w:szCs w:val="22"/>
          <w:color w:val="auto"/>
        </w:rPr>
        <w:t>This Rule 10b5-1 Trading Plan Policy (the “Trading Plan Policy”) has been established by the Board of Directors of Exelixis, Inc. (“Exelixis” or the “Company”) and sets forth procedures governing when the Company’s directors, executve ofcers and certain other employees designated by the Company’s Securites Compliance Commitee (“SCC”) (referred to in this Trading Plan Policy as “Designated Insiders”) may trade in Company securites. This Trading Plan Policy was adopted to:</w:t>
      </w:r>
    </w:p>
    <w:p>
      <w:pPr>
        <w:spacing w:after="0" w:line="177" w:lineRule="exact"/>
        <w:rPr>
          <w:sz w:val="20"/>
          <w:szCs w:val="20"/>
          <w:color w:val="auto"/>
        </w:rPr>
      </w:pPr>
    </w:p>
    <w:p>
      <w:pPr>
        <w:ind w:left="660" w:right="240" w:hanging="328"/>
        <w:spacing w:after="0" w:line="229" w:lineRule="auto"/>
        <w:tabs>
          <w:tab w:leader="none" w:pos="660" w:val="left"/>
        </w:tabs>
        <w:numPr>
          <w:ilvl w:val="1"/>
          <w:numId w:val="69"/>
        </w:numPr>
        <w:rPr>
          <w:rFonts w:ascii="Calibri" w:cs="Calibri" w:eastAsia="Calibri" w:hAnsi="Calibri"/>
          <w:sz w:val="22"/>
          <w:szCs w:val="22"/>
          <w:color w:val="auto"/>
        </w:rPr>
      </w:pPr>
      <w:r>
        <w:rPr>
          <w:rFonts w:ascii="Calibri" w:cs="Calibri" w:eastAsia="Calibri" w:hAnsi="Calibri"/>
          <w:sz w:val="22"/>
          <w:szCs w:val="22"/>
          <w:color w:val="auto"/>
        </w:rPr>
        <w:t>assist the Company’s ofcers, directors and employees in meetng the requirements of the afrmatve defense created by Rule 10b5-1 (“Rule 10b5-1”) under the Securites Exchange Act of 1934, as amended (the “Exchange Act”), in a manner that is consistent with the best interests of the Company; and</w:t>
      </w:r>
    </w:p>
    <w:p>
      <w:pPr>
        <w:spacing w:after="0" w:line="152" w:lineRule="exact"/>
        <w:rPr>
          <w:rFonts w:ascii="Calibri" w:cs="Calibri" w:eastAsia="Calibri" w:hAnsi="Calibri"/>
          <w:sz w:val="22"/>
          <w:szCs w:val="22"/>
          <w:color w:val="auto"/>
        </w:rPr>
      </w:pPr>
    </w:p>
    <w:p>
      <w:pPr>
        <w:ind w:left="660" w:hanging="328"/>
        <w:spacing w:after="0"/>
        <w:tabs>
          <w:tab w:leader="none" w:pos="660" w:val="left"/>
        </w:tabs>
        <w:numPr>
          <w:ilvl w:val="1"/>
          <w:numId w:val="69"/>
        </w:numPr>
        <w:rPr>
          <w:rFonts w:ascii="Calibri" w:cs="Calibri" w:eastAsia="Calibri" w:hAnsi="Calibri"/>
          <w:sz w:val="22"/>
          <w:szCs w:val="22"/>
          <w:color w:val="auto"/>
        </w:rPr>
      </w:pPr>
      <w:r>
        <w:rPr>
          <w:rFonts w:ascii="Calibri" w:cs="Calibri" w:eastAsia="Calibri" w:hAnsi="Calibri"/>
          <w:sz w:val="22"/>
          <w:szCs w:val="22"/>
          <w:color w:val="auto"/>
        </w:rPr>
        <w:t>avoid the appearance of practces that might be viewed as abusive based on later developments.</w:t>
      </w:r>
    </w:p>
    <w:p>
      <w:pPr>
        <w:spacing w:after="0" w:line="149" w:lineRule="exact"/>
        <w:rPr>
          <w:rFonts w:ascii="Calibri" w:cs="Calibri" w:eastAsia="Calibri" w:hAnsi="Calibri"/>
          <w:sz w:val="22"/>
          <w:szCs w:val="22"/>
          <w:color w:val="auto"/>
        </w:rPr>
      </w:pPr>
    </w:p>
    <w:p>
      <w:pPr>
        <w:ind w:left="320" w:hanging="312"/>
        <w:spacing w:after="0"/>
        <w:tabs>
          <w:tab w:leader="none" w:pos="320" w:val="left"/>
        </w:tabs>
        <w:numPr>
          <w:ilvl w:val="0"/>
          <w:numId w:val="6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Scope and Administraton</w:t>
      </w:r>
    </w:p>
    <w:p>
      <w:pPr>
        <w:spacing w:after="0" w:line="161" w:lineRule="exact"/>
        <w:rPr>
          <w:sz w:val="20"/>
          <w:szCs w:val="20"/>
          <w:color w:val="auto"/>
        </w:rPr>
      </w:pPr>
    </w:p>
    <w:p>
      <w:pPr>
        <w:ind w:right="100"/>
        <w:spacing w:after="0" w:line="231" w:lineRule="auto"/>
        <w:rPr>
          <w:sz w:val="20"/>
          <w:szCs w:val="20"/>
          <w:color w:val="auto"/>
        </w:rPr>
      </w:pPr>
      <w:r>
        <w:rPr>
          <w:rFonts w:ascii="Calibri" w:cs="Calibri" w:eastAsia="Calibri" w:hAnsi="Calibri"/>
          <w:sz w:val="22"/>
          <w:szCs w:val="22"/>
          <w:color w:val="auto"/>
        </w:rPr>
        <w:t>This Trading Plan Policy defnes procedures and guidelines for establishing, modifying and terminatng Trading Plans (as defned below) under Rule 10b5-1 and a guideline for trading in Company securites generally. This Trading Plan Policy shall be administered by the Company’s SCC under the directon of the Compensaton Commitee of the Company’s Board of Directors (“Compensaton Commitee”). The Compensaton Commitee shall have the authority to interpret and, if it deems necessary, advisable or appropriate, to approve exceptons to, or grant waivers of, this Trading Plan Policy.</w:t>
      </w:r>
    </w:p>
    <w:p>
      <w:pPr>
        <w:spacing w:after="0" w:line="15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3.  Responsibility</w:t>
      </w:r>
    </w:p>
    <w:p>
      <w:pPr>
        <w:spacing w:after="0" w:line="176" w:lineRule="exact"/>
        <w:rPr>
          <w:sz w:val="20"/>
          <w:szCs w:val="20"/>
          <w:color w:val="auto"/>
        </w:rPr>
      </w:pPr>
    </w:p>
    <w:p>
      <w:pPr>
        <w:ind w:right="60"/>
        <w:spacing w:after="0" w:line="229" w:lineRule="auto"/>
        <w:rPr>
          <w:sz w:val="20"/>
          <w:szCs w:val="20"/>
          <w:color w:val="auto"/>
        </w:rPr>
      </w:pPr>
      <w:r>
        <w:rPr>
          <w:rFonts w:ascii="Calibri" w:cs="Calibri" w:eastAsia="Calibri" w:hAnsi="Calibri"/>
          <w:sz w:val="22"/>
          <w:szCs w:val="22"/>
          <w:color w:val="auto"/>
        </w:rPr>
        <w:t>Any Designated Insider who seeks to establish a Trading Plan relatng to Company securites is required to adhere to this Trading Plan Policy.</w:t>
      </w:r>
    </w:p>
    <w:p>
      <w:pPr>
        <w:spacing w:after="0" w:line="15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4.  Policies</w:t>
      </w:r>
    </w:p>
    <w:p>
      <w:pPr>
        <w:spacing w:after="0" w:line="160" w:lineRule="exact"/>
        <w:rPr>
          <w:sz w:val="20"/>
          <w:szCs w:val="20"/>
          <w:color w:val="auto"/>
        </w:rPr>
      </w:pPr>
    </w:p>
    <w:p>
      <w:pPr>
        <w:ind w:right="120"/>
        <w:spacing w:after="0" w:line="233" w:lineRule="auto"/>
        <w:rPr>
          <w:sz w:val="20"/>
          <w:szCs w:val="20"/>
          <w:color w:val="auto"/>
        </w:rPr>
      </w:pPr>
      <w:r>
        <w:rPr>
          <w:rFonts w:ascii="Calibri" w:cs="Calibri" w:eastAsia="Calibri" w:hAnsi="Calibri"/>
          <w:sz w:val="22"/>
          <w:szCs w:val="22"/>
          <w:color w:val="auto"/>
        </w:rPr>
        <w:t>Rule 10b5-1 provides, subject to compliance with the applicable provisions of the rule, an afrmatve defense for persons, such as a Designated Insider, against allegatons of insider trading if the person’s transactons occur under a previously established contract, plan or instructon (a “Trading Plan”).</w:t>
      </w:r>
    </w:p>
    <w:p>
      <w:pPr>
        <w:spacing w:after="0" w:line="150" w:lineRule="exact"/>
        <w:rPr>
          <w:sz w:val="20"/>
          <w:szCs w:val="20"/>
          <w:color w:val="auto"/>
        </w:rPr>
      </w:pPr>
    </w:p>
    <w:p>
      <w:pPr>
        <w:ind w:left="660" w:hanging="652"/>
        <w:spacing w:after="0"/>
        <w:tabs>
          <w:tab w:leader="none" w:pos="660" w:val="left"/>
        </w:tabs>
        <w:numPr>
          <w:ilvl w:val="0"/>
          <w:numId w:val="70"/>
        </w:numPr>
        <w:rPr>
          <w:rFonts w:ascii="Calibri" w:cs="Calibri" w:eastAsia="Calibri" w:hAnsi="Calibri"/>
          <w:sz w:val="22"/>
          <w:szCs w:val="22"/>
          <w:b w:val="1"/>
          <w:bCs w:val="1"/>
          <w:color w:val="auto"/>
        </w:rPr>
      </w:pPr>
      <w:r>
        <w:rPr>
          <w:rFonts w:ascii="Calibri" w:cs="Calibri" w:eastAsia="Calibri" w:hAnsi="Calibri"/>
          <w:sz w:val="22"/>
          <w:szCs w:val="22"/>
          <w:b w:val="1"/>
          <w:bCs w:val="1"/>
          <w:i w:val="1"/>
          <w:iCs w:val="1"/>
          <w:color w:val="auto"/>
        </w:rPr>
        <w:t>10b5-1 Trading Plans</w:t>
      </w:r>
    </w:p>
    <w:p>
      <w:pPr>
        <w:spacing w:after="0" w:line="162" w:lineRule="exact"/>
        <w:rPr>
          <w:rFonts w:ascii="Calibri" w:cs="Calibri" w:eastAsia="Calibri" w:hAnsi="Calibri"/>
          <w:sz w:val="22"/>
          <w:szCs w:val="22"/>
          <w:b w:val="1"/>
          <w:bCs w:val="1"/>
          <w:color w:val="auto"/>
        </w:rPr>
      </w:pPr>
    </w:p>
    <w:p>
      <w:pPr>
        <w:ind w:left="1300" w:right="60" w:hanging="644"/>
        <w:spacing w:after="0" w:line="229" w:lineRule="auto"/>
        <w:tabs>
          <w:tab w:leader="none" w:pos="1296" w:val="left"/>
        </w:tabs>
        <w:numPr>
          <w:ilvl w:val="1"/>
          <w:numId w:val="70"/>
        </w:numPr>
        <w:rPr>
          <w:rFonts w:ascii="Calibri" w:cs="Calibri" w:eastAsia="Calibri" w:hAnsi="Calibri"/>
          <w:sz w:val="22"/>
          <w:szCs w:val="22"/>
          <w:color w:val="auto"/>
        </w:rPr>
      </w:pPr>
      <w:r>
        <w:rPr>
          <w:rFonts w:ascii="Calibri" w:cs="Calibri" w:eastAsia="Calibri" w:hAnsi="Calibri"/>
          <w:sz w:val="22"/>
          <w:szCs w:val="22"/>
          <w:color w:val="auto"/>
        </w:rPr>
        <w:t>Under the Exelixis, Inc. Insider Trading Policy, any person subject to a “blackout” period (“Designated Insiders” as defned in the Insider Trading Policy) may sell (or purchase) Company securites under Trading Plans that comply with Rule 10b5-1, applicable state laws and this Trading Plan Policy, and are pre-cleared in advance, in writng, by the SCC.</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w:t>
      </w:r>
    </w:p>
    <w:p>
      <w:pPr>
        <w:sectPr>
          <w:pgSz w:w="11900" w:h="16838" w:orient="portrait"/>
          <w:cols w:equalWidth="0" w:num="1">
            <w:col w:w="11240"/>
          </w:cols>
          <w:pgMar w:left="320" w:top="112" w:right="339" w:bottom="1440" w:gutter="0" w:footer="0" w:header="0"/>
        </w:sectPr>
      </w:pPr>
    </w:p>
    <w:bookmarkStart w:id="145" w:name="page146"/>
    <w:bookmarkEnd w:id="145"/>
    <w:p>
      <w:pPr>
        <w:jc w:val="right"/>
        <w:spacing w:after="0"/>
        <w:rPr>
          <w:sz w:val="20"/>
          <w:szCs w:val="20"/>
          <w:color w:val="auto"/>
        </w:rPr>
      </w:pPr>
      <w:r>
        <w:rPr>
          <w:rFonts w:ascii="Calibri" w:cs="Calibri" w:eastAsia="Calibri" w:hAnsi="Calibri"/>
          <w:sz w:val="18"/>
          <w:szCs w:val="18"/>
          <w:b w:val="1"/>
          <w:bCs w:val="1"/>
          <w:color w:val="auto"/>
        </w:rPr>
        <w:t>Exhibit 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15240</wp:posOffset>
            </wp:positionV>
            <wp:extent cx="1062990"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Rule 10b5-1 Trading Plan Policy</w:t>
      </w:r>
    </w:p>
    <w:p>
      <w:pPr>
        <w:spacing w:after="0" w:line="200" w:lineRule="exact"/>
        <w:rPr>
          <w:sz w:val="20"/>
          <w:szCs w:val="20"/>
          <w:color w:val="auto"/>
        </w:rPr>
      </w:pPr>
    </w:p>
    <w:p>
      <w:pPr>
        <w:spacing w:after="0" w:line="379" w:lineRule="exact"/>
        <w:rPr>
          <w:sz w:val="20"/>
          <w:szCs w:val="20"/>
          <w:color w:val="auto"/>
        </w:rPr>
      </w:pPr>
    </w:p>
    <w:p>
      <w:pPr>
        <w:ind w:left="1300" w:right="60" w:hanging="644"/>
        <w:spacing w:after="0" w:line="229" w:lineRule="auto"/>
        <w:tabs>
          <w:tab w:leader="none" w:pos="1292" w:val="left"/>
        </w:tabs>
        <w:numPr>
          <w:ilvl w:val="1"/>
          <w:numId w:val="71"/>
        </w:numPr>
        <w:rPr>
          <w:rFonts w:ascii="Calibri" w:cs="Calibri" w:eastAsia="Calibri" w:hAnsi="Calibri"/>
          <w:sz w:val="22"/>
          <w:szCs w:val="22"/>
          <w:color w:val="auto"/>
        </w:rPr>
      </w:pPr>
      <w:r>
        <w:rPr>
          <w:rFonts w:ascii="Calibri" w:cs="Calibri" w:eastAsia="Calibri" w:hAnsi="Calibri"/>
          <w:sz w:val="22"/>
          <w:szCs w:val="22"/>
          <w:color w:val="auto"/>
        </w:rPr>
        <w:t>The Trading Plan must: (a) specify the amount, price and date of the transacton(s); (b) include a writen formula for determining amounts, prices and dates for the transacton(s); or (c) not permit the person adoptng the Trading Plan to exercise any subsequent infuence over how, when, or whether to make purchases or sales (other than modifcatons or terminatons in compliance with Rule 10b5-1 and this Trading Plan Policy).</w:t>
      </w:r>
    </w:p>
    <w:p>
      <w:pPr>
        <w:spacing w:after="0" w:line="217" w:lineRule="exact"/>
        <w:rPr>
          <w:rFonts w:ascii="Calibri" w:cs="Calibri" w:eastAsia="Calibri" w:hAnsi="Calibri"/>
          <w:sz w:val="22"/>
          <w:szCs w:val="22"/>
          <w:color w:val="auto"/>
        </w:rPr>
      </w:pPr>
    </w:p>
    <w:p>
      <w:pPr>
        <w:ind w:left="1300"/>
        <w:spacing w:after="0"/>
        <w:rPr>
          <w:rFonts w:ascii="Calibri" w:cs="Calibri" w:eastAsia="Calibri" w:hAnsi="Calibri"/>
          <w:sz w:val="22"/>
          <w:szCs w:val="22"/>
          <w:color w:val="auto"/>
        </w:rPr>
      </w:pPr>
      <w:r>
        <w:rPr>
          <w:rFonts w:ascii="Calibri" w:cs="Calibri" w:eastAsia="Calibri" w:hAnsi="Calibri"/>
          <w:sz w:val="22"/>
          <w:szCs w:val="22"/>
          <w:color w:val="auto"/>
        </w:rPr>
        <w:t>For the purposes of a Trading Plan, the following defnitons apply:</w:t>
      </w:r>
    </w:p>
    <w:p>
      <w:pPr>
        <w:spacing w:after="0" w:line="216" w:lineRule="exact"/>
        <w:rPr>
          <w:rFonts w:ascii="Calibri" w:cs="Calibri" w:eastAsia="Calibri" w:hAnsi="Calibri"/>
          <w:sz w:val="22"/>
          <w:szCs w:val="22"/>
          <w:color w:val="auto"/>
        </w:rPr>
      </w:pPr>
    </w:p>
    <w:p>
      <w:pPr>
        <w:ind w:left="1620" w:right="120" w:hanging="316"/>
        <w:spacing w:after="0" w:line="229" w:lineRule="auto"/>
        <w:tabs>
          <w:tab w:leader="none" w:pos="1620" w:val="left"/>
        </w:tabs>
        <w:numPr>
          <w:ilvl w:val="2"/>
          <w:numId w:val="71"/>
        </w:numPr>
        <w:rPr>
          <w:rFonts w:ascii="Calibri" w:cs="Calibri" w:eastAsia="Calibri" w:hAnsi="Calibri"/>
          <w:sz w:val="22"/>
          <w:szCs w:val="22"/>
          <w:color w:val="auto"/>
        </w:rPr>
      </w:pPr>
      <w:r>
        <w:rPr>
          <w:rFonts w:ascii="Calibri" w:cs="Calibri" w:eastAsia="Calibri" w:hAnsi="Calibri"/>
          <w:sz w:val="22"/>
          <w:szCs w:val="22"/>
          <w:color w:val="auto"/>
        </w:rPr>
        <w:t>“amount” means a specifed number of shares of the Company’s common stock or a specifed dollar value of securites.</w:t>
      </w:r>
    </w:p>
    <w:p>
      <w:pPr>
        <w:spacing w:after="0" w:line="205" w:lineRule="exact"/>
        <w:rPr>
          <w:rFonts w:ascii="Calibri" w:cs="Calibri" w:eastAsia="Calibri" w:hAnsi="Calibri"/>
          <w:sz w:val="22"/>
          <w:szCs w:val="22"/>
          <w:color w:val="auto"/>
        </w:rPr>
      </w:pPr>
    </w:p>
    <w:p>
      <w:pPr>
        <w:ind w:left="1620" w:hanging="316"/>
        <w:spacing w:after="0"/>
        <w:tabs>
          <w:tab w:leader="none" w:pos="1620" w:val="left"/>
        </w:tabs>
        <w:numPr>
          <w:ilvl w:val="2"/>
          <w:numId w:val="71"/>
        </w:numPr>
        <w:rPr>
          <w:rFonts w:ascii="Calibri" w:cs="Calibri" w:eastAsia="Calibri" w:hAnsi="Calibri"/>
          <w:sz w:val="22"/>
          <w:szCs w:val="22"/>
          <w:color w:val="auto"/>
        </w:rPr>
      </w:pPr>
      <w:r>
        <w:rPr>
          <w:rFonts w:ascii="Calibri" w:cs="Calibri" w:eastAsia="Calibri" w:hAnsi="Calibri"/>
          <w:sz w:val="22"/>
          <w:szCs w:val="22"/>
          <w:color w:val="auto"/>
        </w:rPr>
        <w:t>“price” means a market price on a partcular date or a limit price, or a partcular dollar price.</w:t>
      </w:r>
    </w:p>
    <w:p>
      <w:pPr>
        <w:spacing w:after="0" w:line="214" w:lineRule="exact"/>
        <w:rPr>
          <w:rFonts w:ascii="Calibri" w:cs="Calibri" w:eastAsia="Calibri" w:hAnsi="Calibri"/>
          <w:sz w:val="22"/>
          <w:szCs w:val="22"/>
          <w:color w:val="auto"/>
        </w:rPr>
      </w:pPr>
    </w:p>
    <w:p>
      <w:pPr>
        <w:ind w:left="1620" w:right="60" w:hanging="316"/>
        <w:spacing w:after="0" w:line="233" w:lineRule="auto"/>
        <w:tabs>
          <w:tab w:leader="none" w:pos="1620" w:val="left"/>
        </w:tabs>
        <w:numPr>
          <w:ilvl w:val="2"/>
          <w:numId w:val="71"/>
        </w:numPr>
        <w:rPr>
          <w:rFonts w:ascii="Calibri" w:cs="Calibri" w:eastAsia="Calibri" w:hAnsi="Calibri"/>
          <w:sz w:val="22"/>
          <w:szCs w:val="22"/>
          <w:color w:val="auto"/>
        </w:rPr>
      </w:pPr>
      <w:r>
        <w:rPr>
          <w:rFonts w:ascii="Calibri" w:cs="Calibri" w:eastAsia="Calibri" w:hAnsi="Calibri"/>
          <w:sz w:val="22"/>
          <w:szCs w:val="22"/>
          <w:color w:val="auto"/>
        </w:rPr>
        <w:t>“date” means the day of the year when the order is to be executed, or as soon thereafer as is practcal under ordinary principles of best executon. In case of a limit order, “date,” means the day of the year when the order is in efect.</w:t>
      </w:r>
    </w:p>
    <w:p>
      <w:pPr>
        <w:spacing w:after="0" w:line="203" w:lineRule="exact"/>
        <w:rPr>
          <w:rFonts w:ascii="Calibri" w:cs="Calibri" w:eastAsia="Calibri" w:hAnsi="Calibri"/>
          <w:sz w:val="22"/>
          <w:szCs w:val="22"/>
          <w:color w:val="auto"/>
        </w:rPr>
      </w:pPr>
    </w:p>
    <w:p>
      <w:pPr>
        <w:ind w:left="1300" w:right="400" w:hanging="644"/>
        <w:spacing w:after="0" w:line="202" w:lineRule="auto"/>
        <w:tabs>
          <w:tab w:leader="none" w:pos="1287" w:val="left"/>
        </w:tabs>
        <w:numPr>
          <w:ilvl w:val="1"/>
          <w:numId w:val="71"/>
        </w:numPr>
        <w:rPr>
          <w:rFonts w:ascii="Calibri" w:cs="Calibri" w:eastAsia="Calibri" w:hAnsi="Calibri"/>
          <w:sz w:val="22"/>
          <w:szCs w:val="22"/>
          <w:color w:val="auto"/>
        </w:rPr>
      </w:pPr>
      <w:r>
        <w:rPr>
          <w:rFonts w:ascii="Calibri" w:cs="Calibri" w:eastAsia="Calibri" w:hAnsi="Calibri"/>
          <w:sz w:val="22"/>
          <w:szCs w:val="22"/>
          <w:color w:val="auto"/>
        </w:rPr>
        <w:t>Other than Trading Plans providing for nondiscretonary sell-to-cover transactons to satsfy tax withholding obligatons arising exclusively from the vestng of restricted stock or restricted stock units (“Qualifed Sell-to-Cover Transactons”), Trading Plans that are designed to efect the open-market purchase or sale of Company securites as a single trade may only be entered into once per 12-month period.</w:t>
      </w:r>
    </w:p>
    <w:p>
      <w:pPr>
        <w:spacing w:after="0" w:line="165" w:lineRule="exact"/>
        <w:rPr>
          <w:rFonts w:ascii="Calibri" w:cs="Calibri" w:eastAsia="Calibri" w:hAnsi="Calibri"/>
          <w:sz w:val="22"/>
          <w:szCs w:val="22"/>
          <w:color w:val="auto"/>
        </w:rPr>
      </w:pPr>
    </w:p>
    <w:p>
      <w:pPr>
        <w:ind w:left="640" w:hanging="632"/>
        <w:spacing w:after="0"/>
        <w:tabs>
          <w:tab w:leader="none" w:pos="640" w:val="left"/>
        </w:tabs>
        <w:numPr>
          <w:ilvl w:val="0"/>
          <w:numId w:val="72"/>
        </w:numPr>
        <w:rPr>
          <w:rFonts w:ascii="Calibri" w:cs="Calibri" w:eastAsia="Calibri" w:hAnsi="Calibri"/>
          <w:sz w:val="22"/>
          <w:szCs w:val="22"/>
          <w:b w:val="1"/>
          <w:bCs w:val="1"/>
          <w:color w:val="auto"/>
        </w:rPr>
      </w:pPr>
      <w:r>
        <w:rPr>
          <w:rFonts w:ascii="Calibri" w:cs="Calibri" w:eastAsia="Calibri" w:hAnsi="Calibri"/>
          <w:sz w:val="22"/>
          <w:szCs w:val="22"/>
          <w:b w:val="1"/>
          <w:bCs w:val="1"/>
          <w:i w:val="1"/>
          <w:iCs w:val="1"/>
          <w:color w:val="auto"/>
        </w:rPr>
        <w:t>Procedures for Adoptng, Modifying and Terminatng Trading Plans</w:t>
      </w:r>
    </w:p>
    <w:p>
      <w:pPr>
        <w:spacing w:after="0" w:line="173" w:lineRule="exact"/>
        <w:rPr>
          <w:rFonts w:ascii="Calibri" w:cs="Calibri" w:eastAsia="Calibri" w:hAnsi="Calibri"/>
          <w:sz w:val="22"/>
          <w:szCs w:val="22"/>
          <w:b w:val="1"/>
          <w:bCs w:val="1"/>
          <w:color w:val="auto"/>
        </w:rPr>
      </w:pPr>
    </w:p>
    <w:p>
      <w:pPr>
        <w:ind w:left="1300" w:right="20" w:hanging="644"/>
        <w:spacing w:after="0" w:line="202" w:lineRule="auto"/>
        <w:tabs>
          <w:tab w:leader="none" w:pos="1296" w:val="left"/>
        </w:tabs>
        <w:numPr>
          <w:ilvl w:val="1"/>
          <w:numId w:val="72"/>
        </w:numPr>
        <w:rPr>
          <w:rFonts w:ascii="Calibri" w:cs="Calibri" w:eastAsia="Calibri" w:hAnsi="Calibri"/>
          <w:sz w:val="22"/>
          <w:szCs w:val="22"/>
          <w:color w:val="auto"/>
        </w:rPr>
      </w:pPr>
      <w:r>
        <w:rPr>
          <w:rFonts w:ascii="Calibri" w:cs="Calibri" w:eastAsia="Calibri" w:hAnsi="Calibri"/>
          <w:sz w:val="22"/>
          <w:szCs w:val="22"/>
          <w:color w:val="auto"/>
        </w:rPr>
        <w:t>Any person wishing to establish a Trading Plan under this Trading Plan Policy (or to modify or terminate an existng Trading Plan) must frst obtain writen clearance from the SCC. The SCC shall be enttled to approve or deny any proposed Trading Plan (or modifcaton or terminaton of any existng Trading Plan) in the SCC’s sole and absolute discreton and to require the terminaton or suspension of a Trading Plan at any tme.</w:t>
      </w:r>
    </w:p>
    <w:p>
      <w:pPr>
        <w:spacing w:after="0" w:line="175" w:lineRule="exact"/>
        <w:rPr>
          <w:rFonts w:ascii="Calibri" w:cs="Calibri" w:eastAsia="Calibri" w:hAnsi="Calibri"/>
          <w:sz w:val="22"/>
          <w:szCs w:val="22"/>
          <w:color w:val="auto"/>
        </w:rPr>
      </w:pPr>
    </w:p>
    <w:p>
      <w:pPr>
        <w:ind w:left="1300" w:right="100" w:hanging="644"/>
        <w:spacing w:after="0" w:line="202" w:lineRule="auto"/>
        <w:tabs>
          <w:tab w:leader="none" w:pos="1292" w:val="left"/>
        </w:tabs>
        <w:numPr>
          <w:ilvl w:val="1"/>
          <w:numId w:val="72"/>
        </w:numPr>
        <w:rPr>
          <w:rFonts w:ascii="Calibri" w:cs="Calibri" w:eastAsia="Calibri" w:hAnsi="Calibri"/>
          <w:sz w:val="22"/>
          <w:szCs w:val="22"/>
          <w:color w:val="auto"/>
        </w:rPr>
      </w:pPr>
      <w:r>
        <w:rPr>
          <w:rFonts w:ascii="Calibri" w:cs="Calibri" w:eastAsia="Calibri" w:hAnsi="Calibri"/>
          <w:sz w:val="22"/>
          <w:szCs w:val="22"/>
          <w:color w:val="auto"/>
        </w:rPr>
        <w:t>The Company’s clearance of a Trading Plan does not in any way consttute the rendering of fnancial, tax or legal advice to the person establishing a Trading Plan. Moreover, the SCC’s clearance of a Trading Plan does not consttute a representaton or warranty that the Trading Plan is valid under Rule 10b5-1. It is the responsibility of the person who adopts a Trading Plan to ensure compliance with Rule 10b5-1.</w:t>
      </w:r>
    </w:p>
    <w:p>
      <w:pPr>
        <w:spacing w:after="0" w:line="189" w:lineRule="exact"/>
        <w:rPr>
          <w:rFonts w:ascii="Calibri" w:cs="Calibri" w:eastAsia="Calibri" w:hAnsi="Calibri"/>
          <w:sz w:val="22"/>
          <w:szCs w:val="22"/>
          <w:color w:val="auto"/>
        </w:rPr>
      </w:pPr>
    </w:p>
    <w:p>
      <w:pPr>
        <w:ind w:left="1300" w:right="340" w:hanging="644"/>
        <w:spacing w:after="0" w:line="239" w:lineRule="auto"/>
        <w:tabs>
          <w:tab w:leader="none" w:pos="1287" w:val="left"/>
        </w:tabs>
        <w:numPr>
          <w:ilvl w:val="1"/>
          <w:numId w:val="72"/>
        </w:numPr>
        <w:rPr>
          <w:rFonts w:ascii="Calibri" w:cs="Calibri" w:eastAsia="Calibri" w:hAnsi="Calibri"/>
          <w:sz w:val="21"/>
          <w:szCs w:val="21"/>
          <w:color w:val="auto"/>
        </w:rPr>
      </w:pPr>
      <w:r>
        <w:rPr>
          <w:rFonts w:ascii="Calibri" w:cs="Calibri" w:eastAsia="Calibri" w:hAnsi="Calibri"/>
          <w:sz w:val="21"/>
          <w:szCs w:val="21"/>
          <w:color w:val="auto"/>
        </w:rPr>
        <w:t>A proposed Trading Plan (or modifcaton or terminaton of any existng Trading Plan) shall comply with and/or include the following elements, as well as such additonal terms and conditons as the SCC may require:</w:t>
      </w:r>
    </w:p>
    <w:p>
      <w:pPr>
        <w:spacing w:after="0" w:line="154" w:lineRule="exact"/>
        <w:rPr>
          <w:sz w:val="20"/>
          <w:szCs w:val="20"/>
          <w:color w:val="auto"/>
        </w:rPr>
      </w:pPr>
    </w:p>
    <w:p>
      <w:pPr>
        <w:ind w:left="1940" w:hanging="636"/>
        <w:spacing w:after="0"/>
        <w:tabs>
          <w:tab w:leader="none" w:pos="1940" w:val="left"/>
        </w:tabs>
        <w:numPr>
          <w:ilvl w:val="0"/>
          <w:numId w:val="73"/>
        </w:numPr>
        <w:rPr>
          <w:rFonts w:ascii="Calibri" w:cs="Calibri" w:eastAsia="Calibri" w:hAnsi="Calibri"/>
          <w:sz w:val="22"/>
          <w:szCs w:val="22"/>
          <w:color w:val="auto"/>
        </w:rPr>
      </w:pPr>
      <w:r>
        <w:rPr>
          <w:rFonts w:ascii="Calibri" w:cs="Calibri" w:eastAsia="Calibri" w:hAnsi="Calibri"/>
          <w:sz w:val="22"/>
          <w:szCs w:val="22"/>
          <w:color w:val="auto"/>
        </w:rPr>
        <w:t>All Trading Plans must be in writng.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240"/>
          </w:cols>
          <w:pgMar w:left="320" w:top="112" w:right="339" w:bottom="1440" w:gutter="0" w:footer="0" w:header="0"/>
        </w:sectPr>
      </w:pPr>
    </w:p>
    <w:bookmarkStart w:id="146" w:name="page147"/>
    <w:bookmarkEnd w:id="146"/>
    <w:p>
      <w:pPr>
        <w:jc w:val="right"/>
        <w:spacing w:after="0"/>
        <w:rPr>
          <w:sz w:val="20"/>
          <w:szCs w:val="20"/>
          <w:color w:val="auto"/>
        </w:rPr>
      </w:pPr>
      <w:r>
        <w:rPr>
          <w:rFonts w:ascii="Calibri" w:cs="Calibri" w:eastAsia="Calibri" w:hAnsi="Calibri"/>
          <w:sz w:val="18"/>
          <w:szCs w:val="18"/>
          <w:b w:val="1"/>
          <w:bCs w:val="1"/>
          <w:color w:val="auto"/>
        </w:rPr>
        <w:t>Exhibit 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15240</wp:posOffset>
            </wp:positionV>
            <wp:extent cx="106299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3100"/>
        <w:spacing w:after="0"/>
        <w:rPr>
          <w:sz w:val="20"/>
          <w:szCs w:val="20"/>
          <w:color w:val="auto"/>
        </w:rPr>
      </w:pPr>
      <w:r>
        <w:rPr>
          <w:rFonts w:ascii="Calibri" w:cs="Calibri" w:eastAsia="Calibri" w:hAnsi="Calibri"/>
          <w:sz w:val="22"/>
          <w:szCs w:val="22"/>
          <w:b w:val="1"/>
          <w:bCs w:val="1"/>
          <w:color w:val="auto"/>
        </w:rPr>
        <w:t>Rule 10b5-1 Trading Plan Policy</w:t>
      </w:r>
    </w:p>
    <w:p>
      <w:pPr>
        <w:spacing w:after="0" w:line="200" w:lineRule="exact"/>
        <w:rPr>
          <w:sz w:val="20"/>
          <w:szCs w:val="20"/>
          <w:color w:val="auto"/>
        </w:rPr>
      </w:pPr>
    </w:p>
    <w:p>
      <w:pPr>
        <w:spacing w:after="0" w:line="379" w:lineRule="exact"/>
        <w:rPr>
          <w:sz w:val="20"/>
          <w:szCs w:val="20"/>
          <w:color w:val="auto"/>
        </w:rPr>
      </w:pPr>
    </w:p>
    <w:p>
      <w:pPr>
        <w:ind w:left="840" w:right="20" w:hanging="656"/>
        <w:spacing w:after="0" w:line="231" w:lineRule="auto"/>
        <w:tabs>
          <w:tab w:leader="none" w:pos="832" w:val="left"/>
        </w:tabs>
        <w:numPr>
          <w:ilvl w:val="0"/>
          <w:numId w:val="74"/>
        </w:numPr>
        <w:rPr>
          <w:rFonts w:ascii="Calibri" w:cs="Calibri" w:eastAsia="Calibri" w:hAnsi="Calibri"/>
          <w:sz w:val="22"/>
          <w:szCs w:val="22"/>
          <w:color w:val="auto"/>
        </w:rPr>
      </w:pPr>
      <w:r>
        <w:rPr>
          <w:rFonts w:ascii="Calibri" w:cs="Calibri" w:eastAsia="Calibri" w:hAnsi="Calibri"/>
          <w:sz w:val="22"/>
          <w:szCs w:val="22"/>
          <w:color w:val="auto"/>
        </w:rPr>
        <w:t>All Trading Plans must include or be accompanied by a writen representaton from the Designated Insider statng that such Designated Insider: (a) is not aware of any material non-public informaton at the tme that the Trading Plan is adopted or modifed; and (b) intends for the Trading Plan to comply with the requirements of Rule 10b5-1 in good faith and such adopton of a Trading Plan (or modifcaton or terminaton of an existng Trading Plan) is not part of a plan or scheme to evade the prohibitons of Rule 10b5-1.</w:t>
      </w:r>
    </w:p>
    <w:p>
      <w:pPr>
        <w:spacing w:after="0" w:line="163" w:lineRule="exact"/>
        <w:rPr>
          <w:rFonts w:ascii="Calibri" w:cs="Calibri" w:eastAsia="Calibri" w:hAnsi="Calibri"/>
          <w:sz w:val="22"/>
          <w:szCs w:val="22"/>
          <w:color w:val="auto"/>
        </w:rPr>
      </w:pPr>
    </w:p>
    <w:p>
      <w:pPr>
        <w:ind w:left="840" w:right="40" w:hanging="656"/>
        <w:spacing w:after="0" w:line="231" w:lineRule="auto"/>
        <w:tabs>
          <w:tab w:leader="none" w:pos="837" w:val="left"/>
        </w:tabs>
        <w:numPr>
          <w:ilvl w:val="0"/>
          <w:numId w:val="74"/>
        </w:numPr>
        <w:rPr>
          <w:rFonts w:ascii="Calibri" w:cs="Calibri" w:eastAsia="Calibri" w:hAnsi="Calibri"/>
          <w:sz w:val="22"/>
          <w:szCs w:val="22"/>
          <w:color w:val="auto"/>
        </w:rPr>
      </w:pPr>
      <w:r>
        <w:rPr>
          <w:rFonts w:ascii="Calibri" w:cs="Calibri" w:eastAsia="Calibri" w:hAnsi="Calibri"/>
          <w:sz w:val="22"/>
          <w:szCs w:val="22"/>
          <w:color w:val="auto"/>
        </w:rPr>
        <w:t>The SCC will not approve a Trading Plan when there is material informaton that has not been publicly disclosed at the tme that a person wishes to enter into a Trading Plan (or to modify or terminate an existng Trading Plan) or when the SCC determines, in its sole and absolute discreton, that it is against the best interest of the Company for a person to enter into a Trading Plan at the proposed tme or on the proposed terms. If there is any such undisclosed material informaton or other determinaton, the SCC may delay its approval of the Trading Plan untl the informaton has been disclosed or untl such tme as is determined not to be against the Company’s best interest.</w:t>
      </w:r>
    </w:p>
    <w:p>
      <w:pPr>
        <w:spacing w:after="0" w:line="161" w:lineRule="exact"/>
        <w:rPr>
          <w:rFonts w:ascii="Calibri" w:cs="Calibri" w:eastAsia="Calibri" w:hAnsi="Calibri"/>
          <w:sz w:val="22"/>
          <w:szCs w:val="22"/>
          <w:color w:val="auto"/>
        </w:rPr>
      </w:pPr>
    </w:p>
    <w:p>
      <w:pPr>
        <w:ind w:left="840" w:right="280" w:hanging="656"/>
        <w:spacing w:after="0" w:line="232" w:lineRule="auto"/>
        <w:tabs>
          <w:tab w:leader="none" w:pos="832" w:val="left"/>
        </w:tabs>
        <w:numPr>
          <w:ilvl w:val="0"/>
          <w:numId w:val="74"/>
        </w:numPr>
        <w:rPr>
          <w:rFonts w:ascii="Calibri" w:cs="Calibri" w:eastAsia="Calibri" w:hAnsi="Calibri"/>
          <w:sz w:val="22"/>
          <w:szCs w:val="22"/>
          <w:color w:val="auto"/>
        </w:rPr>
      </w:pPr>
      <w:r>
        <w:rPr>
          <w:rFonts w:ascii="Calibri" w:cs="Calibri" w:eastAsia="Calibri" w:hAnsi="Calibri"/>
          <w:sz w:val="22"/>
          <w:szCs w:val="22"/>
          <w:color w:val="auto"/>
        </w:rPr>
        <w:t>No person may enter into a Trading Plan or modify an existng Trading Plan during a quarterly or special blackout period in which the person is not permited to purchase or sell pursuant to the Insider Trading Policy, or when a person is aware of any material non-public informaton about the Company or its securites.</w:t>
      </w:r>
    </w:p>
    <w:p>
      <w:pPr>
        <w:spacing w:after="0" w:line="163" w:lineRule="exact"/>
        <w:rPr>
          <w:rFonts w:ascii="Calibri" w:cs="Calibri" w:eastAsia="Calibri" w:hAnsi="Calibri"/>
          <w:sz w:val="22"/>
          <w:szCs w:val="22"/>
          <w:color w:val="auto"/>
        </w:rPr>
      </w:pPr>
    </w:p>
    <w:p>
      <w:pPr>
        <w:jc w:val="both"/>
        <w:ind w:left="840" w:right="220" w:hanging="656"/>
        <w:spacing w:after="0" w:line="229" w:lineRule="auto"/>
        <w:tabs>
          <w:tab w:leader="none" w:pos="840" w:val="left"/>
        </w:tabs>
        <w:numPr>
          <w:ilvl w:val="0"/>
          <w:numId w:val="74"/>
        </w:numPr>
        <w:rPr>
          <w:rFonts w:ascii="Calibri" w:cs="Calibri" w:eastAsia="Calibri" w:hAnsi="Calibri"/>
          <w:sz w:val="22"/>
          <w:szCs w:val="22"/>
          <w:color w:val="auto"/>
        </w:rPr>
      </w:pPr>
      <w:r>
        <w:rPr>
          <w:rFonts w:ascii="Calibri" w:cs="Calibri" w:eastAsia="Calibri" w:hAnsi="Calibri"/>
          <w:sz w:val="22"/>
          <w:szCs w:val="22"/>
          <w:color w:val="auto"/>
        </w:rPr>
        <w:t>Date of frst trade afer adoptng a new Trading Plan and any modifcatons to an existng Trading Plan to change the amount, price or tming of the purchase or sale of securites underlying such Trading Plan (a “Material Modifcaton”):</w:t>
      </w:r>
    </w:p>
    <w:p>
      <w:pPr>
        <w:spacing w:after="0" w:line="176" w:lineRule="exact"/>
        <w:rPr>
          <w:rFonts w:ascii="Calibri" w:cs="Calibri" w:eastAsia="Calibri" w:hAnsi="Calibri"/>
          <w:sz w:val="22"/>
          <w:szCs w:val="22"/>
          <w:color w:val="auto"/>
        </w:rPr>
      </w:pPr>
    </w:p>
    <w:p>
      <w:pPr>
        <w:ind w:left="1160" w:right="80" w:hanging="328"/>
        <w:spacing w:after="0"/>
        <w:tabs>
          <w:tab w:leader="none" w:pos="1160" w:val="left"/>
        </w:tabs>
        <w:numPr>
          <w:ilvl w:val="1"/>
          <w:numId w:val="74"/>
        </w:numPr>
        <w:rPr>
          <w:rFonts w:ascii="Calibri" w:cs="Calibri" w:eastAsia="Calibri" w:hAnsi="Calibri"/>
          <w:sz w:val="21"/>
          <w:szCs w:val="21"/>
          <w:color w:val="auto"/>
        </w:rPr>
      </w:pPr>
      <w:r>
        <w:rPr>
          <w:rFonts w:ascii="Calibri" w:cs="Calibri" w:eastAsia="Calibri" w:hAnsi="Calibri"/>
          <w:sz w:val="21"/>
          <w:szCs w:val="21"/>
          <w:color w:val="auto"/>
        </w:rPr>
        <w:t>For persons subject to Secton 16 of the Exchange Act, including the Company’s directors and executve ofcers (collectvely, “Secton 16 Filers”), the Trading Plan must provide that the frst trade shall not occur untl afer the later of: (a) 90 days afer the date of adopton; or (b) two business days following the Company’s fling of a Quarterly Report on Form 10-Q or Annual Report on Form 10-K for the fscal quarter in which the Trading Plan was adopted, provided that the tme period in subsecton</w:t>
      </w:r>
    </w:p>
    <w:p>
      <w:pPr>
        <w:spacing w:after="0" w:line="2" w:lineRule="exact"/>
        <w:rPr>
          <w:rFonts w:ascii="Calibri" w:cs="Calibri" w:eastAsia="Calibri" w:hAnsi="Calibri"/>
          <w:sz w:val="21"/>
          <w:szCs w:val="21"/>
          <w:color w:val="auto"/>
        </w:rPr>
      </w:pPr>
    </w:p>
    <w:p>
      <w:pPr>
        <w:ind w:left="1160"/>
        <w:spacing w:after="0" w:line="229" w:lineRule="auto"/>
        <w:rPr>
          <w:rFonts w:ascii="Calibri" w:cs="Calibri" w:eastAsia="Calibri" w:hAnsi="Calibri"/>
          <w:sz w:val="21"/>
          <w:szCs w:val="21"/>
          <w:color w:val="auto"/>
        </w:rPr>
      </w:pPr>
      <w:r>
        <w:rPr>
          <w:rFonts w:ascii="Calibri" w:cs="Calibri" w:eastAsia="Calibri" w:hAnsi="Calibri"/>
          <w:sz w:val="22"/>
          <w:szCs w:val="22"/>
          <w:color w:val="auto"/>
        </w:rPr>
        <w:t>(b) shall be a maximum of 120 days afer the date of adopton.</w:t>
      </w:r>
    </w:p>
    <w:p>
      <w:pPr>
        <w:ind w:left="1160" w:right="280" w:hanging="328"/>
        <w:spacing w:after="0" w:line="222" w:lineRule="auto"/>
        <w:tabs>
          <w:tab w:leader="none" w:pos="1160" w:val="left"/>
        </w:tabs>
        <w:numPr>
          <w:ilvl w:val="1"/>
          <w:numId w:val="74"/>
        </w:numPr>
        <w:rPr>
          <w:rFonts w:ascii="Calibri" w:cs="Calibri" w:eastAsia="Calibri" w:hAnsi="Calibri"/>
          <w:sz w:val="22"/>
          <w:szCs w:val="22"/>
          <w:color w:val="auto"/>
        </w:rPr>
      </w:pPr>
      <w:r>
        <w:rPr>
          <w:rFonts w:ascii="Calibri" w:cs="Calibri" w:eastAsia="Calibri" w:hAnsi="Calibri"/>
          <w:sz w:val="22"/>
          <w:szCs w:val="22"/>
          <w:color w:val="auto"/>
        </w:rPr>
        <w:t>For all other persons, the Trading Plan must provide that the frst trade shall not occur untl afer 30 days afer the date o</w:t>
      </w:r>
      <w:r>
        <w:rPr>
          <w:rFonts w:ascii="Times New Roman" w:cs="Times New Roman" w:eastAsia="Times New Roman" w:hAnsi="Times New Roman"/>
          <w:sz w:val="22"/>
          <w:szCs w:val="22"/>
          <w:color w:val="auto"/>
        </w:rPr>
        <w:t>f adoption.</w:t>
      </w:r>
    </w:p>
    <w:p>
      <w:pPr>
        <w:spacing w:after="0" w:line="122" w:lineRule="exact"/>
        <w:rPr>
          <w:rFonts w:ascii="Calibri" w:cs="Calibri" w:eastAsia="Calibri" w:hAnsi="Calibri"/>
          <w:sz w:val="22"/>
          <w:szCs w:val="22"/>
          <w:color w:val="auto"/>
        </w:rPr>
      </w:pPr>
    </w:p>
    <w:p>
      <w:pPr>
        <w:ind w:left="840" w:right="240" w:hanging="656"/>
        <w:spacing w:after="0" w:line="229" w:lineRule="auto"/>
        <w:tabs>
          <w:tab w:leader="none" w:pos="825" w:val="left"/>
        </w:tabs>
        <w:numPr>
          <w:ilvl w:val="0"/>
          <w:numId w:val="74"/>
        </w:numPr>
        <w:rPr>
          <w:rFonts w:ascii="Calibri" w:cs="Calibri" w:eastAsia="Calibri" w:hAnsi="Calibri"/>
          <w:sz w:val="22"/>
          <w:szCs w:val="22"/>
          <w:color w:val="auto"/>
        </w:rPr>
      </w:pPr>
      <w:r>
        <w:rPr>
          <w:rFonts w:ascii="Calibri" w:cs="Calibri" w:eastAsia="Calibri" w:hAnsi="Calibri"/>
          <w:sz w:val="22"/>
          <w:szCs w:val="22"/>
          <w:color w:val="auto"/>
        </w:rPr>
        <w:t>The Company shall comply with the applicable disclosure requirements of the Exchange Act relatng to Trading Plans, and in additon, the Company may determine, and shall be enttled, to otherwise publicly disclose that a</w:t>
      </w:r>
    </w:p>
    <w:p>
      <w:pPr>
        <w:spacing w:after="0" w:line="200" w:lineRule="exact"/>
        <w:rPr>
          <w:sz w:val="20"/>
          <w:szCs w:val="20"/>
          <w:color w:val="auto"/>
        </w:rPr>
      </w:pPr>
    </w:p>
    <w:p>
      <w:pPr>
        <w:spacing w:after="0" w:line="342" w:lineRule="exact"/>
        <w:rPr>
          <w:sz w:val="20"/>
          <w:szCs w:val="20"/>
          <w:color w:val="auto"/>
        </w:rPr>
      </w:pPr>
    </w:p>
    <w:p>
      <w:pPr>
        <w:ind w:left="4440"/>
        <w:spacing w:after="0"/>
        <w:rPr>
          <w:sz w:val="20"/>
          <w:szCs w:val="20"/>
          <w:color w:val="auto"/>
        </w:rPr>
      </w:pPr>
      <w:r>
        <w:rPr>
          <w:rFonts w:ascii="Calibri" w:cs="Calibri" w:eastAsia="Calibri" w:hAnsi="Calibri"/>
          <w:sz w:val="22"/>
          <w:szCs w:val="22"/>
          <w:color w:val="auto"/>
        </w:rPr>
        <w:t>3</w:t>
      </w:r>
    </w:p>
    <w:p>
      <w:pPr>
        <w:sectPr>
          <w:pgSz w:w="11900" w:h="16838" w:orient="portrait"/>
          <w:cols w:equalWidth="0" w:num="1">
            <w:col w:w="10120"/>
          </w:cols>
          <w:pgMar w:left="1440" w:top="112" w:right="339" w:bottom="1440" w:gutter="0" w:footer="0" w:header="0"/>
        </w:sectPr>
      </w:pPr>
    </w:p>
    <w:bookmarkStart w:id="147" w:name="page148"/>
    <w:bookmarkEnd w:id="147"/>
    <w:p>
      <w:pPr>
        <w:jc w:val="right"/>
        <w:spacing w:after="0"/>
        <w:rPr>
          <w:sz w:val="20"/>
          <w:szCs w:val="20"/>
          <w:color w:val="auto"/>
        </w:rPr>
      </w:pPr>
      <w:r>
        <w:rPr>
          <w:rFonts w:ascii="Calibri" w:cs="Calibri" w:eastAsia="Calibri" w:hAnsi="Calibri"/>
          <w:sz w:val="18"/>
          <w:szCs w:val="18"/>
          <w:b w:val="1"/>
          <w:bCs w:val="1"/>
          <w:color w:val="auto"/>
        </w:rPr>
        <w:t>Exhibit 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15240</wp:posOffset>
            </wp:positionV>
            <wp:extent cx="1062990" cy="274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3100"/>
        <w:spacing w:after="0"/>
        <w:rPr>
          <w:sz w:val="20"/>
          <w:szCs w:val="20"/>
          <w:color w:val="auto"/>
        </w:rPr>
      </w:pPr>
      <w:r>
        <w:rPr>
          <w:rFonts w:ascii="Calibri" w:cs="Calibri" w:eastAsia="Calibri" w:hAnsi="Calibri"/>
          <w:sz w:val="22"/>
          <w:szCs w:val="22"/>
          <w:b w:val="1"/>
          <w:bCs w:val="1"/>
          <w:color w:val="auto"/>
        </w:rPr>
        <w:t>Rule 10b5-1 Trading Plan Policy</w:t>
      </w:r>
    </w:p>
    <w:p>
      <w:pPr>
        <w:spacing w:after="0" w:line="200" w:lineRule="exact"/>
        <w:rPr>
          <w:sz w:val="20"/>
          <w:szCs w:val="20"/>
          <w:color w:val="auto"/>
        </w:rPr>
      </w:pPr>
    </w:p>
    <w:p>
      <w:pPr>
        <w:spacing w:after="0" w:line="379" w:lineRule="exact"/>
        <w:rPr>
          <w:sz w:val="20"/>
          <w:szCs w:val="20"/>
          <w:color w:val="auto"/>
        </w:rPr>
      </w:pPr>
    </w:p>
    <w:p>
      <w:pPr>
        <w:ind w:left="840" w:right="140"/>
        <w:spacing w:after="0" w:line="229" w:lineRule="auto"/>
        <w:rPr>
          <w:sz w:val="20"/>
          <w:szCs w:val="20"/>
          <w:color w:val="auto"/>
        </w:rPr>
      </w:pPr>
      <w:r>
        <w:rPr>
          <w:rFonts w:ascii="Calibri" w:cs="Calibri" w:eastAsia="Calibri" w:hAnsi="Calibri"/>
          <w:sz w:val="22"/>
          <w:szCs w:val="22"/>
          <w:color w:val="auto"/>
        </w:rPr>
        <w:t>person has entered into a Trading Plan (by press release, web site postng, or other means of disclosure), and such determinaton shall be made by the SCC in its sole discreton.</w:t>
      </w:r>
    </w:p>
    <w:p>
      <w:pPr>
        <w:spacing w:after="0" w:line="163" w:lineRule="exact"/>
        <w:rPr>
          <w:sz w:val="20"/>
          <w:szCs w:val="20"/>
          <w:color w:val="auto"/>
        </w:rPr>
      </w:pPr>
    </w:p>
    <w:p>
      <w:pPr>
        <w:ind w:left="840" w:right="220" w:hanging="656"/>
        <w:spacing w:after="0" w:line="232" w:lineRule="auto"/>
        <w:tabs>
          <w:tab w:leader="none" w:pos="834" w:val="left"/>
        </w:tabs>
        <w:numPr>
          <w:ilvl w:val="0"/>
          <w:numId w:val="75"/>
        </w:numPr>
        <w:rPr>
          <w:rFonts w:ascii="Calibri" w:cs="Calibri" w:eastAsia="Calibri" w:hAnsi="Calibri"/>
          <w:sz w:val="22"/>
          <w:szCs w:val="22"/>
          <w:color w:val="auto"/>
        </w:rPr>
      </w:pPr>
      <w:r>
        <w:rPr>
          <w:rFonts w:ascii="Calibri" w:cs="Calibri" w:eastAsia="Calibri" w:hAnsi="Calibri"/>
          <w:sz w:val="22"/>
          <w:szCs w:val="22"/>
          <w:color w:val="auto"/>
        </w:rPr>
        <w:t>A Trading Plan must provide that trades under the Trading Plan shall be suspended at any tme at which the Designated Insiders are required by an underwriter or placement agent to be subject to a lock-up or similar agreement with the underwriter(s) or placement agent(s) of any securites ofering by the Company.</w:t>
      </w:r>
    </w:p>
    <w:p>
      <w:pPr>
        <w:spacing w:after="0" w:line="163" w:lineRule="exact"/>
        <w:rPr>
          <w:rFonts w:ascii="Calibri" w:cs="Calibri" w:eastAsia="Calibri" w:hAnsi="Calibri"/>
          <w:sz w:val="22"/>
          <w:szCs w:val="22"/>
          <w:color w:val="auto"/>
        </w:rPr>
      </w:pPr>
    </w:p>
    <w:p>
      <w:pPr>
        <w:ind w:left="840" w:right="180" w:hanging="656"/>
        <w:spacing w:after="0" w:line="229" w:lineRule="auto"/>
        <w:tabs>
          <w:tab w:leader="none" w:pos="832" w:val="left"/>
        </w:tabs>
        <w:numPr>
          <w:ilvl w:val="0"/>
          <w:numId w:val="75"/>
        </w:numPr>
        <w:rPr>
          <w:rFonts w:ascii="Calibri" w:cs="Calibri" w:eastAsia="Calibri" w:hAnsi="Calibri"/>
          <w:sz w:val="22"/>
          <w:szCs w:val="22"/>
          <w:color w:val="auto"/>
        </w:rPr>
      </w:pPr>
      <w:r>
        <w:rPr>
          <w:rFonts w:ascii="Calibri" w:cs="Calibri" w:eastAsia="Calibri" w:hAnsi="Calibri"/>
          <w:sz w:val="22"/>
          <w:szCs w:val="22"/>
          <w:color w:val="auto"/>
        </w:rPr>
        <w:t>If a person enters into separate contracts at the same tme with diferent agents to execute trades that are collectvely compliant with Rule 10b5-1, such contracts may be treated as a single Trading Plan and a Material Modifcaton of any such contract will be considered a Material Modifcaton of the other such contracts.</w:t>
      </w:r>
    </w:p>
    <w:p>
      <w:pPr>
        <w:spacing w:after="0" w:line="176" w:lineRule="exact"/>
        <w:rPr>
          <w:rFonts w:ascii="Calibri" w:cs="Calibri" w:eastAsia="Calibri" w:hAnsi="Calibri"/>
          <w:sz w:val="22"/>
          <w:szCs w:val="22"/>
          <w:color w:val="auto"/>
        </w:rPr>
      </w:pPr>
    </w:p>
    <w:p>
      <w:pPr>
        <w:ind w:left="840" w:right="20" w:hanging="656"/>
        <w:spacing w:after="0" w:line="230" w:lineRule="auto"/>
        <w:tabs>
          <w:tab w:leader="none" w:pos="836" w:val="left"/>
        </w:tabs>
        <w:numPr>
          <w:ilvl w:val="0"/>
          <w:numId w:val="75"/>
        </w:numPr>
        <w:rPr>
          <w:rFonts w:ascii="Calibri" w:cs="Calibri" w:eastAsia="Calibri" w:hAnsi="Calibri"/>
          <w:sz w:val="22"/>
          <w:szCs w:val="22"/>
          <w:color w:val="auto"/>
        </w:rPr>
      </w:pPr>
      <w:r>
        <w:rPr>
          <w:rFonts w:ascii="Calibri" w:cs="Calibri" w:eastAsia="Calibri" w:hAnsi="Calibri"/>
          <w:sz w:val="22"/>
          <w:szCs w:val="22"/>
          <w:color w:val="auto"/>
        </w:rPr>
        <w:t>Subject to Secton 4.B.iii.h, no person may have in efect at any tme more than one Trading Plan covering any shares benefcially owned by that person. However, a person may, during the term of an existng Trading Plan, adopt one new Trading Plan to replace the existng plan, but only if the frst scheduled trade under the new Trading Plan does not occur before all trades under the existng Trading Plan are completed or expire without executon; provided, however, that if a person terminates the existng Trading Plan afer adopton of the replacement Trading Plan but prior to the existng Trading Plan’s scheduled expiraton, trades may not commence under the replacement Trading Plan untl the expiraton of the applicable waitng period for adopton of a new plan, measured from the date of terminaton of the existng Trading Plan. This restricton on overlapping plans does not apply to plans providing for Qualifed Sell-to-Cover Transactons.</w:t>
      </w:r>
    </w:p>
    <w:p>
      <w:pPr>
        <w:spacing w:after="0" w:line="180" w:lineRule="exact"/>
        <w:rPr>
          <w:rFonts w:ascii="Calibri" w:cs="Calibri" w:eastAsia="Calibri" w:hAnsi="Calibri"/>
          <w:sz w:val="22"/>
          <w:szCs w:val="22"/>
          <w:color w:val="auto"/>
        </w:rPr>
      </w:pPr>
    </w:p>
    <w:p>
      <w:pPr>
        <w:ind w:left="840" w:right="60" w:hanging="656"/>
        <w:spacing w:after="0" w:line="229" w:lineRule="auto"/>
        <w:tabs>
          <w:tab w:leader="none" w:pos="838" w:val="left"/>
        </w:tabs>
        <w:numPr>
          <w:ilvl w:val="0"/>
          <w:numId w:val="75"/>
        </w:numPr>
        <w:rPr>
          <w:rFonts w:ascii="Calibri" w:cs="Calibri" w:eastAsia="Calibri" w:hAnsi="Calibri"/>
          <w:sz w:val="22"/>
          <w:szCs w:val="22"/>
          <w:color w:val="auto"/>
        </w:rPr>
      </w:pPr>
      <w:r>
        <w:rPr>
          <w:rFonts w:ascii="Calibri" w:cs="Calibri" w:eastAsia="Calibri" w:hAnsi="Calibri"/>
          <w:sz w:val="22"/>
          <w:szCs w:val="22"/>
          <w:color w:val="auto"/>
        </w:rPr>
        <w:t>A Trading Plan must contain procedures to ensure prompt compliance with (a) any applicable reportng requirements under Secton 16 of the Exchange Act, (b) Rule 144 or Rule 145 under the Securites Act of 1933, as amended relatng to any sales under the Trading Plan and (c) any suspension of trading or other trading restrictons that the Company imposes on sales under an approved Trading Plan. Compliance with these rules is ultmately the responsibility of each person, not the Company.</w:t>
      </w:r>
    </w:p>
    <w:p>
      <w:pPr>
        <w:spacing w:after="0" w:line="163" w:lineRule="exact"/>
        <w:rPr>
          <w:rFonts w:ascii="Calibri" w:cs="Calibri" w:eastAsia="Calibri" w:hAnsi="Calibri"/>
          <w:sz w:val="22"/>
          <w:szCs w:val="22"/>
          <w:color w:val="auto"/>
        </w:rPr>
      </w:pPr>
    </w:p>
    <w:p>
      <w:pPr>
        <w:ind w:left="840" w:right="620" w:hanging="656"/>
        <w:spacing w:after="0" w:line="235" w:lineRule="auto"/>
        <w:tabs>
          <w:tab w:leader="none" w:pos="831" w:val="left"/>
        </w:tabs>
        <w:numPr>
          <w:ilvl w:val="0"/>
          <w:numId w:val="75"/>
        </w:numPr>
        <w:rPr>
          <w:rFonts w:ascii="Calibri" w:cs="Calibri" w:eastAsia="Calibri" w:hAnsi="Calibri"/>
          <w:sz w:val="22"/>
          <w:szCs w:val="22"/>
          <w:color w:val="auto"/>
        </w:rPr>
      </w:pPr>
      <w:r>
        <w:rPr>
          <w:rFonts w:ascii="Calibri" w:cs="Calibri" w:eastAsia="Calibri" w:hAnsi="Calibri"/>
          <w:sz w:val="22"/>
          <w:szCs w:val="22"/>
          <w:color w:val="auto"/>
        </w:rPr>
        <w:t>Secton 16 (including Form 4) and Form 144 flings by a Secton 16 Filer with the SEC must expressly indicate when transactons are made pursuant to a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40"/>
        <w:spacing w:after="0"/>
        <w:rPr>
          <w:sz w:val="20"/>
          <w:szCs w:val="20"/>
          <w:color w:val="auto"/>
        </w:rPr>
      </w:pPr>
      <w:r>
        <w:rPr>
          <w:rFonts w:ascii="Calibri" w:cs="Calibri" w:eastAsia="Calibri" w:hAnsi="Calibri"/>
          <w:sz w:val="22"/>
          <w:szCs w:val="22"/>
          <w:color w:val="auto"/>
        </w:rPr>
        <w:t>4</w:t>
      </w:r>
    </w:p>
    <w:p>
      <w:pPr>
        <w:sectPr>
          <w:pgSz w:w="11900" w:h="16838" w:orient="portrait"/>
          <w:cols w:equalWidth="0" w:num="1">
            <w:col w:w="10120"/>
          </w:cols>
          <w:pgMar w:left="1440" w:top="112" w:right="339" w:bottom="1440" w:gutter="0" w:footer="0" w:header="0"/>
        </w:sectPr>
      </w:pPr>
    </w:p>
    <w:bookmarkStart w:id="148" w:name="page149"/>
    <w:bookmarkEnd w:id="148"/>
    <w:p>
      <w:pPr>
        <w:ind w:left="10380"/>
        <w:spacing w:after="0"/>
        <w:rPr>
          <w:sz w:val="20"/>
          <w:szCs w:val="20"/>
          <w:color w:val="auto"/>
        </w:rPr>
      </w:pPr>
      <w:r>
        <w:rPr>
          <w:rFonts w:ascii="Calibri" w:cs="Calibri" w:eastAsia="Calibri" w:hAnsi="Calibri"/>
          <w:sz w:val="18"/>
          <w:szCs w:val="18"/>
          <w:b w:val="1"/>
          <w:bCs w:val="1"/>
          <w:color w:val="auto"/>
        </w:rPr>
        <w:t>Exhibit 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15240</wp:posOffset>
            </wp:positionV>
            <wp:extent cx="1062990" cy="274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b w:val="1"/>
          <w:bCs w:val="1"/>
          <w:color w:val="auto"/>
        </w:rPr>
        <w:t>Rule 10b5-1 Trading Plan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Document History:</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60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Calibri" w:cs="Calibri" w:eastAsia="Calibri" w:hAnsi="Calibri"/>
                <w:sz w:val="22"/>
                <w:szCs w:val="22"/>
                <w:b w:val="1"/>
                <w:bCs w:val="1"/>
                <w:color w:val="auto"/>
              </w:rPr>
              <w:t>Adopton by Board of Directors</w:t>
            </w:r>
          </w:p>
        </w:tc>
        <w:tc>
          <w:tcPr>
            <w:tcW w:w="5180" w:type="dxa"/>
            <w:vAlign w:val="bottom"/>
            <w:tcBorders>
              <w:top w:val="single" w:sz="8" w:color="auto"/>
              <w:bottom w:val="single" w:sz="8" w:color="auto"/>
              <w:right w:val="single" w:sz="8" w:color="auto"/>
            </w:tcBorders>
          </w:tcPr>
          <w:p>
            <w:pPr>
              <w:ind w:left="80"/>
              <w:spacing w:after="0"/>
              <w:rPr>
                <w:sz w:val="20"/>
                <w:szCs w:val="20"/>
                <w:color w:val="auto"/>
              </w:rPr>
            </w:pPr>
            <w:r>
              <w:rPr>
                <w:rFonts w:ascii="Calibri" w:cs="Calibri" w:eastAsia="Calibri" w:hAnsi="Calibri"/>
                <w:sz w:val="22"/>
                <w:szCs w:val="22"/>
                <w:b w:val="1"/>
                <w:bCs w:val="1"/>
                <w:color w:val="auto"/>
              </w:rPr>
              <w:t>May 16, 2016</w:t>
            </w:r>
          </w:p>
        </w:tc>
      </w:tr>
      <w:tr>
        <w:trPr>
          <w:trHeight w:val="263"/>
        </w:trPr>
        <w:tc>
          <w:tcPr>
            <w:tcW w:w="6080" w:type="dxa"/>
            <w:vAlign w:val="bottom"/>
            <w:tcBorders>
              <w:left w:val="single" w:sz="8" w:color="auto"/>
              <w:bottom w:val="single" w:sz="8" w:color="auto"/>
              <w:right w:val="single" w:sz="8" w:color="auto"/>
            </w:tcBorders>
          </w:tcPr>
          <w:p>
            <w:pPr>
              <w:ind w:left="80"/>
              <w:spacing w:after="0" w:line="258" w:lineRule="exact"/>
              <w:rPr>
                <w:sz w:val="20"/>
                <w:szCs w:val="20"/>
                <w:color w:val="auto"/>
              </w:rPr>
            </w:pPr>
            <w:r>
              <w:rPr>
                <w:rFonts w:ascii="Calibri" w:cs="Calibri" w:eastAsia="Calibri" w:hAnsi="Calibri"/>
                <w:sz w:val="22"/>
                <w:szCs w:val="22"/>
                <w:b w:val="1"/>
                <w:bCs w:val="1"/>
                <w:color w:val="auto"/>
              </w:rPr>
              <w:t>Amendment by Board of Directors</w:t>
            </w:r>
          </w:p>
        </w:tc>
        <w:tc>
          <w:tcPr>
            <w:tcW w:w="5180" w:type="dxa"/>
            <w:vAlign w:val="bottom"/>
            <w:tcBorders>
              <w:bottom w:val="single" w:sz="8" w:color="auto"/>
              <w:right w:val="single" w:sz="8" w:color="auto"/>
            </w:tcBorders>
          </w:tcPr>
          <w:p>
            <w:pPr>
              <w:ind w:left="80"/>
              <w:spacing w:after="0" w:line="258" w:lineRule="exact"/>
              <w:rPr>
                <w:sz w:val="20"/>
                <w:szCs w:val="20"/>
                <w:color w:val="auto"/>
              </w:rPr>
            </w:pPr>
            <w:r>
              <w:rPr>
                <w:rFonts w:ascii="Calibri" w:cs="Calibri" w:eastAsia="Calibri" w:hAnsi="Calibri"/>
                <w:sz w:val="22"/>
                <w:szCs w:val="22"/>
                <w:b w:val="1"/>
                <w:bCs w:val="1"/>
                <w:color w:val="auto"/>
              </w:rPr>
              <w:t>December 15, 2016</w:t>
            </w:r>
          </w:p>
        </w:tc>
      </w:tr>
      <w:tr>
        <w:trPr>
          <w:trHeight w:val="263"/>
        </w:trPr>
        <w:tc>
          <w:tcPr>
            <w:tcW w:w="6080" w:type="dxa"/>
            <w:vAlign w:val="bottom"/>
            <w:tcBorders>
              <w:left w:val="single" w:sz="8" w:color="auto"/>
              <w:bottom w:val="single" w:sz="8" w:color="auto"/>
              <w:right w:val="single" w:sz="8" w:color="auto"/>
            </w:tcBorders>
          </w:tcPr>
          <w:p>
            <w:pPr>
              <w:ind w:left="80"/>
              <w:spacing w:after="0" w:line="258" w:lineRule="exact"/>
              <w:rPr>
                <w:sz w:val="20"/>
                <w:szCs w:val="20"/>
                <w:color w:val="auto"/>
              </w:rPr>
            </w:pPr>
            <w:r>
              <w:rPr>
                <w:rFonts w:ascii="Calibri" w:cs="Calibri" w:eastAsia="Calibri" w:hAnsi="Calibri"/>
                <w:sz w:val="22"/>
                <w:szCs w:val="22"/>
                <w:b w:val="1"/>
                <w:bCs w:val="1"/>
                <w:color w:val="auto"/>
              </w:rPr>
              <w:t>Amendment by Board of Directors</w:t>
            </w:r>
          </w:p>
        </w:tc>
        <w:tc>
          <w:tcPr>
            <w:tcW w:w="5180" w:type="dxa"/>
            <w:vAlign w:val="bottom"/>
            <w:tcBorders>
              <w:bottom w:val="single" w:sz="8" w:color="auto"/>
              <w:right w:val="single" w:sz="8" w:color="auto"/>
            </w:tcBorders>
          </w:tcPr>
          <w:p>
            <w:pPr>
              <w:ind w:left="80"/>
              <w:spacing w:after="0" w:line="258" w:lineRule="exact"/>
              <w:rPr>
                <w:sz w:val="20"/>
                <w:szCs w:val="20"/>
                <w:color w:val="auto"/>
              </w:rPr>
            </w:pPr>
            <w:r>
              <w:rPr>
                <w:rFonts w:ascii="Calibri" w:cs="Calibri" w:eastAsia="Calibri" w:hAnsi="Calibri"/>
                <w:sz w:val="22"/>
                <w:szCs w:val="22"/>
                <w:b w:val="1"/>
                <w:bCs w:val="1"/>
                <w:color w:val="auto"/>
              </w:rPr>
              <w:t>May 10, 2018</w:t>
            </w:r>
          </w:p>
        </w:tc>
      </w:tr>
      <w:tr>
        <w:trPr>
          <w:trHeight w:val="264"/>
        </w:trPr>
        <w:tc>
          <w:tcPr>
            <w:tcW w:w="6080" w:type="dxa"/>
            <w:vAlign w:val="bottom"/>
            <w:tcBorders>
              <w:left w:val="single" w:sz="8" w:color="auto"/>
              <w:bottom w:val="single" w:sz="8" w:color="auto"/>
              <w:right w:val="single" w:sz="8" w:color="auto"/>
            </w:tcBorders>
          </w:tcPr>
          <w:p>
            <w:pPr>
              <w:ind w:left="80"/>
              <w:spacing w:after="0" w:line="258" w:lineRule="exact"/>
              <w:rPr>
                <w:sz w:val="20"/>
                <w:szCs w:val="20"/>
                <w:color w:val="auto"/>
              </w:rPr>
            </w:pPr>
            <w:r>
              <w:rPr>
                <w:rFonts w:ascii="Calibri" w:cs="Calibri" w:eastAsia="Calibri" w:hAnsi="Calibri"/>
                <w:sz w:val="22"/>
                <w:szCs w:val="22"/>
                <w:b w:val="1"/>
                <w:bCs w:val="1"/>
                <w:color w:val="auto"/>
              </w:rPr>
              <w:t>Amendment by Compensaton Commitee</w:t>
            </w:r>
          </w:p>
        </w:tc>
        <w:tc>
          <w:tcPr>
            <w:tcW w:w="5180" w:type="dxa"/>
            <w:vAlign w:val="bottom"/>
            <w:tcBorders>
              <w:bottom w:val="single" w:sz="8" w:color="auto"/>
              <w:right w:val="single" w:sz="8" w:color="auto"/>
            </w:tcBorders>
          </w:tcPr>
          <w:p>
            <w:pPr>
              <w:ind w:left="80"/>
              <w:spacing w:after="0" w:line="258" w:lineRule="exact"/>
              <w:rPr>
                <w:sz w:val="20"/>
                <w:szCs w:val="20"/>
                <w:color w:val="auto"/>
              </w:rPr>
            </w:pPr>
            <w:r>
              <w:rPr>
                <w:rFonts w:ascii="Calibri" w:cs="Calibri" w:eastAsia="Calibri" w:hAnsi="Calibri"/>
                <w:sz w:val="22"/>
                <w:szCs w:val="22"/>
                <w:b w:val="1"/>
                <w:bCs w:val="1"/>
                <w:color w:val="auto"/>
              </w:rPr>
              <w:t>March 17, 2021</w:t>
            </w:r>
          </w:p>
        </w:tc>
      </w:tr>
      <w:tr>
        <w:trPr>
          <w:trHeight w:val="264"/>
        </w:trPr>
        <w:tc>
          <w:tcPr>
            <w:tcW w:w="6080" w:type="dxa"/>
            <w:vAlign w:val="bottom"/>
            <w:tcBorders>
              <w:left w:val="single" w:sz="8" w:color="auto"/>
              <w:bottom w:val="single" w:sz="8" w:color="auto"/>
              <w:right w:val="single" w:sz="8" w:color="auto"/>
            </w:tcBorders>
          </w:tcPr>
          <w:p>
            <w:pPr>
              <w:ind w:left="80"/>
              <w:spacing w:after="0" w:line="258" w:lineRule="exact"/>
              <w:rPr>
                <w:sz w:val="20"/>
                <w:szCs w:val="20"/>
                <w:color w:val="auto"/>
              </w:rPr>
            </w:pPr>
            <w:r>
              <w:rPr>
                <w:rFonts w:ascii="Calibri" w:cs="Calibri" w:eastAsia="Calibri" w:hAnsi="Calibri"/>
                <w:sz w:val="22"/>
                <w:szCs w:val="22"/>
                <w:b w:val="1"/>
                <w:bCs w:val="1"/>
                <w:color w:val="auto"/>
              </w:rPr>
              <w:t>Amendment by Compensaton Commitee</w:t>
            </w:r>
          </w:p>
        </w:tc>
        <w:tc>
          <w:tcPr>
            <w:tcW w:w="5180" w:type="dxa"/>
            <w:vAlign w:val="bottom"/>
            <w:tcBorders>
              <w:bottom w:val="single" w:sz="8" w:color="auto"/>
              <w:right w:val="single" w:sz="8" w:color="auto"/>
            </w:tcBorders>
          </w:tcPr>
          <w:p>
            <w:pPr>
              <w:ind w:left="80"/>
              <w:spacing w:after="0" w:line="258" w:lineRule="exact"/>
              <w:rPr>
                <w:sz w:val="20"/>
                <w:szCs w:val="20"/>
                <w:color w:val="auto"/>
              </w:rPr>
            </w:pPr>
            <w:r>
              <w:rPr>
                <w:rFonts w:ascii="Calibri" w:cs="Calibri" w:eastAsia="Calibri" w:hAnsi="Calibri"/>
                <w:sz w:val="22"/>
                <w:szCs w:val="22"/>
                <w:b w:val="1"/>
                <w:bCs w:val="1"/>
                <w:color w:val="auto"/>
              </w:rPr>
              <w:t>February 22, 2023</w:t>
            </w:r>
          </w:p>
        </w:tc>
      </w:tr>
      <w:tr>
        <w:trPr>
          <w:trHeight w:val="263"/>
        </w:trPr>
        <w:tc>
          <w:tcPr>
            <w:tcW w:w="6080" w:type="dxa"/>
            <w:vAlign w:val="bottom"/>
            <w:tcBorders>
              <w:left w:val="single" w:sz="8" w:color="auto"/>
              <w:bottom w:val="single" w:sz="8" w:color="auto"/>
              <w:right w:val="single" w:sz="8" w:color="auto"/>
            </w:tcBorders>
          </w:tcPr>
          <w:p>
            <w:pPr>
              <w:ind w:left="80"/>
              <w:spacing w:after="0" w:line="256" w:lineRule="exact"/>
              <w:rPr>
                <w:sz w:val="20"/>
                <w:szCs w:val="20"/>
                <w:color w:val="auto"/>
              </w:rPr>
            </w:pPr>
            <w:r>
              <w:rPr>
                <w:rFonts w:ascii="Calibri" w:cs="Calibri" w:eastAsia="Calibri" w:hAnsi="Calibri"/>
                <w:sz w:val="22"/>
                <w:szCs w:val="22"/>
                <w:b w:val="1"/>
                <w:bCs w:val="1"/>
                <w:color w:val="auto"/>
              </w:rPr>
              <w:t>Amendment by Board of Directors</w:t>
            </w:r>
          </w:p>
        </w:tc>
        <w:tc>
          <w:tcPr>
            <w:tcW w:w="5180" w:type="dxa"/>
            <w:vAlign w:val="bottom"/>
            <w:tcBorders>
              <w:bottom w:val="single" w:sz="8" w:color="auto"/>
              <w:right w:val="single" w:sz="8" w:color="auto"/>
            </w:tcBorders>
          </w:tcPr>
          <w:p>
            <w:pPr>
              <w:ind w:left="80"/>
              <w:spacing w:after="0" w:line="256" w:lineRule="exact"/>
              <w:rPr>
                <w:sz w:val="20"/>
                <w:szCs w:val="20"/>
                <w:color w:val="auto"/>
              </w:rPr>
            </w:pPr>
            <w:r>
              <w:rPr>
                <w:rFonts w:ascii="Calibri" w:cs="Calibri" w:eastAsia="Calibri" w:hAnsi="Calibri"/>
                <w:sz w:val="22"/>
                <w:szCs w:val="22"/>
                <w:b w:val="1"/>
                <w:bCs w:val="1"/>
                <w:color w:val="auto"/>
              </w:rPr>
              <w:t>December 12,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5</w:t>
      </w:r>
    </w:p>
    <w:p>
      <w:pPr>
        <w:sectPr>
          <w:pgSz w:w="11900" w:h="16838" w:orient="portrait"/>
          <w:cols w:equalWidth="0" w:num="1">
            <w:col w:w="11260"/>
          </w:cols>
          <w:pgMar w:left="320" w:top="112"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19"/>
                <w:szCs w:val="19"/>
                <w:color w:val="auto"/>
              </w:rPr>
            </w:pPr>
          </w:p>
        </w:tc>
        <w:tc>
          <w:tcPr>
            <w:tcW w:w="7960" w:type="dxa"/>
            <w:vAlign w:val="bottom"/>
          </w:tcPr>
          <w:p>
            <w:pPr>
              <w:ind w:left="7100"/>
              <w:spacing w:after="0"/>
              <w:rPr>
                <w:sz w:val="20"/>
                <w:szCs w:val="20"/>
                <w:color w:val="auto"/>
              </w:rPr>
            </w:pPr>
            <w:r>
              <w:rPr>
                <w:rFonts w:ascii="Calibri" w:cs="Calibri" w:eastAsia="Calibri" w:hAnsi="Calibri"/>
                <w:sz w:val="18"/>
                <w:szCs w:val="18"/>
                <w:b w:val="1"/>
                <w:bCs w:val="1"/>
                <w:color w:val="auto"/>
                <w:w w:val="95"/>
              </w:rPr>
              <w:t>Exhibit 21.1</w:t>
            </w:r>
          </w:p>
        </w:tc>
      </w:tr>
      <w:tr>
        <w:trPr>
          <w:trHeight w:val="459"/>
        </w:trPr>
        <w:tc>
          <w:tcPr>
            <w:tcW w:w="3280" w:type="dxa"/>
            <w:vAlign w:val="bottom"/>
          </w:tcPr>
          <w:p>
            <w:pPr>
              <w:spacing w:after="0"/>
              <w:rPr>
                <w:sz w:val="24"/>
                <w:szCs w:val="24"/>
                <w:color w:val="auto"/>
              </w:rPr>
            </w:pPr>
          </w:p>
        </w:tc>
        <w:tc>
          <w:tcPr>
            <w:tcW w:w="7960" w:type="dxa"/>
            <w:vAlign w:val="bottom"/>
          </w:tcPr>
          <w:p>
            <w:pPr>
              <w:ind w:left="1200"/>
              <w:spacing w:after="0"/>
              <w:rPr>
                <w:sz w:val="20"/>
                <w:szCs w:val="20"/>
                <w:color w:val="auto"/>
              </w:rPr>
            </w:pPr>
            <w:r>
              <w:rPr>
                <w:rFonts w:ascii="Calibri" w:cs="Calibri" w:eastAsia="Calibri" w:hAnsi="Calibri"/>
                <w:sz w:val="18"/>
                <w:szCs w:val="18"/>
                <w:b w:val="1"/>
                <w:bCs w:val="1"/>
                <w:color w:val="auto"/>
              </w:rPr>
              <w:t>SUBSIDIARIES OF EXELIXIS, INC.</w:t>
            </w:r>
          </w:p>
        </w:tc>
      </w:tr>
      <w:tr>
        <w:trPr>
          <w:trHeight w:val="333"/>
        </w:trPr>
        <w:tc>
          <w:tcPr>
            <w:tcW w:w="3280" w:type="dxa"/>
            <w:vAlign w:val="bottom"/>
          </w:tcPr>
          <w:p>
            <w:pPr>
              <w:ind w:left="20"/>
              <w:spacing w:after="0"/>
              <w:rPr>
                <w:sz w:val="20"/>
                <w:szCs w:val="20"/>
                <w:color w:val="auto"/>
              </w:rPr>
            </w:pPr>
            <w:r>
              <w:rPr>
                <w:rFonts w:ascii="Calibri" w:cs="Calibri" w:eastAsia="Calibri" w:hAnsi="Calibri"/>
                <w:sz w:val="16"/>
                <w:szCs w:val="16"/>
                <w:b w:val="1"/>
                <w:bCs w:val="1"/>
                <w:color w:val="auto"/>
              </w:rPr>
              <w:t>Name of Subsidiary</w:t>
            </w:r>
          </w:p>
        </w:tc>
        <w:tc>
          <w:tcPr>
            <w:tcW w:w="7960" w:type="dxa"/>
            <w:vAlign w:val="bottom"/>
          </w:tcPr>
          <w:p>
            <w:pPr>
              <w:jc w:val="center"/>
              <w:ind w:left="3352"/>
              <w:spacing w:after="0"/>
              <w:rPr>
                <w:sz w:val="20"/>
                <w:szCs w:val="20"/>
                <w:color w:val="auto"/>
              </w:rPr>
            </w:pPr>
            <w:r>
              <w:rPr>
                <w:rFonts w:ascii="Calibri" w:cs="Calibri" w:eastAsia="Calibri" w:hAnsi="Calibri"/>
                <w:sz w:val="16"/>
                <w:szCs w:val="16"/>
                <w:b w:val="1"/>
                <w:bCs w:val="1"/>
                <w:color w:val="auto"/>
              </w:rPr>
              <w:t>State or Other Jurisdicton of Incorporaton or Organizaton</w:t>
            </w:r>
          </w:p>
        </w:tc>
      </w:tr>
      <w:tr>
        <w:trPr>
          <w:trHeight w:val="28"/>
        </w:trPr>
        <w:tc>
          <w:tcPr>
            <w:tcW w:w="3280" w:type="dxa"/>
            <w:vAlign w:val="bottom"/>
            <w:tcBorders>
              <w:bottom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Exelixis Patent Company, LLC</w:t>
            </w:r>
          </w:p>
        </w:tc>
        <w:tc>
          <w:tcPr>
            <w:tcW w:w="7960" w:type="dxa"/>
            <w:vAlign w:val="bottom"/>
            <w:shd w:val="clear" w:color="auto" w:fill="CCEEFF"/>
          </w:tcPr>
          <w:p>
            <w:pPr>
              <w:jc w:val="center"/>
              <w:ind w:left="3352"/>
              <w:spacing w:after="0" w:line="215" w:lineRule="exact"/>
              <w:rPr>
                <w:sz w:val="20"/>
                <w:szCs w:val="20"/>
                <w:color w:val="auto"/>
              </w:rPr>
            </w:pPr>
            <w:r>
              <w:rPr>
                <w:rFonts w:ascii="Calibri" w:cs="Calibri" w:eastAsia="Calibri" w:hAnsi="Calibri"/>
                <w:sz w:val="18"/>
                <w:szCs w:val="18"/>
                <w:color w:val="auto"/>
                <w:w w:val="97"/>
              </w:rPr>
              <w:t>Delaware</w:t>
            </w:r>
          </w:p>
        </w:tc>
      </w:tr>
      <w:tr>
        <w:trPr>
          <w:trHeight w:val="215"/>
        </w:trPr>
        <w:tc>
          <w:tcPr>
            <w:tcW w:w="3280" w:type="dxa"/>
            <w:vAlign w:val="bottom"/>
          </w:tcPr>
          <w:p>
            <w:pPr>
              <w:ind w:left="20"/>
              <w:spacing w:after="0" w:line="215" w:lineRule="exact"/>
              <w:rPr>
                <w:sz w:val="20"/>
                <w:szCs w:val="20"/>
                <w:color w:val="auto"/>
              </w:rPr>
            </w:pPr>
            <w:r>
              <w:rPr>
                <w:rFonts w:ascii="Calibri" w:cs="Calibri" w:eastAsia="Calibri" w:hAnsi="Calibri"/>
                <w:sz w:val="18"/>
                <w:szCs w:val="18"/>
                <w:color w:val="auto"/>
              </w:rPr>
              <w:t>Exelixis Plant Sciences, Inc.</w:t>
            </w:r>
          </w:p>
        </w:tc>
        <w:tc>
          <w:tcPr>
            <w:tcW w:w="7960" w:type="dxa"/>
            <w:vAlign w:val="bottom"/>
          </w:tcPr>
          <w:p>
            <w:pPr>
              <w:jc w:val="center"/>
              <w:ind w:left="3352"/>
              <w:spacing w:after="0" w:line="215" w:lineRule="exact"/>
              <w:rPr>
                <w:sz w:val="20"/>
                <w:szCs w:val="20"/>
                <w:color w:val="auto"/>
              </w:rPr>
            </w:pPr>
            <w:r>
              <w:rPr>
                <w:rFonts w:ascii="Calibri" w:cs="Calibri" w:eastAsia="Calibri" w:hAnsi="Calibri"/>
                <w:sz w:val="18"/>
                <w:szCs w:val="18"/>
                <w:color w:val="auto"/>
                <w:w w:val="97"/>
              </w:rPr>
              <w:t>Delaware</w:t>
            </w:r>
          </w:p>
        </w:tc>
      </w:tr>
      <w:tr>
        <w:trPr>
          <w:trHeight w:val="244"/>
        </w:trPr>
        <w:tc>
          <w:tcPr>
            <w:tcW w:w="3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Exelixis U.S., LLC</w:t>
            </w:r>
          </w:p>
        </w:tc>
        <w:tc>
          <w:tcPr>
            <w:tcW w:w="7960" w:type="dxa"/>
            <w:vAlign w:val="bottom"/>
            <w:shd w:val="clear" w:color="auto" w:fill="CCEEFF"/>
          </w:tcPr>
          <w:p>
            <w:pPr>
              <w:jc w:val="center"/>
              <w:ind w:left="3352"/>
              <w:spacing w:after="0"/>
              <w:rPr>
                <w:sz w:val="20"/>
                <w:szCs w:val="20"/>
                <w:color w:val="auto"/>
              </w:rPr>
            </w:pPr>
            <w:r>
              <w:rPr>
                <w:rFonts w:ascii="Calibri" w:cs="Calibri" w:eastAsia="Calibri" w:hAnsi="Calibri"/>
                <w:sz w:val="18"/>
                <w:szCs w:val="18"/>
                <w:color w:val="auto"/>
                <w:w w:val="97"/>
              </w:rPr>
              <w:t>Delaware</w:t>
            </w:r>
          </w:p>
        </w:tc>
      </w:tr>
    </w:tbl>
    <w:p>
      <w:pPr>
        <w:sectPr>
          <w:pgSz w:w="11900" w:h="16838" w:orient="portrait"/>
          <w:cols w:equalWidth="0" w:num="1">
            <w:col w:w="11240"/>
          </w:cols>
          <w:pgMar w:left="320" w:top="1084" w:right="339" w:bottom="1440" w:gutter="0" w:footer="0" w:header="0"/>
        </w:sectPr>
      </w:pPr>
    </w:p>
    <w:bookmarkStart w:id="150" w:name="page151"/>
    <w:bookmarkEnd w:id="150"/>
    <w:p>
      <w:pPr>
        <w:jc w:val="right"/>
        <w:spacing w:after="0"/>
        <w:rPr>
          <w:sz w:val="20"/>
          <w:szCs w:val="20"/>
          <w:color w:val="auto"/>
        </w:rPr>
      </w:pPr>
      <w:r>
        <w:rPr>
          <w:rFonts w:ascii="Calibri" w:cs="Calibri" w:eastAsia="Calibri" w:hAnsi="Calibri"/>
          <w:sz w:val="18"/>
          <w:szCs w:val="18"/>
          <w:b w:val="1"/>
          <w:bCs w:val="1"/>
          <w:color w:val="auto"/>
        </w:rPr>
        <w:t>Exhibit 23.1</w:t>
      </w: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Consent of Independent Registered Public Accountng Firm</w:t>
      </w: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color w:val="auto"/>
        </w:rPr>
        <w:t>We consent to the incorporaton by reference in the Registraton Statements:</w:t>
      </w:r>
    </w:p>
    <w:p>
      <w:pPr>
        <w:spacing w:after="0" w:line="271" w:lineRule="exact"/>
        <w:rPr>
          <w:sz w:val="20"/>
          <w:szCs w:val="20"/>
          <w:color w:val="auto"/>
        </w:rPr>
      </w:pPr>
    </w:p>
    <w:p>
      <w:pPr>
        <w:ind w:left="660" w:right="20" w:hanging="328"/>
        <w:spacing w:after="0" w:line="245" w:lineRule="auto"/>
        <w:tabs>
          <w:tab w:leader="none" w:pos="653"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Statements on Form S-8 (Nos. 333-266707 and 333-241667) pertaining to the Amended and Restated 2017 Incentve Plan of Exelixis, Inc,</w:t>
      </w:r>
    </w:p>
    <w:p>
      <w:pPr>
        <w:spacing w:after="0" w:line="5" w:lineRule="exact"/>
        <w:rPr>
          <w:rFonts w:ascii="Calibri" w:cs="Calibri" w:eastAsia="Calibri" w:hAnsi="Calibri"/>
          <w:sz w:val="18"/>
          <w:szCs w:val="18"/>
          <w:color w:val="auto"/>
        </w:rPr>
      </w:pPr>
    </w:p>
    <w:p>
      <w:pPr>
        <w:ind w:left="640" w:hanging="308"/>
        <w:spacing w:after="0"/>
        <w:tabs>
          <w:tab w:leader="none" w:pos="640"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Statements on Form S-8 (Nos. 333-226493 and 333-218236) pertaining to the 2017 Equity Incentve Plan of Exelixis, Inc.,</w:t>
      </w:r>
    </w:p>
    <w:p>
      <w:pPr>
        <w:spacing w:after="0" w:line="23" w:lineRule="exact"/>
        <w:rPr>
          <w:rFonts w:ascii="Calibri" w:cs="Calibri" w:eastAsia="Calibri" w:hAnsi="Calibri"/>
          <w:sz w:val="18"/>
          <w:szCs w:val="18"/>
          <w:color w:val="auto"/>
        </w:rPr>
      </w:pPr>
    </w:p>
    <w:p>
      <w:pPr>
        <w:ind w:left="640" w:hanging="308"/>
        <w:spacing w:after="0"/>
        <w:tabs>
          <w:tab w:leader="none" w:pos="640"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 on Form S-8 (No. 333-223225) pertaining to the Amended and Restated 401(k) plan of Exelixis, Inc.,</w:t>
      </w:r>
    </w:p>
    <w:p>
      <w:pPr>
        <w:spacing w:after="0" w:line="9" w:lineRule="exact"/>
        <w:rPr>
          <w:rFonts w:ascii="Calibri" w:cs="Calibri" w:eastAsia="Calibri" w:hAnsi="Calibri"/>
          <w:sz w:val="18"/>
          <w:szCs w:val="18"/>
          <w:color w:val="auto"/>
        </w:rPr>
      </w:pPr>
    </w:p>
    <w:p>
      <w:pPr>
        <w:ind w:left="640" w:hanging="308"/>
        <w:spacing w:after="0"/>
        <w:tabs>
          <w:tab w:leader="none" w:pos="640"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 on Form S-8 (No 333-214766) pertaining to the 2016 Inducement Award Plan of Exelixis, Inc.,</w:t>
      </w:r>
    </w:p>
    <w:p>
      <w:pPr>
        <w:spacing w:after="0" w:line="14" w:lineRule="exact"/>
        <w:rPr>
          <w:rFonts w:ascii="Calibri" w:cs="Calibri" w:eastAsia="Calibri" w:hAnsi="Calibri"/>
          <w:sz w:val="18"/>
          <w:szCs w:val="18"/>
          <w:color w:val="auto"/>
        </w:rPr>
      </w:pPr>
    </w:p>
    <w:p>
      <w:pPr>
        <w:ind w:left="660" w:hanging="328"/>
        <w:spacing w:after="0" w:line="245" w:lineRule="auto"/>
        <w:tabs>
          <w:tab w:leader="none" w:pos="653"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 on Form S-8 (Nos. 333-212866) pertaining to the 2000 Employee Stock Purchase Plan and 2014 Equity Incentve Plan of Exelixis, Inc.,</w:t>
      </w:r>
    </w:p>
    <w:p>
      <w:pPr>
        <w:spacing w:after="0" w:line="19" w:lineRule="exact"/>
        <w:rPr>
          <w:rFonts w:ascii="Calibri" w:cs="Calibri" w:eastAsia="Calibri" w:hAnsi="Calibri"/>
          <w:sz w:val="18"/>
          <w:szCs w:val="18"/>
          <w:color w:val="auto"/>
        </w:rPr>
      </w:pPr>
    </w:p>
    <w:p>
      <w:pPr>
        <w:ind w:left="640" w:hanging="308"/>
        <w:spacing w:after="0"/>
        <w:tabs>
          <w:tab w:leader="none" w:pos="640"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Statements on Form S-8 (Nos. 333-209824 and 333-203758) pertaining to the 2014 Equity Incentve Plan of Exelixis, Inc.,</w:t>
      </w:r>
    </w:p>
    <w:p>
      <w:pPr>
        <w:spacing w:after="0" w:line="14" w:lineRule="exact"/>
        <w:rPr>
          <w:rFonts w:ascii="Calibri" w:cs="Calibri" w:eastAsia="Calibri" w:hAnsi="Calibri"/>
          <w:sz w:val="18"/>
          <w:szCs w:val="18"/>
          <w:color w:val="auto"/>
        </w:rPr>
      </w:pPr>
    </w:p>
    <w:p>
      <w:pPr>
        <w:ind w:left="660" w:right="20" w:hanging="328"/>
        <w:spacing w:after="0" w:line="245" w:lineRule="auto"/>
        <w:tabs>
          <w:tab w:leader="none" w:pos="653"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 on Form S-8 (No. 333-196761) pertaining to the 2000 Non-Employee Directors’ Stock Opton Plan, 2000 Equity Incentve Plan, 2010 Inducement Award Plan, 2011 Equity Incentve Plan, 2014 Equity Incentve Plan, and 401(k) Plan of Exelixis, Inc.,</w:t>
      </w:r>
    </w:p>
    <w:p>
      <w:pPr>
        <w:spacing w:after="0" w:line="23" w:lineRule="exact"/>
        <w:rPr>
          <w:rFonts w:ascii="Calibri" w:cs="Calibri" w:eastAsia="Calibri" w:hAnsi="Calibri"/>
          <w:sz w:val="18"/>
          <w:szCs w:val="18"/>
          <w:color w:val="auto"/>
        </w:rPr>
      </w:pPr>
    </w:p>
    <w:p>
      <w:pPr>
        <w:ind w:left="660" w:right="20" w:hanging="328"/>
        <w:spacing w:after="0" w:line="245" w:lineRule="auto"/>
        <w:tabs>
          <w:tab w:leader="none" w:pos="653"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 on Form S-8 (No. 333-176674) pertaining to the 2000 Equity Incentve Plan, 2000 Employee Stock Purchase Plan, 2010 Inducement Award Plan, 2011 Equity Incentve Plan, and Amended and Restated 401(k) Plan of Exelixis, Inc.,</w:t>
      </w:r>
    </w:p>
    <w:p>
      <w:pPr>
        <w:spacing w:after="0" w:line="10" w:lineRule="exact"/>
        <w:rPr>
          <w:rFonts w:ascii="Calibri" w:cs="Calibri" w:eastAsia="Calibri" w:hAnsi="Calibri"/>
          <w:sz w:val="18"/>
          <w:szCs w:val="18"/>
          <w:color w:val="auto"/>
        </w:rPr>
      </w:pPr>
    </w:p>
    <w:p>
      <w:pPr>
        <w:ind w:left="640" w:hanging="308"/>
        <w:spacing w:after="0"/>
        <w:tabs>
          <w:tab w:leader="none" w:pos="640" w:val="left"/>
        </w:tabs>
        <w:numPr>
          <w:ilvl w:val="0"/>
          <w:numId w:val="76"/>
        </w:numPr>
        <w:rPr>
          <w:rFonts w:ascii="Calibri" w:cs="Calibri" w:eastAsia="Calibri" w:hAnsi="Calibri"/>
          <w:sz w:val="17"/>
          <w:szCs w:val="17"/>
          <w:color w:val="auto"/>
        </w:rPr>
      </w:pPr>
      <w:r>
        <w:rPr>
          <w:rFonts w:ascii="Calibri" w:cs="Calibri" w:eastAsia="Calibri" w:hAnsi="Calibri"/>
          <w:sz w:val="17"/>
          <w:szCs w:val="17"/>
          <w:color w:val="auto"/>
        </w:rPr>
        <w:t>Registraton Statement on Form S-8 (No. 333-165389) pertaining to the 2000 Equity Incentve Plan and 2010 Inducement Award Plan of Exelixis, Inc.,</w:t>
      </w:r>
    </w:p>
    <w:p>
      <w:pPr>
        <w:spacing w:after="0" w:line="30" w:lineRule="exact"/>
        <w:rPr>
          <w:rFonts w:ascii="Calibri" w:cs="Calibri" w:eastAsia="Calibri" w:hAnsi="Calibri"/>
          <w:sz w:val="17"/>
          <w:szCs w:val="17"/>
          <w:color w:val="auto"/>
        </w:rPr>
      </w:pPr>
    </w:p>
    <w:p>
      <w:pPr>
        <w:ind w:left="640" w:hanging="308"/>
        <w:spacing w:after="0"/>
        <w:tabs>
          <w:tab w:leader="none" w:pos="640"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Statements on Form S-8 (Nos. 333-159280 and 333-281296) pertaining to the 2000 Employee Stock Purchase Plan of Exelixis, Inc.,</w:t>
      </w:r>
    </w:p>
    <w:p>
      <w:pPr>
        <w:spacing w:after="0" w:line="14" w:lineRule="exact"/>
        <w:rPr>
          <w:rFonts w:ascii="Calibri" w:cs="Calibri" w:eastAsia="Calibri" w:hAnsi="Calibri"/>
          <w:sz w:val="18"/>
          <w:szCs w:val="18"/>
          <w:color w:val="auto"/>
        </w:rPr>
      </w:pPr>
    </w:p>
    <w:p>
      <w:pPr>
        <w:ind w:left="660" w:hanging="328"/>
        <w:spacing w:after="0" w:line="245" w:lineRule="auto"/>
        <w:tabs>
          <w:tab w:leader="none" w:pos="647"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 on Form S-8 (No. 333-157825) pertaining to the 2000 Equity Incentve Plan, 2000 Non-Employee Directors’ Stock Opton Plan, and Amended and Restated 401(k) Plan of Exelixis, Inc.,</w:t>
      </w:r>
    </w:p>
    <w:p>
      <w:pPr>
        <w:spacing w:after="0" w:line="23" w:lineRule="exact"/>
        <w:rPr>
          <w:rFonts w:ascii="Calibri" w:cs="Calibri" w:eastAsia="Calibri" w:hAnsi="Calibri"/>
          <w:sz w:val="18"/>
          <w:szCs w:val="18"/>
          <w:color w:val="auto"/>
        </w:rPr>
      </w:pPr>
    </w:p>
    <w:p>
      <w:pPr>
        <w:ind w:left="660" w:hanging="328"/>
        <w:spacing w:after="0" w:line="245" w:lineRule="auto"/>
        <w:tabs>
          <w:tab w:leader="none" w:pos="647"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 on Form S-8 (No 333-149834) pertaining to the 2000 Equity Incentve Plan, 2000 Non-Employee Directors’ Stock Opton Plan, and 401(k) Plan of Exelixis, Inc.,</w:t>
      </w:r>
    </w:p>
    <w:p>
      <w:pPr>
        <w:spacing w:after="0" w:line="10" w:lineRule="exact"/>
        <w:rPr>
          <w:rFonts w:ascii="Calibri" w:cs="Calibri" w:eastAsia="Calibri" w:hAnsi="Calibri"/>
          <w:sz w:val="18"/>
          <w:szCs w:val="18"/>
          <w:color w:val="auto"/>
        </w:rPr>
      </w:pPr>
    </w:p>
    <w:p>
      <w:pPr>
        <w:ind w:left="660" w:hanging="328"/>
        <w:spacing w:after="0" w:line="258" w:lineRule="auto"/>
        <w:tabs>
          <w:tab w:leader="none" w:pos="647"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Statements on Form S-8 (Nos. 333-147063, 333-133237, 333-124536, and 333-113472) pertaining to the 2000 Equity Incentve Plan and 2000 Employee Stock Purchase Plan of Exelixis, Inc.,</w:t>
      </w:r>
    </w:p>
    <w:p>
      <w:pPr>
        <w:ind w:left="660" w:hanging="328"/>
        <w:spacing w:after="0" w:line="245" w:lineRule="auto"/>
        <w:tabs>
          <w:tab w:leader="none" w:pos="647"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Statements on Form S-8 (Nos. 333-102770, 333-57026, and 333-82722) pertaining to the 2000 Equity Incentve Plan, 2000 Employee Stock Purchase Plan, and 2000 Non-Employee Directors’ Stock Opton Plan of Exelixis, Inc.,</w:t>
      </w:r>
    </w:p>
    <w:p>
      <w:pPr>
        <w:spacing w:after="0" w:line="19" w:lineRule="exact"/>
        <w:rPr>
          <w:rFonts w:ascii="Calibri" w:cs="Calibri" w:eastAsia="Calibri" w:hAnsi="Calibri"/>
          <w:sz w:val="18"/>
          <w:szCs w:val="18"/>
          <w:color w:val="auto"/>
        </w:rPr>
      </w:pPr>
    </w:p>
    <w:p>
      <w:pPr>
        <w:ind w:left="640" w:hanging="308"/>
        <w:spacing w:after="0"/>
        <w:tabs>
          <w:tab w:leader="none" w:pos="640"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Registraton Statement on Form S-8 (No. 333-82724) pertaining to the 401(k) Plan of Exelixis, Inc., and</w:t>
      </w:r>
    </w:p>
    <w:p>
      <w:pPr>
        <w:spacing w:after="0" w:line="14" w:lineRule="exact"/>
        <w:rPr>
          <w:rFonts w:ascii="Calibri" w:cs="Calibri" w:eastAsia="Calibri" w:hAnsi="Calibri"/>
          <w:sz w:val="18"/>
          <w:szCs w:val="18"/>
          <w:color w:val="auto"/>
        </w:rPr>
      </w:pPr>
    </w:p>
    <w:p>
      <w:pPr>
        <w:jc w:val="both"/>
        <w:ind w:left="660" w:hanging="328"/>
        <w:spacing w:after="0" w:line="273" w:lineRule="auto"/>
        <w:tabs>
          <w:tab w:leader="none" w:pos="647" w:val="left"/>
        </w:tabs>
        <w:numPr>
          <w:ilvl w:val="0"/>
          <w:numId w:val="76"/>
        </w:numPr>
        <w:rPr>
          <w:rFonts w:ascii="Calibri" w:cs="Calibri" w:eastAsia="Calibri" w:hAnsi="Calibri"/>
          <w:sz w:val="17"/>
          <w:szCs w:val="17"/>
          <w:color w:val="auto"/>
        </w:rPr>
      </w:pPr>
      <w:r>
        <w:rPr>
          <w:rFonts w:ascii="Calibri" w:cs="Calibri" w:eastAsia="Calibri" w:hAnsi="Calibri"/>
          <w:sz w:val="17"/>
          <w:szCs w:val="17"/>
          <w:color w:val="auto"/>
        </w:rPr>
        <w:t>Registraton Statement on Form S-8 (No. 333-35862) pertaining to the 1997 Equity Incentve Plan, 2000 Equity Incentve Plan, 2000 Employee Stock Purchase Plan, and 2000 Non-Employee Directors’ Stock Opton Plan of Exelixis, Inc. of our reports dated February 11, 2025, with respect to the</w:t>
      </w:r>
    </w:p>
    <w:p>
      <w:pPr>
        <w:ind w:left="660" w:right="20"/>
        <w:spacing w:after="0" w:line="245" w:lineRule="auto"/>
        <w:rPr>
          <w:rFonts w:ascii="Calibri" w:cs="Calibri" w:eastAsia="Calibri" w:hAnsi="Calibri"/>
          <w:sz w:val="17"/>
          <w:szCs w:val="17"/>
          <w:color w:val="auto"/>
        </w:rPr>
      </w:pPr>
      <w:r>
        <w:rPr>
          <w:rFonts w:ascii="Calibri" w:cs="Calibri" w:eastAsia="Calibri" w:hAnsi="Calibri"/>
          <w:sz w:val="18"/>
          <w:szCs w:val="18"/>
          <w:color w:val="auto"/>
        </w:rPr>
        <w:t>consolidated fnancial statements of Exelixis, Inc. and the efectveness of internal control over fnancial reportng of Exelixis, Inc., included in this Annual Report (Form 10-K) of Exelixis, Inc. for the year ended January 3, 2025.</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Redwood City, California</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auto"/>
        </w:rPr>
        <w:t>February 11, 2025</w:t>
      </w:r>
    </w:p>
    <w:p>
      <w:pPr>
        <w:sectPr>
          <w:pgSz w:w="11900" w:h="16838" w:orient="portrait"/>
          <w:cols w:equalWidth="0" w:num="1">
            <w:col w:w="11240"/>
          </w:cols>
          <w:pgMar w:left="320" w:top="1084" w:right="339" w:bottom="1440" w:gutter="0" w:footer="0" w:header="0"/>
        </w:sectPr>
      </w:pPr>
    </w:p>
    <w:bookmarkStart w:id="151" w:name="page152"/>
    <w:bookmarkEnd w:id="151"/>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OF PRINCIPAL EXECUTIVE OFFICER</w:t>
      </w:r>
    </w:p>
    <w:p>
      <w:pPr>
        <w:jc w:val="center"/>
        <w:spacing w:after="0" w:line="235" w:lineRule="auto"/>
        <w:rPr>
          <w:sz w:val="20"/>
          <w:szCs w:val="20"/>
          <w:color w:val="auto"/>
        </w:rPr>
      </w:pPr>
      <w:r>
        <w:rPr>
          <w:rFonts w:ascii="Calibri" w:cs="Calibri" w:eastAsia="Calibri" w:hAnsi="Calibri"/>
          <w:sz w:val="18"/>
          <w:szCs w:val="18"/>
          <w:b w:val="1"/>
          <w:bCs w:val="1"/>
          <w:color w:val="auto"/>
        </w:rPr>
        <w:t>PURSUANT TO</w:t>
      </w:r>
    </w:p>
    <w:p>
      <w:pPr>
        <w:jc w:val="center"/>
        <w:spacing w:after="0" w:line="236" w:lineRule="auto"/>
        <w:rPr>
          <w:sz w:val="20"/>
          <w:szCs w:val="20"/>
          <w:color w:val="auto"/>
        </w:rPr>
      </w:pPr>
      <w:r>
        <w:rPr>
          <w:rFonts w:ascii="Calibri" w:cs="Calibri" w:eastAsia="Calibri" w:hAnsi="Calibri"/>
          <w:sz w:val="18"/>
          <w:szCs w:val="18"/>
          <w:b w:val="1"/>
          <w:bCs w:val="1"/>
          <w:color w:val="auto"/>
        </w:rPr>
        <w:t>EXCHANGE ACT RULES 13a-14(a) and 15d-14(a),</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I, Michael M. Morrissey, Ph.D., certfy that:</w:t>
      </w:r>
    </w:p>
    <w:p>
      <w:pPr>
        <w:spacing w:after="0" w:line="158" w:lineRule="exact"/>
        <w:rPr>
          <w:sz w:val="20"/>
          <w:szCs w:val="20"/>
          <w:color w:val="auto"/>
        </w:rPr>
      </w:pPr>
    </w:p>
    <w:p>
      <w:pPr>
        <w:ind w:left="500" w:hanging="168"/>
        <w:spacing w:after="0"/>
        <w:tabs>
          <w:tab w:leader="none" w:pos="500" w:val="left"/>
        </w:tabs>
        <w:numPr>
          <w:ilvl w:val="0"/>
          <w:numId w:val="77"/>
        </w:numPr>
        <w:rPr>
          <w:rFonts w:ascii="Calibri" w:cs="Calibri" w:eastAsia="Calibri" w:hAnsi="Calibri"/>
          <w:sz w:val="18"/>
          <w:szCs w:val="18"/>
          <w:color w:val="auto"/>
        </w:rPr>
      </w:pPr>
      <w:r>
        <w:rPr>
          <w:rFonts w:ascii="Calibri" w:cs="Calibri" w:eastAsia="Calibri" w:hAnsi="Calibri"/>
          <w:sz w:val="18"/>
          <w:szCs w:val="18"/>
          <w:color w:val="auto"/>
        </w:rPr>
        <w:t>I have reviewed this Form 10-K of Exelixis, Inc.;</w:t>
      </w:r>
    </w:p>
    <w:p>
      <w:pPr>
        <w:spacing w:after="0" w:line="163" w:lineRule="exact"/>
        <w:rPr>
          <w:rFonts w:ascii="Calibri" w:cs="Calibri" w:eastAsia="Calibri" w:hAnsi="Calibri"/>
          <w:sz w:val="18"/>
          <w:szCs w:val="18"/>
          <w:color w:val="auto"/>
        </w:rPr>
      </w:pPr>
    </w:p>
    <w:p>
      <w:pPr>
        <w:jc w:val="both"/>
        <w:ind w:right="260" w:firstLine="332"/>
        <w:spacing w:after="0" w:line="258" w:lineRule="auto"/>
        <w:tabs>
          <w:tab w:leader="none" w:pos="497" w:val="left"/>
        </w:tabs>
        <w:numPr>
          <w:ilvl w:val="0"/>
          <w:numId w:val="77"/>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Calibri" w:cs="Calibri" w:eastAsia="Calibri" w:hAnsi="Calibri"/>
          <w:sz w:val="17"/>
          <w:szCs w:val="17"/>
          <w:color w:val="auto"/>
        </w:rPr>
      </w:pPr>
    </w:p>
    <w:p>
      <w:pPr>
        <w:ind w:right="360" w:firstLine="332"/>
        <w:spacing w:after="0" w:line="235" w:lineRule="auto"/>
        <w:tabs>
          <w:tab w:leader="none" w:pos="497" w:val="left"/>
        </w:tabs>
        <w:numPr>
          <w:ilvl w:val="0"/>
          <w:numId w:val="77"/>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63" w:lineRule="exact"/>
        <w:rPr>
          <w:rFonts w:ascii="Calibri" w:cs="Calibri" w:eastAsia="Calibri" w:hAnsi="Calibri"/>
          <w:sz w:val="18"/>
          <w:szCs w:val="18"/>
          <w:color w:val="auto"/>
        </w:rPr>
      </w:pPr>
    </w:p>
    <w:p>
      <w:pPr>
        <w:ind w:right="200" w:firstLine="332"/>
        <w:spacing w:after="0" w:line="235" w:lineRule="auto"/>
        <w:tabs>
          <w:tab w:leader="none" w:pos="497" w:val="left"/>
        </w:tabs>
        <w:numPr>
          <w:ilvl w:val="0"/>
          <w:numId w:val="7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660" w:right="220" w:hanging="4"/>
        <w:spacing w:after="0" w:line="235" w:lineRule="auto"/>
        <w:tabs>
          <w:tab w:leader="none" w:pos="890"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83" w:lineRule="exact"/>
        <w:rPr>
          <w:rFonts w:ascii="Calibri" w:cs="Calibri" w:eastAsia="Calibri" w:hAnsi="Calibri"/>
          <w:sz w:val="18"/>
          <w:szCs w:val="18"/>
          <w:color w:val="auto"/>
        </w:rPr>
      </w:pPr>
    </w:p>
    <w:p>
      <w:pPr>
        <w:ind w:left="660" w:right="160" w:hanging="4"/>
        <w:spacing w:after="0" w:line="235" w:lineRule="auto"/>
        <w:tabs>
          <w:tab w:leader="none" w:pos="898"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97" w:lineRule="exact"/>
        <w:rPr>
          <w:rFonts w:ascii="Calibri" w:cs="Calibri" w:eastAsia="Calibri" w:hAnsi="Calibri"/>
          <w:sz w:val="18"/>
          <w:szCs w:val="18"/>
          <w:color w:val="auto"/>
        </w:rPr>
      </w:pPr>
    </w:p>
    <w:p>
      <w:pPr>
        <w:ind w:left="660" w:right="680" w:hanging="4"/>
        <w:spacing w:after="0" w:line="258" w:lineRule="auto"/>
        <w:tabs>
          <w:tab w:leader="none" w:pos="880" w:val="left"/>
        </w:tabs>
        <w:numPr>
          <w:ilvl w:val="1"/>
          <w:numId w:val="77"/>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jc w:val="both"/>
        <w:ind w:left="660" w:right="220" w:hanging="4"/>
        <w:spacing w:after="0" w:line="235" w:lineRule="auto"/>
        <w:tabs>
          <w:tab w:leader="none" w:pos="898"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64" w:lineRule="exact"/>
        <w:rPr>
          <w:rFonts w:ascii="Calibri" w:cs="Calibri" w:eastAsia="Calibri" w:hAnsi="Calibri"/>
          <w:sz w:val="18"/>
          <w:szCs w:val="18"/>
          <w:color w:val="auto"/>
        </w:rPr>
      </w:pPr>
    </w:p>
    <w:p>
      <w:pPr>
        <w:ind w:right="120" w:firstLine="332"/>
        <w:spacing w:after="0" w:line="235" w:lineRule="auto"/>
        <w:tabs>
          <w:tab w:leader="none" w:pos="497" w:val="left"/>
        </w:tabs>
        <w:numPr>
          <w:ilvl w:val="0"/>
          <w:numId w:val="7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82" w:lineRule="exact"/>
        <w:rPr>
          <w:rFonts w:ascii="Calibri" w:cs="Calibri" w:eastAsia="Calibri" w:hAnsi="Calibri"/>
          <w:sz w:val="18"/>
          <w:szCs w:val="18"/>
          <w:color w:val="auto"/>
        </w:rPr>
      </w:pPr>
    </w:p>
    <w:p>
      <w:pPr>
        <w:ind w:left="660" w:right="240" w:hanging="4"/>
        <w:spacing w:after="0" w:line="235" w:lineRule="auto"/>
        <w:tabs>
          <w:tab w:leader="none" w:pos="890"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6" w:lineRule="exact"/>
        <w:rPr>
          <w:rFonts w:ascii="Calibri" w:cs="Calibri" w:eastAsia="Calibri" w:hAnsi="Calibri"/>
          <w:sz w:val="18"/>
          <w:szCs w:val="18"/>
          <w:color w:val="auto"/>
        </w:rPr>
      </w:pPr>
    </w:p>
    <w:p>
      <w:pPr>
        <w:ind w:left="660" w:right="100" w:hanging="4"/>
        <w:spacing w:after="0" w:line="235" w:lineRule="auto"/>
        <w:tabs>
          <w:tab w:leader="none" w:pos="898" w:val="left"/>
        </w:tabs>
        <w:numPr>
          <w:ilvl w:val="1"/>
          <w:numId w:val="77"/>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321" w:lineRule="exact"/>
        <w:rPr>
          <w:sz w:val="20"/>
          <w:szCs w:val="20"/>
          <w:color w:val="auto"/>
        </w:rPr>
      </w:pPr>
    </w:p>
    <w:p>
      <w:pPr>
        <w:ind w:left="7900"/>
        <w:spacing w:after="0"/>
        <w:rPr>
          <w:sz w:val="20"/>
          <w:szCs w:val="20"/>
          <w:color w:val="auto"/>
        </w:rPr>
      </w:pPr>
      <w:r>
        <w:rPr>
          <w:rFonts w:ascii="Calibri" w:cs="Calibri" w:eastAsia="Calibri" w:hAnsi="Calibri"/>
          <w:sz w:val="18"/>
          <w:szCs w:val="18"/>
          <w:color w:val="auto"/>
        </w:rPr>
        <w:t>/s/ Michael M. Morrissey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Calibri" w:cs="Calibri" w:eastAsia="Calibri" w:hAnsi="Calibri"/>
          <w:sz w:val="18"/>
          <w:szCs w:val="18"/>
          <w:b w:val="1"/>
          <w:bCs w:val="1"/>
          <w:color w:val="auto"/>
        </w:rPr>
        <w:t>Michael M. Morrissey, Ph.D.</w:t>
      </w:r>
    </w:p>
    <w:p>
      <w:pPr>
        <w:spacing w:after="0" w:line="6" w:lineRule="exact"/>
        <w:rPr>
          <w:sz w:val="20"/>
          <w:szCs w:val="20"/>
          <w:color w:val="auto"/>
        </w:rPr>
      </w:pPr>
    </w:p>
    <w:p>
      <w:pPr>
        <w:ind w:left="6380"/>
        <w:spacing w:after="0"/>
        <w:rPr>
          <w:sz w:val="20"/>
          <w:szCs w:val="20"/>
          <w:color w:val="auto"/>
        </w:rPr>
      </w:pPr>
      <w:r>
        <w:rPr>
          <w:rFonts w:ascii="Calibri" w:cs="Calibri" w:eastAsia="Calibri" w:hAnsi="Calibri"/>
          <w:sz w:val="18"/>
          <w:szCs w:val="18"/>
          <w:color w:val="auto"/>
        </w:rPr>
        <w:t>President and Chief Executve Ofcer</w:t>
      </w:r>
    </w:p>
    <w:p>
      <w:pPr>
        <w:ind w:left="6380"/>
        <w:spacing w:after="0" w:line="195" w:lineRule="auto"/>
        <w:rPr>
          <w:sz w:val="20"/>
          <w:szCs w:val="20"/>
          <w:color w:val="auto"/>
        </w:rPr>
      </w:pPr>
      <w:r>
        <w:rPr>
          <w:rFonts w:ascii="Calibri" w:cs="Calibri" w:eastAsia="Calibri" w:hAnsi="Calibri"/>
          <w:sz w:val="18"/>
          <w:szCs w:val="18"/>
          <w:color w:val="auto"/>
        </w:rPr>
        <w:t>(Principal Executve Ofcer)</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Date: February 11, 2025</w:t>
      </w:r>
    </w:p>
    <w:p>
      <w:pPr>
        <w:sectPr>
          <w:pgSz w:w="11900" w:h="16838" w:orient="portrait"/>
          <w:cols w:equalWidth="0" w:num="1">
            <w:col w:w="11240"/>
          </w:cols>
          <w:pgMar w:left="320" w:top="1084" w:right="339" w:bottom="1440" w:gutter="0" w:footer="0" w:header="0"/>
        </w:sectPr>
      </w:pPr>
    </w:p>
    <w:bookmarkStart w:id="152" w:name="page153"/>
    <w:bookmarkEnd w:id="152"/>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OF PRINCIPAL FINANCIAL OFFICER</w:t>
      </w:r>
    </w:p>
    <w:p>
      <w:pPr>
        <w:jc w:val="center"/>
        <w:spacing w:after="0" w:line="235" w:lineRule="auto"/>
        <w:rPr>
          <w:sz w:val="20"/>
          <w:szCs w:val="20"/>
          <w:color w:val="auto"/>
        </w:rPr>
      </w:pPr>
      <w:r>
        <w:rPr>
          <w:rFonts w:ascii="Calibri" w:cs="Calibri" w:eastAsia="Calibri" w:hAnsi="Calibri"/>
          <w:sz w:val="18"/>
          <w:szCs w:val="18"/>
          <w:b w:val="1"/>
          <w:bCs w:val="1"/>
          <w:color w:val="auto"/>
        </w:rPr>
        <w:t>PURSUANT TO</w:t>
      </w:r>
    </w:p>
    <w:p>
      <w:pPr>
        <w:jc w:val="center"/>
        <w:spacing w:after="0" w:line="236" w:lineRule="auto"/>
        <w:rPr>
          <w:sz w:val="20"/>
          <w:szCs w:val="20"/>
          <w:color w:val="auto"/>
        </w:rPr>
      </w:pPr>
      <w:r>
        <w:rPr>
          <w:rFonts w:ascii="Calibri" w:cs="Calibri" w:eastAsia="Calibri" w:hAnsi="Calibri"/>
          <w:sz w:val="18"/>
          <w:szCs w:val="18"/>
          <w:b w:val="1"/>
          <w:bCs w:val="1"/>
          <w:color w:val="auto"/>
        </w:rPr>
        <w:t>EXCHANGE ACT RULES 13a-14(a) and 15d-14(a),</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I, Christopher J. Senner, certfy that:</w:t>
      </w:r>
    </w:p>
    <w:p>
      <w:pPr>
        <w:spacing w:after="0" w:line="158" w:lineRule="exact"/>
        <w:rPr>
          <w:sz w:val="20"/>
          <w:szCs w:val="20"/>
          <w:color w:val="auto"/>
        </w:rPr>
      </w:pPr>
    </w:p>
    <w:p>
      <w:pPr>
        <w:ind w:left="500" w:hanging="168"/>
        <w:spacing w:after="0"/>
        <w:tabs>
          <w:tab w:leader="none" w:pos="500" w:val="left"/>
        </w:tabs>
        <w:numPr>
          <w:ilvl w:val="0"/>
          <w:numId w:val="78"/>
        </w:numPr>
        <w:rPr>
          <w:rFonts w:ascii="Calibri" w:cs="Calibri" w:eastAsia="Calibri" w:hAnsi="Calibri"/>
          <w:sz w:val="18"/>
          <w:szCs w:val="18"/>
          <w:color w:val="auto"/>
        </w:rPr>
      </w:pPr>
      <w:r>
        <w:rPr>
          <w:rFonts w:ascii="Calibri" w:cs="Calibri" w:eastAsia="Calibri" w:hAnsi="Calibri"/>
          <w:sz w:val="18"/>
          <w:szCs w:val="18"/>
          <w:color w:val="auto"/>
        </w:rPr>
        <w:t>I have reviewed this Form 10-K of Exelixis, Inc.;</w:t>
      </w:r>
    </w:p>
    <w:p>
      <w:pPr>
        <w:spacing w:after="0" w:line="163" w:lineRule="exact"/>
        <w:rPr>
          <w:rFonts w:ascii="Calibri" w:cs="Calibri" w:eastAsia="Calibri" w:hAnsi="Calibri"/>
          <w:sz w:val="18"/>
          <w:szCs w:val="18"/>
          <w:color w:val="auto"/>
        </w:rPr>
      </w:pPr>
    </w:p>
    <w:p>
      <w:pPr>
        <w:jc w:val="both"/>
        <w:ind w:right="260" w:firstLine="332"/>
        <w:spacing w:after="0" w:line="258" w:lineRule="auto"/>
        <w:tabs>
          <w:tab w:leader="none" w:pos="497" w:val="left"/>
        </w:tabs>
        <w:numPr>
          <w:ilvl w:val="0"/>
          <w:numId w:val="78"/>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Calibri" w:cs="Calibri" w:eastAsia="Calibri" w:hAnsi="Calibri"/>
          <w:sz w:val="17"/>
          <w:szCs w:val="17"/>
          <w:color w:val="auto"/>
        </w:rPr>
      </w:pPr>
    </w:p>
    <w:p>
      <w:pPr>
        <w:ind w:right="360" w:firstLine="332"/>
        <w:spacing w:after="0" w:line="235" w:lineRule="auto"/>
        <w:tabs>
          <w:tab w:leader="none" w:pos="497" w:val="left"/>
        </w:tabs>
        <w:numPr>
          <w:ilvl w:val="0"/>
          <w:numId w:val="78"/>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63" w:lineRule="exact"/>
        <w:rPr>
          <w:rFonts w:ascii="Calibri" w:cs="Calibri" w:eastAsia="Calibri" w:hAnsi="Calibri"/>
          <w:sz w:val="18"/>
          <w:szCs w:val="18"/>
          <w:color w:val="auto"/>
        </w:rPr>
      </w:pPr>
    </w:p>
    <w:p>
      <w:pPr>
        <w:ind w:right="200" w:firstLine="332"/>
        <w:spacing w:after="0" w:line="235" w:lineRule="auto"/>
        <w:tabs>
          <w:tab w:leader="none" w:pos="497" w:val="left"/>
        </w:tabs>
        <w:numPr>
          <w:ilvl w:val="0"/>
          <w:numId w:val="78"/>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660" w:right="220" w:hanging="4"/>
        <w:spacing w:after="0" w:line="235" w:lineRule="auto"/>
        <w:tabs>
          <w:tab w:leader="none" w:pos="890"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83" w:lineRule="exact"/>
        <w:rPr>
          <w:rFonts w:ascii="Calibri" w:cs="Calibri" w:eastAsia="Calibri" w:hAnsi="Calibri"/>
          <w:sz w:val="18"/>
          <w:szCs w:val="18"/>
          <w:color w:val="auto"/>
        </w:rPr>
      </w:pPr>
    </w:p>
    <w:p>
      <w:pPr>
        <w:ind w:left="660" w:right="160" w:hanging="4"/>
        <w:spacing w:after="0" w:line="235" w:lineRule="auto"/>
        <w:tabs>
          <w:tab w:leader="none" w:pos="898"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97" w:lineRule="exact"/>
        <w:rPr>
          <w:rFonts w:ascii="Calibri" w:cs="Calibri" w:eastAsia="Calibri" w:hAnsi="Calibri"/>
          <w:sz w:val="18"/>
          <w:szCs w:val="18"/>
          <w:color w:val="auto"/>
        </w:rPr>
      </w:pPr>
    </w:p>
    <w:p>
      <w:pPr>
        <w:ind w:left="660" w:right="680" w:hanging="4"/>
        <w:spacing w:after="0" w:line="258" w:lineRule="auto"/>
        <w:tabs>
          <w:tab w:leader="none" w:pos="880" w:val="left"/>
        </w:tabs>
        <w:numPr>
          <w:ilvl w:val="1"/>
          <w:numId w:val="78"/>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jc w:val="both"/>
        <w:ind w:left="660" w:right="220" w:hanging="4"/>
        <w:spacing w:after="0" w:line="235" w:lineRule="auto"/>
        <w:tabs>
          <w:tab w:leader="none" w:pos="898"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64" w:lineRule="exact"/>
        <w:rPr>
          <w:rFonts w:ascii="Calibri" w:cs="Calibri" w:eastAsia="Calibri" w:hAnsi="Calibri"/>
          <w:sz w:val="18"/>
          <w:szCs w:val="18"/>
          <w:color w:val="auto"/>
        </w:rPr>
      </w:pPr>
    </w:p>
    <w:p>
      <w:pPr>
        <w:ind w:right="120" w:firstLine="332"/>
        <w:spacing w:after="0" w:line="235" w:lineRule="auto"/>
        <w:tabs>
          <w:tab w:leader="none" w:pos="497" w:val="left"/>
        </w:tabs>
        <w:numPr>
          <w:ilvl w:val="0"/>
          <w:numId w:val="78"/>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82" w:lineRule="exact"/>
        <w:rPr>
          <w:rFonts w:ascii="Calibri" w:cs="Calibri" w:eastAsia="Calibri" w:hAnsi="Calibri"/>
          <w:sz w:val="18"/>
          <w:szCs w:val="18"/>
          <w:color w:val="auto"/>
        </w:rPr>
      </w:pPr>
    </w:p>
    <w:p>
      <w:pPr>
        <w:ind w:left="660" w:right="240" w:hanging="4"/>
        <w:spacing w:after="0" w:line="235" w:lineRule="auto"/>
        <w:tabs>
          <w:tab w:leader="none" w:pos="890"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6" w:lineRule="exact"/>
        <w:rPr>
          <w:rFonts w:ascii="Calibri" w:cs="Calibri" w:eastAsia="Calibri" w:hAnsi="Calibri"/>
          <w:sz w:val="18"/>
          <w:szCs w:val="18"/>
          <w:color w:val="auto"/>
        </w:rPr>
      </w:pPr>
    </w:p>
    <w:p>
      <w:pPr>
        <w:ind w:left="660" w:right="100" w:hanging="4"/>
        <w:spacing w:after="0" w:line="235" w:lineRule="auto"/>
        <w:tabs>
          <w:tab w:leader="none" w:pos="898" w:val="left"/>
        </w:tabs>
        <w:numPr>
          <w:ilvl w:val="1"/>
          <w:numId w:val="78"/>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321" w:lineRule="exact"/>
        <w:rPr>
          <w:sz w:val="20"/>
          <w:szCs w:val="20"/>
          <w:color w:val="auto"/>
        </w:rPr>
      </w:pPr>
    </w:p>
    <w:p>
      <w:pPr>
        <w:ind w:left="7920"/>
        <w:spacing w:after="0"/>
        <w:rPr>
          <w:sz w:val="20"/>
          <w:szCs w:val="20"/>
          <w:color w:val="auto"/>
        </w:rPr>
      </w:pPr>
      <w:r>
        <w:rPr>
          <w:rFonts w:ascii="Calibri" w:cs="Calibri" w:eastAsia="Calibri" w:hAnsi="Calibri"/>
          <w:sz w:val="18"/>
          <w:szCs w:val="18"/>
          <w:color w:val="auto"/>
        </w:rPr>
        <w:t>/s/ Christopher J. Senner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3" w:lineRule="exact"/>
        <w:rPr>
          <w:sz w:val="20"/>
          <w:szCs w:val="20"/>
          <w:color w:val="auto"/>
        </w:rPr>
      </w:pPr>
    </w:p>
    <w:p>
      <w:pPr>
        <w:ind w:left="8020"/>
        <w:spacing w:after="0"/>
        <w:rPr>
          <w:sz w:val="20"/>
          <w:szCs w:val="20"/>
          <w:color w:val="auto"/>
        </w:rPr>
      </w:pPr>
      <w:r>
        <w:rPr>
          <w:rFonts w:ascii="Calibri" w:cs="Calibri" w:eastAsia="Calibri" w:hAnsi="Calibri"/>
          <w:sz w:val="18"/>
          <w:szCs w:val="18"/>
          <w:b w:val="1"/>
          <w:bCs w:val="1"/>
          <w:color w:val="auto"/>
        </w:rPr>
        <w:t>Christopher J. Senner</w:t>
      </w:r>
    </w:p>
    <w:p>
      <w:pPr>
        <w:spacing w:after="0" w:line="6" w:lineRule="exact"/>
        <w:rPr>
          <w:sz w:val="20"/>
          <w:szCs w:val="20"/>
          <w:color w:val="auto"/>
        </w:rPr>
      </w:pPr>
    </w:p>
    <w:p>
      <w:pPr>
        <w:ind w:left="6380"/>
        <w:spacing w:after="0"/>
        <w:rPr>
          <w:sz w:val="20"/>
          <w:szCs w:val="20"/>
          <w:color w:val="auto"/>
        </w:rPr>
      </w:pPr>
      <w:r>
        <w:rPr>
          <w:rFonts w:ascii="Calibri" w:cs="Calibri" w:eastAsia="Calibri" w:hAnsi="Calibri"/>
          <w:sz w:val="18"/>
          <w:szCs w:val="18"/>
          <w:color w:val="auto"/>
        </w:rPr>
        <w:t>Executve Vice President and Chief Financial Ofcer</w:t>
      </w:r>
    </w:p>
    <w:p>
      <w:pPr>
        <w:ind w:left="6380"/>
        <w:spacing w:after="0" w:line="195" w:lineRule="auto"/>
        <w:rPr>
          <w:sz w:val="20"/>
          <w:szCs w:val="20"/>
          <w:color w:val="auto"/>
        </w:rPr>
      </w:pPr>
      <w:r>
        <w:rPr>
          <w:rFonts w:ascii="Calibri" w:cs="Calibri" w:eastAsia="Calibri" w:hAnsi="Calibri"/>
          <w:sz w:val="18"/>
          <w:szCs w:val="18"/>
          <w:color w:val="auto"/>
        </w:rPr>
        <w:t>(Principal Financial Ofcer)</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Date: February 11, 2025</w:t>
      </w:r>
    </w:p>
    <w:p>
      <w:pPr>
        <w:sectPr>
          <w:pgSz w:w="11900" w:h="16838" w:orient="portrait"/>
          <w:cols w:equalWidth="0" w:num="1">
            <w:col w:w="11240"/>
          </w:cols>
          <w:pgMar w:left="320" w:top="1084" w:right="339" w:bottom="1440" w:gutter="0" w:footer="0" w:header="0"/>
        </w:sectPr>
      </w:pPr>
    </w:p>
    <w:bookmarkStart w:id="153" w:name="page154"/>
    <w:bookmarkEnd w:id="153"/>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CERTIFICATIONS OF PRINCIPAL EXECUTIVE OFFICER AND PRINCIPAL FINANCIAL OFFICER</w:t>
      </w:r>
    </w:p>
    <w:p>
      <w:pPr>
        <w:jc w:val="center"/>
        <w:spacing w:after="0" w:line="235" w:lineRule="auto"/>
        <w:rPr>
          <w:sz w:val="20"/>
          <w:szCs w:val="20"/>
          <w:color w:val="auto"/>
        </w:rPr>
      </w:pPr>
      <w:r>
        <w:rPr>
          <w:rFonts w:ascii="Calibri" w:cs="Calibri" w:eastAsia="Calibri" w:hAnsi="Calibri"/>
          <w:sz w:val="18"/>
          <w:szCs w:val="18"/>
          <w:b w:val="1"/>
          <w:bCs w:val="1"/>
          <w:color w:val="auto"/>
        </w:rPr>
        <w:t>PURSUANT TO</w:t>
      </w:r>
    </w:p>
    <w:p>
      <w:pPr>
        <w:jc w:val="center"/>
        <w:spacing w:after="0" w:line="236"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64" w:lineRule="exact"/>
        <w:rPr>
          <w:sz w:val="20"/>
          <w:szCs w:val="20"/>
          <w:color w:val="auto"/>
        </w:rPr>
      </w:pPr>
    </w:p>
    <w:p>
      <w:pPr>
        <w:ind w:right="220" w:firstLine="648"/>
        <w:spacing w:after="0" w:line="235" w:lineRule="auto"/>
        <w:rPr>
          <w:sz w:val="20"/>
          <w:szCs w:val="20"/>
          <w:color w:val="auto"/>
        </w:rPr>
      </w:pPr>
      <w:r>
        <w:rPr>
          <w:rFonts w:ascii="Calibri" w:cs="Calibri" w:eastAsia="Calibri" w:hAnsi="Calibri"/>
          <w:sz w:val="18"/>
          <w:szCs w:val="18"/>
          <w:color w:val="auto"/>
        </w:rPr>
        <w:t>Pursuant to 18 U.S.C. Secton 1350, as adopted pursuant to Secton 906 of the Sarbanes-Oxley Act of 2002, Michael M. Morrissey, Ph.D., the President and Chief Executve Ofcer of Exelixis, Inc. (the “Company”), and Christopher J. Senner, the Executve Vice President and Chief Financial Ofcer of the Company, each hereby certfes that, to the best of his knowledge:</w:t>
      </w:r>
    </w:p>
    <w:p>
      <w:pPr>
        <w:spacing w:after="0" w:line="97" w:lineRule="exact"/>
        <w:rPr>
          <w:sz w:val="20"/>
          <w:szCs w:val="20"/>
          <w:color w:val="auto"/>
        </w:rPr>
      </w:pPr>
    </w:p>
    <w:p>
      <w:pPr>
        <w:ind w:right="320" w:firstLine="656"/>
        <w:spacing w:after="0" w:line="235" w:lineRule="auto"/>
        <w:tabs>
          <w:tab w:leader="none" w:pos="980" w:val="left"/>
        </w:tabs>
        <w:numPr>
          <w:ilvl w:val="0"/>
          <w:numId w:val="79"/>
        </w:numPr>
        <w:rPr>
          <w:rFonts w:ascii="Calibri" w:cs="Calibri" w:eastAsia="Calibri" w:hAnsi="Calibri"/>
          <w:sz w:val="18"/>
          <w:szCs w:val="18"/>
          <w:color w:val="auto"/>
        </w:rPr>
      </w:pPr>
      <w:r>
        <w:rPr>
          <w:rFonts w:ascii="Calibri" w:cs="Calibri" w:eastAsia="Calibri" w:hAnsi="Calibri"/>
          <w:sz w:val="18"/>
          <w:szCs w:val="18"/>
          <w:color w:val="auto"/>
        </w:rPr>
        <w:t>The Company’s Annual Report on Form 10-K for the period ended January 3, 2025, to which this Certfcaton is atached as Exhibit 32.1 (the “Report”), fully complies with the requirements of Secton 13(a) or Secton 15(d) of the Securites Exchange Act of 1934, as amended; and</w:t>
      </w:r>
    </w:p>
    <w:p>
      <w:pPr>
        <w:spacing w:after="0" w:line="77" w:lineRule="exact"/>
        <w:rPr>
          <w:rFonts w:ascii="Calibri" w:cs="Calibri" w:eastAsia="Calibri" w:hAnsi="Calibri"/>
          <w:sz w:val="18"/>
          <w:szCs w:val="18"/>
          <w:color w:val="auto"/>
        </w:rPr>
      </w:pPr>
    </w:p>
    <w:p>
      <w:pPr>
        <w:ind w:left="980" w:hanging="324"/>
        <w:spacing w:after="0"/>
        <w:tabs>
          <w:tab w:leader="none" w:pos="980" w:val="left"/>
        </w:tabs>
        <w:numPr>
          <w:ilvl w:val="0"/>
          <w:numId w:val="79"/>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w:t>
      </w:r>
    </w:p>
    <w:p>
      <w:pPr>
        <w:spacing w:after="0" w:line="235" w:lineRule="auto"/>
        <w:rPr>
          <w:rFonts w:ascii="Calibri" w:cs="Calibri" w:eastAsia="Calibri" w:hAnsi="Calibri"/>
          <w:sz w:val="18"/>
          <w:szCs w:val="18"/>
          <w:color w:val="auto"/>
        </w:rPr>
      </w:pPr>
      <w:r>
        <w:rPr>
          <w:rFonts w:ascii="Calibri" w:cs="Calibri" w:eastAsia="Calibri" w:hAnsi="Calibri"/>
          <w:sz w:val="18"/>
          <w:szCs w:val="18"/>
          <w:color w:val="auto"/>
        </w:rPr>
        <w:t>Company.</w:t>
      </w:r>
    </w:p>
    <w:p>
      <w:pPr>
        <w:spacing w:after="0" w:line="160"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In Witness Whereof, the undersigned have set their hands hereto as of the 11</w:t>
      </w:r>
      <w:r>
        <w:rPr>
          <w:rFonts w:ascii="Calibri" w:cs="Calibri" w:eastAsia="Calibri" w:hAnsi="Calibri"/>
          <w:sz w:val="23"/>
          <w:szCs w:val="23"/>
          <w:color w:val="auto"/>
          <w:vertAlign w:val="superscript"/>
        </w:rPr>
        <w:t>th</w:t>
      </w:r>
      <w:r>
        <w:rPr>
          <w:rFonts w:ascii="Calibri" w:cs="Calibri" w:eastAsia="Calibri" w:hAnsi="Calibri"/>
          <w:sz w:val="18"/>
          <w:szCs w:val="18"/>
          <w:color w:val="auto"/>
        </w:rPr>
        <w:t xml:space="preserve"> day of February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60" w:type="dxa"/>
            <w:vAlign w:val="bottom"/>
            <w:gridSpan w:val="2"/>
          </w:tcPr>
          <w:p>
            <w:pPr>
              <w:jc w:val="center"/>
              <w:ind w:right="1280"/>
              <w:spacing w:after="0"/>
              <w:rPr>
                <w:sz w:val="20"/>
                <w:szCs w:val="20"/>
                <w:color w:val="auto"/>
              </w:rPr>
            </w:pPr>
            <w:r>
              <w:rPr>
                <w:rFonts w:ascii="Calibri" w:cs="Calibri" w:eastAsia="Calibri" w:hAnsi="Calibri"/>
                <w:sz w:val="18"/>
                <w:szCs w:val="18"/>
                <w:color w:val="auto"/>
                <w:w w:val="96"/>
              </w:rPr>
              <w:t>/s/ Michael M. Morrissey</w:t>
            </w:r>
          </w:p>
        </w:tc>
        <w:tc>
          <w:tcPr>
            <w:tcW w:w="4980" w:type="dxa"/>
            <w:vAlign w:val="bottom"/>
          </w:tcPr>
          <w:p>
            <w:pPr>
              <w:jc w:val="center"/>
              <w:spacing w:after="0"/>
              <w:rPr>
                <w:sz w:val="20"/>
                <w:szCs w:val="20"/>
                <w:color w:val="auto"/>
              </w:rPr>
            </w:pPr>
            <w:r>
              <w:rPr>
                <w:rFonts w:ascii="Calibri" w:cs="Calibri" w:eastAsia="Calibri" w:hAnsi="Calibri"/>
                <w:sz w:val="18"/>
                <w:szCs w:val="18"/>
                <w:color w:val="auto"/>
                <w:w w:val="96"/>
              </w:rPr>
              <w:t>/s/ Christopher J. Senner</w:t>
            </w:r>
          </w:p>
        </w:tc>
      </w:tr>
      <w:tr>
        <w:trPr>
          <w:trHeight w:val="23"/>
        </w:trPr>
        <w:tc>
          <w:tcPr>
            <w:tcW w:w="498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08"/>
        </w:trPr>
        <w:tc>
          <w:tcPr>
            <w:tcW w:w="4980" w:type="dxa"/>
            <w:vAlign w:val="bottom"/>
          </w:tcPr>
          <w:p>
            <w:pPr>
              <w:jc w:val="center"/>
              <w:spacing w:after="0" w:line="208" w:lineRule="exact"/>
              <w:rPr>
                <w:sz w:val="20"/>
                <w:szCs w:val="20"/>
                <w:color w:val="auto"/>
              </w:rPr>
            </w:pPr>
            <w:r>
              <w:rPr>
                <w:rFonts w:ascii="Calibri" w:cs="Calibri" w:eastAsia="Calibri" w:hAnsi="Calibri"/>
                <w:sz w:val="18"/>
                <w:szCs w:val="18"/>
                <w:b w:val="1"/>
                <w:bCs w:val="1"/>
                <w:color w:val="auto"/>
                <w:w w:val="97"/>
              </w:rPr>
              <w:t>Michael M. Morrissey, Ph.D.</w:t>
            </w:r>
          </w:p>
        </w:tc>
        <w:tc>
          <w:tcPr>
            <w:tcW w:w="1280" w:type="dxa"/>
            <w:vAlign w:val="bottom"/>
          </w:tcPr>
          <w:p>
            <w:pPr>
              <w:spacing w:after="0"/>
              <w:rPr>
                <w:sz w:val="18"/>
                <w:szCs w:val="18"/>
                <w:color w:val="auto"/>
              </w:rPr>
            </w:pPr>
          </w:p>
        </w:tc>
        <w:tc>
          <w:tcPr>
            <w:tcW w:w="4980" w:type="dxa"/>
            <w:vAlign w:val="bottom"/>
          </w:tcPr>
          <w:p>
            <w:pPr>
              <w:jc w:val="center"/>
              <w:spacing w:after="0" w:line="208" w:lineRule="exact"/>
              <w:rPr>
                <w:sz w:val="20"/>
                <w:szCs w:val="20"/>
                <w:color w:val="auto"/>
              </w:rPr>
            </w:pPr>
            <w:r>
              <w:rPr>
                <w:rFonts w:ascii="Calibri" w:cs="Calibri" w:eastAsia="Calibri" w:hAnsi="Calibri"/>
                <w:sz w:val="18"/>
                <w:szCs w:val="18"/>
                <w:b w:val="1"/>
                <w:bCs w:val="1"/>
                <w:color w:val="auto"/>
                <w:w w:val="96"/>
              </w:rPr>
              <w:t>Christopher J. Senner</w:t>
            </w:r>
          </w:p>
        </w:tc>
      </w:tr>
      <w:tr>
        <w:trPr>
          <w:trHeight w:val="195"/>
        </w:trPr>
        <w:tc>
          <w:tcPr>
            <w:tcW w:w="6260" w:type="dxa"/>
            <w:vAlign w:val="bottom"/>
            <w:gridSpan w:val="2"/>
          </w:tcPr>
          <w:p>
            <w:pPr>
              <w:ind w:left="20"/>
              <w:spacing w:after="0" w:line="195" w:lineRule="exact"/>
              <w:rPr>
                <w:sz w:val="20"/>
                <w:szCs w:val="20"/>
                <w:color w:val="auto"/>
              </w:rPr>
            </w:pPr>
            <w:r>
              <w:rPr>
                <w:rFonts w:ascii="Calibri" w:cs="Calibri" w:eastAsia="Calibri" w:hAnsi="Calibri"/>
                <w:sz w:val="18"/>
                <w:szCs w:val="18"/>
                <w:color w:val="auto"/>
              </w:rPr>
              <w:t>President and Chief Executve Ofcer</w:t>
            </w:r>
          </w:p>
        </w:tc>
        <w:tc>
          <w:tcPr>
            <w:tcW w:w="4980" w:type="dxa"/>
            <w:vAlign w:val="bottom"/>
          </w:tcPr>
          <w:p>
            <w:pPr>
              <w:ind w:left="20"/>
              <w:spacing w:after="0" w:line="195" w:lineRule="exact"/>
              <w:rPr>
                <w:sz w:val="20"/>
                <w:szCs w:val="20"/>
                <w:color w:val="auto"/>
              </w:rPr>
            </w:pPr>
            <w:r>
              <w:rPr>
                <w:rFonts w:ascii="Calibri" w:cs="Calibri" w:eastAsia="Calibri" w:hAnsi="Calibri"/>
                <w:sz w:val="18"/>
                <w:szCs w:val="18"/>
                <w:color w:val="auto"/>
              </w:rPr>
              <w:t>Executve Vice President and Chief Financial Ofcer</w:t>
            </w:r>
          </w:p>
        </w:tc>
      </w:tr>
      <w:tr>
        <w:trPr>
          <w:trHeight w:val="215"/>
        </w:trPr>
        <w:tc>
          <w:tcPr>
            <w:tcW w:w="62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(Principal Executve Ofcer)</w:t>
            </w:r>
          </w:p>
        </w:tc>
        <w:tc>
          <w:tcPr>
            <w:tcW w:w="4980" w:type="dxa"/>
            <w:vAlign w:val="bottom"/>
          </w:tcPr>
          <w:p>
            <w:pPr>
              <w:ind w:left="20"/>
              <w:spacing w:after="0" w:line="215" w:lineRule="exact"/>
              <w:rPr>
                <w:sz w:val="20"/>
                <w:szCs w:val="20"/>
                <w:color w:val="auto"/>
              </w:rPr>
            </w:pPr>
            <w:r>
              <w:rPr>
                <w:rFonts w:ascii="Calibri" w:cs="Calibri" w:eastAsia="Calibri" w:hAnsi="Calibri"/>
                <w:sz w:val="18"/>
                <w:szCs w:val="18"/>
                <w:color w:val="auto"/>
              </w:rPr>
              <w:t>(Principal Financial Ofcer)</w:t>
            </w:r>
          </w:p>
        </w:tc>
      </w:tr>
    </w:tbl>
    <w:p>
      <w:pPr>
        <w:spacing w:after="0" w:line="1" w:lineRule="exact"/>
        <w:rPr>
          <w:sz w:val="20"/>
          <w:szCs w:val="20"/>
          <w:color w:val="auto"/>
        </w:rPr>
      </w:pPr>
    </w:p>
    <w:sectPr>
      <w:pgSz w:w="11900" w:h="16838" w:orient="portrait"/>
      <w:cols w:equalWidth="0" w:num="1">
        <w:col w:w="11240"/>
      </w:cols>
      <w:pgMar w:left="320" w:top="10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lvl w:ilvl="1">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emdash "/>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1)"/>
      <w:numFmt w:val="lowerRoman"/>
      <w:start w:val="2"/>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lowerLetter"/>
      <w:start w:val="1"/>
    </w:lvl>
    <w:lvl w:ilvl="1">
      <w:lvlJc w:val="left"/>
      <w:lvlText w:val="(%2)"/>
      <w:numFmt w:val="decimal"/>
      <w:start w:val="1"/>
    </w:lvl>
  </w:abstractNum>
  <w:abstractNum w:abstractNumId="42">
    <w:nsid w:val="10233C99"/>
    <w:multiLevelType w:val="hybridMultilevel"/>
    <w:lvl w:ilvl="0">
      <w:lvlJc w:val="left"/>
      <w:lvlText w:val="(%1)"/>
      <w:numFmt w:val="decimal"/>
      <w:start w:val="2"/>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2"/>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3"/>
    </w:lvl>
  </w:abstractNum>
  <w:abstractNum w:abstractNumId="50">
    <w:nsid w:val="2F305DEF"/>
    <w:multiLevelType w:val="hybridMultilevel"/>
    <w:lvl w:ilvl="0">
      <w:lvlJc w:val="left"/>
      <w:lvlText w:val="%1."/>
      <w:numFmt w:val="lowerRoman"/>
    </w:lvl>
    <w:lvl w:ilvl="1">
      <w:lvlJc w:val="left"/>
      <w:lvlText w:val="•"/>
      <w:numFmt w:val="bullet"/>
      <w:start w:val="1"/>
    </w:lvl>
  </w:abstractNum>
  <w:abstractNum w:abstractNumId="51">
    <w:nsid w:val="25A70BF7"/>
    <w:multiLevelType w:val="hybridMultilevel"/>
    <w:lvl w:ilvl="0">
      <w:lvlJc w:val="left"/>
      <w:lvlText w:val="%1."/>
      <w:numFmt w:val="lowerRoman"/>
      <w:start w:val="2"/>
    </w:lvl>
    <w:lvl w:ilvl="1">
      <w:lvlJc w:val="left"/>
      <w:lvlText w:val="•"/>
      <w:numFmt w:val="bullet"/>
      <w:start w:val="1"/>
    </w:lvl>
  </w:abstractNum>
  <w:abstractNum w:abstractNumId="52">
    <w:nsid w:val="1DBABF00"/>
    <w:multiLevelType w:val="hybridMultilevel"/>
    <w:lvl w:ilvl="0">
      <w:lvlJc w:val="left"/>
      <w:lvlText w:val="%1."/>
      <w:numFmt w:val="upperLetter"/>
      <w:start w:val="5"/>
    </w:lvl>
  </w:abstractNum>
  <w:abstractNum w:abstractNumId="53">
    <w:nsid w:val="4AD084E9"/>
    <w:multiLevelType w:val="hybridMultilevel"/>
    <w:lvl w:ilvl="0">
      <w:lvlJc w:val="left"/>
      <w:lvlText w:val="%1."/>
      <w:numFmt w:val="decimal"/>
      <w:start w:val="4"/>
    </w:lvl>
  </w:abstractNum>
  <w:abstractNum w:abstractNumId="54">
    <w:nsid w:val="1F48EAA1"/>
    <w:multiLevelType w:val="hybridMultilevel"/>
    <w:lvl w:ilvl="0">
      <w:lvlJc w:val="left"/>
      <w:lvlText w:val="%1."/>
      <w:numFmt w:val="upperLetter"/>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upperLetter"/>
      <w:start w:val="2"/>
    </w:lvl>
  </w:abstractNum>
  <w:abstractNum w:abstractNumId="57">
    <w:nsid w:val="100F8FCA"/>
    <w:multiLevelType w:val="hybridMultilevel"/>
    <w:lvl w:ilvl="0">
      <w:lvlJc w:val="left"/>
      <w:lvlText w:val="%1."/>
      <w:numFmt w:val="decimal"/>
      <w:start w:val="5"/>
    </w:lvl>
  </w:abstractNum>
  <w:abstractNum w:abstractNumId="58">
    <w:nsid w:val="6590700B"/>
    <w:multiLevelType w:val="hybridMultilevel"/>
    <w:lvl w:ilvl="0">
      <w:lvlJc w:val="left"/>
      <w:lvlText w:val="%1."/>
      <w:numFmt w:val="decimal"/>
      <w:start w:val="6"/>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upperLetter"/>
      <w:start w:val="3"/>
    </w:lvl>
    <w:lvl w:ilvl="1">
      <w:lvlJc w:val="left"/>
      <w:lvlText w:val="•"/>
      <w:numFmt w:val="bullet"/>
      <w:start w:val="1"/>
    </w:lvl>
  </w:abstractNum>
  <w:abstractNum w:abstractNumId="61">
    <w:nsid w:val="98A3148"/>
    <w:multiLevelType w:val="hybridMultilevel"/>
    <w:lvl w:ilvl="0">
      <w:lvlJc w:val="left"/>
      <w:lvlText w:val="%1."/>
      <w:numFmt w:val="decimal"/>
      <w:start w:val="7"/>
    </w:lvl>
  </w:abstractNum>
  <w:abstractNum w:abstractNumId="62">
    <w:nsid w:val="799D0247"/>
    <w:multiLevelType w:val="hybridMultilevel"/>
    <w:lvl w:ilvl="0">
      <w:lvlJc w:val="left"/>
      <w:lvlText w:val="%1."/>
      <w:numFmt w:val="decimal"/>
      <w:start w:val="8"/>
    </w:lvl>
  </w:abstractNum>
  <w:abstractNum w:abstractNumId="63">
    <w:nsid w:val="6B94764"/>
    <w:multiLevelType w:val="hybridMultilevel"/>
    <w:lvl w:ilvl="0">
      <w:lvlJc w:val="left"/>
      <w:lvlText w:val="%1."/>
      <w:numFmt w:val="upperLetter"/>
      <w:start w:val="1"/>
    </w:lvl>
    <w:lvl w:ilvl="1">
      <w:lvlJc w:val="left"/>
      <w:lvlText w:val="•"/>
      <w:numFmt w:val="bullet"/>
      <w:start w:val="1"/>
    </w:lvl>
  </w:abstractNum>
  <w:abstractNum w:abstractNumId="64">
    <w:nsid w:val="42C296BD"/>
    <w:multiLevelType w:val="hybridMultilevel"/>
    <w:lvl w:ilvl="0">
      <w:lvlJc w:val="left"/>
      <w:lvlText w:val="%1."/>
      <w:numFmt w:val="upperLetter"/>
      <w:start w:val="3"/>
    </w:lvl>
    <w:lvl w:ilvl="1">
      <w:lvlJc w:val="left"/>
      <w:lvlText w:val="•"/>
      <w:numFmt w:val="bullet"/>
      <w:start w:val="1"/>
    </w:lvl>
  </w:abstractNum>
  <w:abstractNum w:abstractNumId="65">
    <w:nsid w:val="168E121F"/>
    <w:multiLevelType w:val="hybridMultilevel"/>
    <w:lvl w:ilvl="0">
      <w:lvlJc w:val="left"/>
      <w:lvlText w:val="%1."/>
      <w:numFmt w:val="decimal"/>
      <w:start w:val="9"/>
    </w:lvl>
  </w:abstractNum>
  <w:abstractNum w:abstractNumId="66">
    <w:nsid w:val="1EBA5D23"/>
    <w:multiLevelType w:val="hybridMultilevel"/>
    <w:lvl w:ilvl="0">
      <w:lvlJc w:val="left"/>
      <w:lvlText w:val="%1."/>
      <w:numFmt w:val="decimal"/>
      <w:start w:val="10"/>
    </w:lvl>
  </w:abstractNum>
  <w:abstractNum w:abstractNumId="67">
    <w:nsid w:val="661E3F1E"/>
    <w:multiLevelType w:val="hybridMultilevel"/>
    <w:lvl w:ilvl="0">
      <w:lvlJc w:val="left"/>
      <w:lvlText w:val="%1."/>
      <w:numFmt w:val="decimal"/>
      <w:start w:val="11"/>
    </w:lvl>
  </w:abstractNum>
  <w:abstractNum w:abstractNumId="68">
    <w:nsid w:val="5DC79EA8"/>
    <w:multiLevelType w:val="hybridMultilevel"/>
    <w:lvl w:ilvl="0">
      <w:lvlJc w:val="left"/>
      <w:lvlText w:val="%1."/>
      <w:numFmt w:val="decimal"/>
      <w:start w:val="1"/>
    </w:lvl>
    <w:lvl w:ilvl="1">
      <w:lvlJc w:val="left"/>
      <w:lvlText w:val="•"/>
      <w:numFmt w:val="bullet"/>
      <w:start w:val="1"/>
    </w:lvl>
  </w:abstractNum>
  <w:abstractNum w:abstractNumId="69">
    <w:nsid w:val="540A471C"/>
    <w:multiLevelType w:val="hybridMultilevel"/>
    <w:lvl w:ilvl="0">
      <w:lvlJc w:val="left"/>
      <w:lvlText w:val="%1."/>
      <w:numFmt w:val="upperLetter"/>
      <w:start w:val="1"/>
    </w:lvl>
    <w:lvl w:ilvl="1">
      <w:lvlJc w:val="left"/>
      <w:lvlText w:val="%2."/>
      <w:numFmt w:val="lowerRoman"/>
      <w:start w:val="1"/>
    </w:lvl>
  </w:abstractNum>
  <w:abstractNum w:abstractNumId="70">
    <w:nsid w:val="7BD3EE7B"/>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71">
    <w:nsid w:val="51D9C564"/>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2"/>
    </w:lvl>
    <w:lvl w:ilvl="1">
      <w:lvlJc w:val="left"/>
      <w:lvlText w:val="•"/>
      <w:numFmt w:val="bullet"/>
      <w:start w:val="1"/>
    </w:lvl>
  </w:abstractNum>
  <w:abstractNum w:abstractNumId="74">
    <w:nsid w:val="11447B73"/>
    <w:multiLevelType w:val="hybridMultilevel"/>
    <w:lvl w:ilvl="0">
      <w:lvlJc w:val="left"/>
      <w:lvlText w:val="%1."/>
      <w:numFmt w:val="lowerLetter"/>
      <w:start w:val="7"/>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6" Type="http://schemas.openxmlformats.org/officeDocument/2006/relationships/image" Target="media/image136.png"/><Relationship Id="rId174" Type="http://schemas.openxmlformats.org/officeDocument/2006/relationships/image" Target="media/image137.png"/><Relationship Id="rId186" Type="http://schemas.openxmlformats.org/officeDocument/2006/relationships/image" Target="media/image138.png"/><Relationship Id="rId198"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jpeg"/><Relationship Id="rId205" Type="http://schemas.openxmlformats.org/officeDocument/2006/relationships/image" Target="media/image145.jpeg"/><Relationship Id="rId206" Type="http://schemas.openxmlformats.org/officeDocument/2006/relationships/image" Target="media/image146.jpeg"/><Relationship Id="rId207" Type="http://schemas.openxmlformats.org/officeDocument/2006/relationships/image" Target="media/image147.jpeg"/><Relationship Id="rId208" Type="http://schemas.openxmlformats.org/officeDocument/2006/relationships/image" Target="media/image148.jpeg"/><Relationship Id="rId209" Type="http://schemas.openxmlformats.org/officeDocument/2006/relationships/image" Target="media/image149.jpeg"/><Relationship Id="rId210" Type="http://schemas.openxmlformats.org/officeDocument/2006/relationships/image" Target="media/image150.png"/><Relationship Id="rId211" Type="http://schemas.openxmlformats.org/officeDocument/2006/relationships/image" Target="media/image151.png"/><Relationship Id="rId143" Type="http://schemas.openxmlformats.org/officeDocument/2006/relationships/hyperlink" Target="https://www.sec.gov/Archives/edgar/data/939767/000093976721000076/exel20210526ex31restatedce.htm" TargetMode="External"/><Relationship Id="rId144" Type="http://schemas.openxmlformats.org/officeDocument/2006/relationships/hyperlink" Target="https://www.sec.gov/Archives/edgar/data/939767/000093976724000058/exel20240331exhibit32.htm" TargetMode="External"/><Relationship Id="rId145" Type="http://schemas.openxmlformats.org/officeDocument/2006/relationships/hyperlink" Target="https://www.sec.gov/Archives/edgar/data/939767/000093976723000127/exhibit31amendedandrestate.htm" TargetMode="External"/><Relationship Id="rId146" Type="http://schemas.openxmlformats.org/officeDocument/2006/relationships/hyperlink" Target="https://www.sec.gov/Archives/edgar/data/939767/000093976721000076/exhibit41exel20210630sto.htm" TargetMode="External"/><Relationship Id="rId147" Type="http://schemas.openxmlformats.org/officeDocument/2006/relationships/hyperlink" Target="https://www.sec.gov/Archives/edgar/data/939767/000093976722000026/exel20211231exhibit42.htm" TargetMode="External"/><Relationship Id="rId148" Type="http://schemas.openxmlformats.org/officeDocument/2006/relationships/hyperlink" Target="https://www.sec.gov/Archives/edgar/data/939767/000093976722000026/exel20211231exhibit101.htm" TargetMode="External"/><Relationship Id="rId149" Type="http://schemas.openxmlformats.org/officeDocument/2006/relationships/hyperlink" Target="https://www.sec.gov/Archives/edgar/data/939767/000093976724000119/exelixisinc2000employeesto.htm" TargetMode="External"/><Relationship Id="rId150" Type="http://schemas.openxmlformats.org/officeDocument/2006/relationships/hyperlink" Target="https://www.sec.gov/Archives/edgar/data/939767/000093976720000117/exel20200630exhibit101.htm" TargetMode="External"/><Relationship Id="rId151" Type="http://schemas.openxmlformats.org/officeDocument/2006/relationships/hyperlink" Target="https://www.sec.gov/Archives/edgar/data/939767/000093976714000026/exel20140630exhibit102.htm" TargetMode="External"/><Relationship Id="rId152" Type="http://schemas.openxmlformats.org/officeDocument/2006/relationships/hyperlink" Target="https://www.sec.gov/Archives/edgar/data/939767/000093976714000026/exel20140630exhibit104.htm" TargetMode="External"/><Relationship Id="rId153" Type="http://schemas.openxmlformats.org/officeDocument/2006/relationships/hyperlink" Target="https://www.sec.gov/Archives/edgar/data/939767/000093976714000026/exel20140630exhibit105.htm" TargetMode="External"/><Relationship Id="rId154" Type="http://schemas.openxmlformats.org/officeDocument/2006/relationships/hyperlink" Target="https://www.sec.gov/Archives/edgar/data/939767/000093976720000117/exel20200630exhibit102.htm" TargetMode="External"/><Relationship Id="rId155" Type="http://schemas.openxmlformats.org/officeDocument/2006/relationships/hyperlink" Target="https://www.sec.gov/Archives/edgar/data/939767/000093976722000097/exel2022630exhibit10110q.htm" TargetMode="External"/><Relationship Id="rId157" Type="http://schemas.openxmlformats.org/officeDocument/2006/relationships/hyperlink" Target="https://www.sec.gov/Archives/edgar/data/0000939767/000162828021001852/exel20201231exhibit1011.htm" TargetMode="External"/><Relationship Id="rId158" Type="http://schemas.openxmlformats.org/officeDocument/2006/relationships/hyperlink" Target="https://www.sec.gov/Archives/edgar/data/939767/000093976718000023/exel20171231exhibit1022.htm" TargetMode="External"/><Relationship Id="rId159" Type="http://schemas.openxmlformats.org/officeDocument/2006/relationships/hyperlink" Target="https://www.sec.gov/Archives/edgar/data/939767/000093976720000117/exel20200630exhibit105.htm" TargetMode="External"/><Relationship Id="rId160" Type="http://schemas.openxmlformats.org/officeDocument/2006/relationships/hyperlink" Target="https://www.sec.gov/Archives/edgar/data/939767/000093976720000117/exel20200630exhibit106.htm" TargetMode="External"/><Relationship Id="rId161" Type="http://schemas.openxmlformats.org/officeDocument/2006/relationships/hyperlink" Target="https://www.sec.gov/Archives/edgar/data/939767/000093976720000068/exel20200331exhibit104.htm" TargetMode="External"/><Relationship Id="rId162" Type="http://schemas.openxmlformats.org/officeDocument/2006/relationships/hyperlink" Target="https://www.sec.gov/Archives/edgar/data/939767/000110465904022709/a04-8650_1ex10d43.htm" TargetMode="External"/><Relationship Id="rId163" Type="http://schemas.openxmlformats.org/officeDocument/2006/relationships/hyperlink" Target="https://www.sec.gov/Archives/edgar/data/939767/000093976715000102/exel20150930exhibit105.htm" TargetMode="External"/><Relationship Id="rId164" Type="http://schemas.openxmlformats.org/officeDocument/2006/relationships/hyperlink" Target="https://www.sec.gov/Archives/edgar/data/939767/000093976724000028/exel20231231exhibit1018.htm" TargetMode="External"/><Relationship Id="rId165" Type="http://schemas.openxmlformats.org/officeDocument/2006/relationships/hyperlink" Target="https://www.sec.gov/Archives/edgar/data/939767/000093976714000018/exel20140331exhibit104.htm" TargetMode="External"/><Relationship Id="rId166" Type="http://schemas.openxmlformats.org/officeDocument/2006/relationships/hyperlink" Target="https://www.sec.gov/Archives/edgar/data/939767/000093976723000019/exel20221230exhibit1020.htm" TargetMode="External"/><Relationship Id="rId167" Type="http://schemas.openxmlformats.org/officeDocument/2006/relationships/hyperlink" Target="https://www.sec.gov/Archives/edgar/data/939767/000093976717000019/exel20161231exhibit1026.htm" TargetMode="External"/><Relationship Id="rId168" Type="http://schemas.openxmlformats.org/officeDocument/2006/relationships/hyperlink" Target="https://www.sec.gov/Archives/edgar/data/939767/000093976718000013/exel20180212exhibit101.htm" TargetMode="External"/><Relationship Id="rId169" Type="http://schemas.openxmlformats.org/officeDocument/2006/relationships/hyperlink" Target="https://www.sec.gov/Archives/edgar/data/939767/000093976724000028/exel20231231exhibit1023.htm" TargetMode="External"/><Relationship Id="rId170" Type="http://schemas.openxmlformats.org/officeDocument/2006/relationships/hyperlink" Target="https://www.sec.gov/Archives/edgar/data/939767/000093976724000028/exel20231231exhibit1024.htm" TargetMode="External"/><Relationship Id="rId171" Type="http://schemas.openxmlformats.org/officeDocument/2006/relationships/hyperlink" Target="https://www.sec.gov/Archives/edgar/data/939767/000093976717000137/exel20170630exhibit101.htm" TargetMode="External"/><Relationship Id="rId172" Type="http://schemas.openxmlformats.org/officeDocument/2006/relationships/hyperlink" Target="https://www.sec.gov/Archives/edgar/data/939767/000093976718000023/exel20171231exhibit1039.htm" TargetMode="External"/><Relationship Id="rId173" Type="http://schemas.openxmlformats.org/officeDocument/2006/relationships/hyperlink" Target="https://www.sec.gov/Archives/edgar/data/939767/000093976718000136/exel20180630exhibit102.htm" TargetMode="External"/><Relationship Id="rId175" Type="http://schemas.openxmlformats.org/officeDocument/2006/relationships/hyperlink" Target="https://www.sec.gov/Archives/edgar/data/939767/000093976719000090/exel20190401exhibit101.htm" TargetMode="External"/><Relationship Id="rId176" Type="http://schemas.openxmlformats.org/officeDocument/2006/relationships/hyperlink" Target="https://www.sec.gov/Archives/edgar/data/939767/000093976719000190/exel20190930exhibit102.htm" TargetMode="External"/><Relationship Id="rId177" Type="http://schemas.openxmlformats.org/officeDocument/2006/relationships/hyperlink" Target="https://www.sec.gov/Archives/edgar/data/939767/000093976720000035/exel20191231exhibit1037.htm" TargetMode="External"/><Relationship Id="rId178" Type="http://schemas.openxmlformats.org/officeDocument/2006/relationships/hyperlink" Target="https://www.sec.gov/Archives/edgar/data/0000939767/000162828021001852/exel20201231exhibit1032.htm" TargetMode="External"/><Relationship Id="rId179" Type="http://schemas.openxmlformats.org/officeDocument/2006/relationships/hyperlink" Target="https://www.sec.gov/Archives/edgar/data/939767/000093976722000097/exel2022630exhibit10310q.htm" TargetMode="External"/><Relationship Id="rId180" Type="http://schemas.openxmlformats.org/officeDocument/2006/relationships/hyperlink" Target="https://www.sec.gov/Archives/edgar/data/939767/000093976719000190/exel20190930exhibit103.htm" TargetMode="External"/><Relationship Id="rId181" Type="http://schemas.openxmlformats.org/officeDocument/2006/relationships/hyperlink" Target="https://www.sec.gov/Archives/edgar/data/939767/000093976720000035/exel20191231exhibit1039.htm" TargetMode="External"/><Relationship Id="rId182" Type="http://schemas.openxmlformats.org/officeDocument/2006/relationships/hyperlink" Target="https://www.sec.gov/Archives/edgar/data/939767/000093976721000045/exhibit101ipsencollaborati.htm" TargetMode="External"/><Relationship Id="rId183" Type="http://schemas.openxmlformats.org/officeDocument/2006/relationships/hyperlink" Target="https://www.sec.gov/Archives/edgar/data/939767/000093976721000045/exhibit102firstamendmentto.htm" TargetMode="External"/><Relationship Id="rId184" Type="http://schemas.openxmlformats.org/officeDocument/2006/relationships/hyperlink" Target="https://www.sec.gov/Archives/edgar/data/939767/000093976721000045/exhibit103secondamendmentt.htm" TargetMode="External"/><Relationship Id="rId185" Type="http://schemas.openxmlformats.org/officeDocument/2006/relationships/hyperlink" Target="https://www.sec.gov/Archives/edgar/data/939767/000093976721000045/exhibit104thirdamendmentto.htm" TargetMode="External"/><Relationship Id="rId187" Type="http://schemas.openxmlformats.org/officeDocument/2006/relationships/hyperlink" Target="https://www.sec.gov/Archives/edgar/data/939767/000093976723000019/exel20221230exhibit1040.htm" TargetMode="External"/><Relationship Id="rId188" Type="http://schemas.openxmlformats.org/officeDocument/2006/relationships/hyperlink" Target="https://www.sec.gov/Archives/edgar/data/939767/000093976723000114/exel20230930exhibit10110-q.htm" TargetMode="External"/><Relationship Id="rId189" Type="http://schemas.openxmlformats.org/officeDocument/2006/relationships/hyperlink" Target="https://www.sec.gov/Archives/edgar/data/939767/000093976721000045/exhibit105ipsensupplyagree.htm" TargetMode="External"/><Relationship Id="rId190" Type="http://schemas.openxmlformats.org/officeDocument/2006/relationships/hyperlink" Target="https://www.sec.gov/Archives/edgar/data/939767/000093976721000045/exhibit106firstamendmentto.htm" TargetMode="External"/><Relationship Id="rId191" Type="http://schemas.openxmlformats.org/officeDocument/2006/relationships/hyperlink" Target="https://www.sec.gov/Archives/edgar/data/939767/000093976719000157/exel20190630exhibit102.htm" TargetMode="External"/><Relationship Id="rId192" Type="http://schemas.openxmlformats.org/officeDocument/2006/relationships/hyperlink" Target="https://www.sec.gov/Archives/edgar/data/939767/000093976722000026/exel20211231exhibit1042.htm" TargetMode="External"/><Relationship Id="rId193" Type="http://schemas.openxmlformats.org/officeDocument/2006/relationships/hyperlink" Target="https://www.sec.gov/Archives/edgar/data/939767/000093976722000058/exel20210331exhibit10110q.htm" TargetMode="External"/><Relationship Id="rId194" Type="http://schemas.openxmlformats.org/officeDocument/2006/relationships/hyperlink" Target="https://www.sec.gov/Archives/edgar/data/939767/000093976718000136/exel20180630exhibit101.htm" TargetMode="External"/><Relationship Id="rId195" Type="http://schemas.openxmlformats.org/officeDocument/2006/relationships/hyperlink" Target="https://www.sec.gov/Archives/edgar/data/939767/000093976722000058/exel20210331exhibit10210q.htm" TargetMode="External"/><Relationship Id="rId196" Type="http://schemas.openxmlformats.org/officeDocument/2006/relationships/hyperlink" Target="https://www.sec.gov/Archives/edgar/data/939767/000093976720000150/exel20200930exhibit101.htm" TargetMode="External"/><Relationship Id="rId197" Type="http://schemas.openxmlformats.org/officeDocument/2006/relationships/hyperlink" Target="https://www.sec.gov/Archives/edgar/data/939767/000093976720000035/exel20191231exhibit1062.htm" TargetMode="External"/><Relationship Id="rId199" Type="http://schemas.openxmlformats.org/officeDocument/2006/relationships/hyperlink" Target="https://www.sec.gov/Archives/edgar/data/939767/000093976724000028/exel20231231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2025-02-11T15:40:27Z</dcterms:created>
  <dcterms:modified xsi:type="dcterms:W3CDTF">2025-02-11T15:40:27Z</dcterms:modified>
</cp:coreProperties>
</file>