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Exelixis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30161Q104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October 4, 2006</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CUSIP No. 30161Q104</w:t>
      </w:r>
    </w:p>
    <w:p>
      <w:pPr>
        <w:spacing w:after="0" w:line="200" w:lineRule="exact"/>
        <w:rPr>
          <w:sz w:val="24"/>
          <w:szCs w:val="24"/>
          <w:color w:val="auto"/>
        </w:rPr>
      </w:pPr>
    </w:p>
    <w:p>
      <w:pPr>
        <w:spacing w:after="0" w:line="204" w:lineRule="exact"/>
        <w:rPr>
          <w:sz w:val="24"/>
          <w:szCs w:val="24"/>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380" w:right="2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OrbiMed Advisors LLC</w:t>
      </w:r>
    </w:p>
    <w:p>
      <w:pPr>
        <w:spacing w:after="0" w:line="1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23" w:lineRule="exact"/>
        <w:rPr>
          <w:rFonts w:ascii="Courier New" w:cs="Courier New" w:eastAsia="Courier New" w:hAnsi="Courier New"/>
          <w:sz w:val="16"/>
          <w:szCs w:val="16"/>
          <w:color w:val="auto"/>
        </w:rPr>
      </w:pPr>
    </w:p>
    <w:p>
      <w:pPr>
        <w:jc w:val="both"/>
        <w:ind w:left="1380" w:right="8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(a) [ ] (b)</w:t>
      </w:r>
    </w:p>
    <w:p>
      <w:pPr>
        <w:spacing w:after="0" w:line="164" w:lineRule="exact"/>
        <w:rPr>
          <w:rFonts w:ascii="Courier New" w:cs="Courier New" w:eastAsia="Courier New" w:hAnsi="Courier New"/>
          <w:sz w:val="16"/>
          <w:szCs w:val="16"/>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380" w:right="5059" w:hanging="635"/>
        <w:spacing w:after="0" w:line="470"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3,788,400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Shared Dispositive Power: 3,788,400</w:t>
            </w:r>
          </w:p>
        </w:tc>
      </w:tr>
    </w:tbl>
    <w:p>
      <w:pPr>
        <w:spacing w:after="0" w:line="207" w:lineRule="exact"/>
        <w:rPr>
          <w:sz w:val="24"/>
          <w:szCs w:val="24"/>
          <w:color w:val="auto"/>
        </w:rPr>
      </w:pPr>
    </w:p>
    <w:p>
      <w:pPr>
        <w:ind w:left="1380" w:right="2519" w:hanging="635"/>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3,788,400</w:t>
      </w:r>
    </w:p>
    <w:p>
      <w:pPr>
        <w:spacing w:after="0" w:line="208" w:lineRule="exact"/>
        <w:rPr>
          <w:rFonts w:ascii="Courier New" w:cs="Courier New" w:eastAsia="Courier New" w:hAnsi="Courier New"/>
          <w:sz w:val="18"/>
          <w:szCs w:val="18"/>
          <w:color w:val="auto"/>
        </w:rPr>
      </w:pPr>
    </w:p>
    <w:p>
      <w:pPr>
        <w:ind w:left="1380" w:right="2099" w:hanging="635"/>
        <w:spacing w:after="0" w:line="235"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4.07%</w:t>
      </w:r>
    </w:p>
    <w:p>
      <w:pPr>
        <w:spacing w:after="0" w:line="20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55" w:orient="portrait"/>
          <w:cols w:equalWidth="0" w:num="1">
            <w:col w:w="10219"/>
          </w:cols>
          <w:pgMar w:left="240" w:top="244"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CUSIP No. 30161Q104</w:t>
      </w:r>
    </w:p>
    <w:p>
      <w:pPr>
        <w:spacing w:after="0" w:line="200" w:lineRule="exact"/>
        <w:rPr>
          <w:sz w:val="20"/>
          <w:szCs w:val="20"/>
          <w:color w:val="auto"/>
        </w:rPr>
      </w:pPr>
    </w:p>
    <w:p>
      <w:pPr>
        <w:spacing w:after="0" w:line="204" w:lineRule="exact"/>
        <w:rPr>
          <w:sz w:val="20"/>
          <w:szCs w:val="20"/>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380" w:right="2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OrbiMed Capital LLC</w:t>
      </w:r>
    </w:p>
    <w:p>
      <w:pPr>
        <w:spacing w:after="0" w:line="1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23" w:lineRule="exact"/>
        <w:rPr>
          <w:rFonts w:ascii="Courier New" w:cs="Courier New" w:eastAsia="Courier New" w:hAnsi="Courier New"/>
          <w:sz w:val="16"/>
          <w:szCs w:val="16"/>
          <w:color w:val="auto"/>
        </w:rPr>
      </w:pPr>
    </w:p>
    <w:p>
      <w:pPr>
        <w:jc w:val="both"/>
        <w:ind w:left="1380" w:right="8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(a) [ ] (b)</w:t>
      </w:r>
    </w:p>
    <w:p>
      <w:pPr>
        <w:spacing w:after="0" w:line="164" w:lineRule="exact"/>
        <w:rPr>
          <w:rFonts w:ascii="Courier New" w:cs="Courier New" w:eastAsia="Courier New" w:hAnsi="Courier New"/>
          <w:sz w:val="16"/>
          <w:szCs w:val="16"/>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380" w:right="5059" w:hanging="635"/>
        <w:spacing w:after="0" w:line="470"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1,102,600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4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  1,102,600</w:t>
            </w:r>
          </w:p>
        </w:tc>
      </w:tr>
    </w:tbl>
    <w:p>
      <w:pPr>
        <w:spacing w:after="0" w:line="207" w:lineRule="exact"/>
        <w:rPr>
          <w:sz w:val="20"/>
          <w:szCs w:val="20"/>
          <w:color w:val="auto"/>
        </w:rPr>
      </w:pPr>
    </w:p>
    <w:p>
      <w:pPr>
        <w:ind w:left="1380" w:right="251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1,102,600</w:t>
      </w:r>
    </w:p>
    <w:p>
      <w:pPr>
        <w:spacing w:after="0" w:line="208" w:lineRule="exact"/>
        <w:rPr>
          <w:rFonts w:ascii="Courier New" w:cs="Courier New" w:eastAsia="Courier New" w:hAnsi="Courier New"/>
          <w:sz w:val="18"/>
          <w:szCs w:val="18"/>
          <w:color w:val="auto"/>
        </w:rPr>
      </w:pPr>
    </w:p>
    <w:p>
      <w:pPr>
        <w:ind w:left="1380" w:right="209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1.18%</w:t>
      </w:r>
    </w:p>
    <w:p>
      <w:pPr>
        <w:spacing w:after="0" w:line="20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CUSIP No. 30161Q104</w:t>
      </w:r>
    </w:p>
    <w:p>
      <w:pPr>
        <w:spacing w:after="0" w:line="200" w:lineRule="exact"/>
        <w:rPr>
          <w:sz w:val="20"/>
          <w:szCs w:val="20"/>
          <w:color w:val="auto"/>
        </w:rPr>
      </w:pPr>
    </w:p>
    <w:p>
      <w:pPr>
        <w:spacing w:after="0" w:line="204" w:lineRule="exact"/>
        <w:rPr>
          <w:sz w:val="20"/>
          <w:szCs w:val="20"/>
          <w:color w:val="auto"/>
        </w:rPr>
      </w:pPr>
    </w:p>
    <w:p>
      <w:pPr>
        <w:ind w:left="1380" w:hanging="635"/>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380" w:right="2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Samuel D. Isaly</w:t>
      </w:r>
    </w:p>
    <w:p>
      <w:pPr>
        <w:spacing w:after="0" w:line="11"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23" w:lineRule="exact"/>
        <w:rPr>
          <w:rFonts w:ascii="Courier New" w:cs="Courier New" w:eastAsia="Courier New" w:hAnsi="Courier New"/>
          <w:sz w:val="16"/>
          <w:szCs w:val="16"/>
          <w:color w:val="auto"/>
        </w:rPr>
      </w:pPr>
    </w:p>
    <w:p>
      <w:pPr>
        <w:jc w:val="both"/>
        <w:ind w:left="1380" w:right="8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(a) [ ] (b)</w:t>
      </w:r>
    </w:p>
    <w:p>
      <w:pPr>
        <w:spacing w:after="0" w:line="164" w:lineRule="exact"/>
        <w:rPr>
          <w:rFonts w:ascii="Courier New" w:cs="Courier New" w:eastAsia="Courier New" w:hAnsi="Courier New"/>
          <w:sz w:val="16"/>
          <w:szCs w:val="16"/>
          <w:color w:val="auto"/>
        </w:rPr>
      </w:pPr>
    </w:p>
    <w:p>
      <w:pPr>
        <w:ind w:left="1380" w:hanging="635"/>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380" w:right="5059" w:hanging="635"/>
        <w:spacing w:after="0" w:line="470"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4,891,000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48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Shared Dispositive Power: 4,891,000</w:t>
            </w:r>
          </w:p>
        </w:tc>
      </w:tr>
    </w:tbl>
    <w:p>
      <w:pPr>
        <w:spacing w:after="0" w:line="207" w:lineRule="exact"/>
        <w:rPr>
          <w:sz w:val="20"/>
          <w:szCs w:val="20"/>
          <w:color w:val="auto"/>
        </w:rPr>
      </w:pPr>
    </w:p>
    <w:p>
      <w:pPr>
        <w:ind w:left="1380" w:right="2419" w:hanging="635"/>
        <w:spacing w:after="0" w:line="235"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4,891,000</w:t>
      </w:r>
    </w:p>
    <w:p>
      <w:pPr>
        <w:spacing w:after="0" w:line="208" w:lineRule="exact"/>
        <w:rPr>
          <w:rFonts w:ascii="Courier New" w:cs="Courier New" w:eastAsia="Courier New" w:hAnsi="Courier New"/>
          <w:sz w:val="18"/>
          <w:szCs w:val="18"/>
          <w:color w:val="auto"/>
        </w:rPr>
      </w:pPr>
    </w:p>
    <w:p>
      <w:pPr>
        <w:ind w:left="1380" w:right="2099" w:hanging="635"/>
        <w:spacing w:after="0" w:line="235"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5.25%</w:t>
      </w:r>
    </w:p>
    <w:p>
      <w:pPr>
        <w:sectPr>
          <w:pgSz w:w="11900" w:h="16838" w:orient="portrait"/>
          <w:cols w:equalWidth="0" w:num="1">
            <w:col w:w="10219"/>
          </w:cols>
          <w:pgMar w:left="240" w:top="1352" w:right="1440" w:bottom="0" w:gutter="0" w:footer="0" w:header="0"/>
        </w:sectPr>
      </w:pPr>
    </w:p>
    <w:bookmarkStart w:id="2" w:name="page3"/>
    <w:bookmarkEnd w:id="2"/>
    <w:p>
      <w:pPr>
        <w:ind w:left="1380" w:hanging="635"/>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360" w:val="left"/>
          <w:tab w:leader="none" w:pos="2420" w:val="left"/>
        </w:tabs>
        <w:rPr>
          <w:sz w:val="20"/>
          <w:szCs w:val="20"/>
          <w:color w:val="auto"/>
        </w:rPr>
      </w:pPr>
      <w:r>
        <w:rPr>
          <w:rFonts w:ascii="Courier New" w:cs="Courier New" w:eastAsia="Courier New" w:hAnsi="Courier New"/>
          <w:sz w:val="18"/>
          <w:szCs w:val="18"/>
          <w:color w:val="auto"/>
        </w:rPr>
        <w:t>Item 1. (a)</w:t>
        <w:tab/>
        <w:t>Issuer:</w:t>
      </w:r>
      <w:r>
        <w:rPr>
          <w:sz w:val="20"/>
          <w:szCs w:val="20"/>
          <w:color w:val="auto"/>
        </w:rPr>
        <w:tab/>
      </w:r>
      <w:r>
        <w:rPr>
          <w:rFonts w:ascii="Courier New" w:cs="Courier New" w:eastAsia="Courier New" w:hAnsi="Courier New"/>
          <w:sz w:val="16"/>
          <w:szCs w:val="16"/>
          <w:color w:val="auto"/>
        </w:rPr>
        <w:t>Exelixis Inc.</w:t>
      </w:r>
    </w:p>
    <w:p>
      <w:pPr>
        <w:spacing w:after="0" w:line="201" w:lineRule="exact"/>
        <w:rPr>
          <w:sz w:val="20"/>
          <w:szCs w:val="20"/>
          <w:color w:val="auto"/>
        </w:rPr>
      </w:pPr>
    </w:p>
    <w:p>
      <w:pPr>
        <w:ind w:left="2220" w:hanging="843"/>
        <w:spacing w:after="0"/>
        <w:tabs>
          <w:tab w:leader="none" w:pos="2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w:t>
      </w:r>
    </w:p>
    <w:p>
      <w:pPr>
        <w:spacing w:after="0" w:line="4" w:lineRule="exact"/>
        <w:rPr>
          <w:rFonts w:ascii="Courier New" w:cs="Courier New" w:eastAsia="Courier New" w:hAnsi="Courier New"/>
          <w:sz w:val="18"/>
          <w:szCs w:val="18"/>
          <w:color w:val="auto"/>
        </w:rPr>
      </w:pPr>
    </w:p>
    <w:p>
      <w:pPr>
        <w:ind w:left="2220" w:right="65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170 HARBOR WAY P O BOX 511</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SAN FRANCISCO CA 94083</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ind w:left="1380"/>
        <w:spacing w:after="0" w:line="238" w:lineRule="auto"/>
        <w:rPr>
          <w:sz w:val="20"/>
          <w:szCs w:val="20"/>
          <w:color w:val="auto"/>
        </w:rPr>
      </w:pPr>
      <w:r>
        <w:rPr>
          <w:rFonts w:ascii="Courier New" w:cs="Courier New" w:eastAsia="Courier New" w:hAnsi="Courier New"/>
          <w:sz w:val="18"/>
          <w:szCs w:val="18"/>
          <w:color w:val="auto"/>
        </w:rPr>
        <w:t>OrbiMed Advisors LLC</w:t>
      </w:r>
    </w:p>
    <w:p>
      <w:pPr>
        <w:ind w:left="1380"/>
        <w:spacing w:after="0"/>
        <w:rPr>
          <w:sz w:val="20"/>
          <w:szCs w:val="20"/>
          <w:color w:val="auto"/>
        </w:rPr>
      </w:pPr>
      <w:r>
        <w:rPr>
          <w:rFonts w:ascii="Courier New" w:cs="Courier New" w:eastAsia="Courier New" w:hAnsi="Courier New"/>
          <w:sz w:val="18"/>
          <w:szCs w:val="18"/>
          <w:color w:val="auto"/>
        </w:rPr>
        <w:t>OrbiMed Capital LLC</w:t>
      </w:r>
    </w:p>
    <w:p>
      <w:pPr>
        <w:ind w:left="1380"/>
        <w:spacing w:after="0" w:line="237" w:lineRule="auto"/>
        <w:rPr>
          <w:sz w:val="20"/>
          <w:szCs w:val="20"/>
          <w:color w:val="auto"/>
        </w:rPr>
      </w:pPr>
      <w:r>
        <w:rPr>
          <w:rFonts w:ascii="Courier New" w:cs="Courier New" w:eastAsia="Courier New" w:hAnsi="Courier New"/>
          <w:sz w:val="18"/>
          <w:szCs w:val="18"/>
          <w:color w:val="auto"/>
        </w:rPr>
        <w:t>Samuel D. Isaly</w:t>
      </w:r>
    </w:p>
    <w:p>
      <w:pPr>
        <w:spacing w:after="0" w:line="202" w:lineRule="exact"/>
        <w:rPr>
          <w:sz w:val="20"/>
          <w:szCs w:val="20"/>
          <w:color w:val="auto"/>
        </w:rPr>
      </w:pPr>
    </w:p>
    <w:p>
      <w:pPr>
        <w:ind w:left="1380" w:hanging="529"/>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Offices:</w:t>
      </w:r>
    </w:p>
    <w:p>
      <w:pPr>
        <w:spacing w:after="0" w:line="206" w:lineRule="exact"/>
        <w:rPr>
          <w:rFonts w:ascii="Courier New" w:cs="Courier New" w:eastAsia="Courier New" w:hAnsi="Courier New"/>
          <w:sz w:val="18"/>
          <w:szCs w:val="18"/>
          <w:color w:val="auto"/>
        </w:rPr>
      </w:pPr>
    </w:p>
    <w:p>
      <w:pPr>
        <w:ind w:left="1380" w:right="5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767 Third Avenue, 30th Floor New York, New York 10017</w:t>
      </w:r>
    </w:p>
    <w:p>
      <w:pPr>
        <w:spacing w:after="0" w:line="164"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4"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Please refer to Item 4 on each cover sheet for each filing person</w:t>
      </w:r>
    </w:p>
    <w:p>
      <w:pPr>
        <w:spacing w:after="0" w:line="223" w:lineRule="exact"/>
        <w:rPr>
          <w:rFonts w:ascii="Courier New" w:cs="Courier New" w:eastAsia="Courier New" w:hAnsi="Courier New"/>
          <w:sz w:val="18"/>
          <w:szCs w:val="18"/>
          <w:color w:val="auto"/>
        </w:rPr>
      </w:pPr>
    </w:p>
    <w:p>
      <w:pPr>
        <w:ind w:left="1380" w:right="5899" w:hanging="529"/>
        <w:spacing w:after="0" w:line="235"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30161Q104</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Item 3. OrbiMed Advisors LLC and OrbiMed Capital LLC are investment advisors in accordance with ss.240.13d-1(b)(1)(ii)(E). Samuel D. Isaly is a control person in accordance with ss.240.13d-1(b)(1)(ii)(G).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Please see Items 5 - 9 and 11 for each cover sheet for each filing separately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ind w:left="960"/>
              <w:spacing w:after="0"/>
              <w:rPr>
                <w:sz w:val="20"/>
                <w:szCs w:val="20"/>
                <w:color w:val="auto"/>
              </w:rPr>
            </w:pPr>
            <w:r>
              <w:rPr>
                <w:rFonts w:ascii="Courier New" w:cs="Courier New" w:eastAsia="Courier New" w:hAnsi="Courier New"/>
                <w:sz w:val="18"/>
                <w:szCs w:val="18"/>
                <w:color w:val="auto"/>
              </w:rPr>
              <w:t>Not Applicable</w:t>
            </w:r>
          </w:p>
        </w:tc>
        <w:tc>
          <w:tcPr>
            <w:tcW w:w="3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405"/>
        </w:trPr>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Item 6.  Ownership of More than Five Percent on Behalf</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of Another Person.</w:t>
            </w:r>
          </w:p>
        </w:tc>
      </w:tr>
      <w:tr>
        <w:trPr>
          <w:trHeight w:val="405"/>
        </w:trPr>
        <w:tc>
          <w:tcPr>
            <w:tcW w:w="5440" w:type="dxa"/>
            <w:vAlign w:val="bottom"/>
          </w:tcPr>
          <w:p>
            <w:pPr>
              <w:ind w:left="960"/>
              <w:spacing w:after="0"/>
              <w:rPr>
                <w:sz w:val="20"/>
                <w:szCs w:val="20"/>
                <w:color w:val="auto"/>
              </w:rPr>
            </w:pPr>
            <w:r>
              <w:rPr>
                <w:rFonts w:ascii="Courier New" w:cs="Courier New" w:eastAsia="Courier New" w:hAnsi="Courier New"/>
                <w:sz w:val="18"/>
                <w:szCs w:val="18"/>
                <w:color w:val="auto"/>
                <w:w w:val="98"/>
              </w:rPr>
              <w:t>Reporting persons are holding 5.25% (4.07%</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the case of</w:t>
            </w:r>
          </w:p>
        </w:tc>
      </w:tr>
      <w:tr>
        <w:trPr>
          <w:trHeight w:val="203"/>
        </w:trPr>
        <w:tc>
          <w:tcPr>
            <w:tcW w:w="5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OrbiMed Advisors LLC and 1.18% in the case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OrbiMed Capital LLC) of</w:t>
            </w:r>
          </w:p>
        </w:tc>
      </w:tr>
      <w:tr>
        <w:trPr>
          <w:trHeight w:val="203"/>
        </w:trPr>
        <w:tc>
          <w:tcPr>
            <w:tcW w:w="574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7"/>
              </w:rPr>
              <w:t>the securities on behalf of other persons who</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have the right to</w:t>
            </w:r>
          </w:p>
        </w:tc>
      </w:tr>
      <w:tr>
        <w:trPr>
          <w:trHeight w:val="203"/>
        </w:trPr>
        <w:tc>
          <w:tcPr>
            <w:tcW w:w="5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receive or the power to direct the receipt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dividends from, or</w:t>
            </w:r>
          </w:p>
        </w:tc>
      </w:tr>
      <w:tr>
        <w:trPr>
          <w:trHeight w:val="203"/>
        </w:trPr>
        <w:tc>
          <w:tcPr>
            <w:tcW w:w="5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proceeds from sale of, such securities. No</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one such other person's</w:t>
            </w:r>
          </w:p>
        </w:tc>
      </w:tr>
      <w:tr>
        <w:trPr>
          <w:trHeight w:val="203"/>
        </w:trPr>
        <w:tc>
          <w:tcPr>
            <w:tcW w:w="5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8"/>
              </w:rPr>
              <w:t>interest in the securities whose ownership</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reported here relates</w:t>
            </w:r>
          </w:p>
        </w:tc>
      </w:tr>
      <w:tr>
        <w:trPr>
          <w:trHeight w:val="203"/>
        </w:trPr>
        <w:tc>
          <w:tcPr>
            <w:tcW w:w="5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 more than five percent of the class.</w:t>
            </w:r>
          </w:p>
        </w:tc>
        <w:tc>
          <w:tcPr>
            <w:tcW w:w="300" w:type="dxa"/>
            <w:vAlign w:val="bottom"/>
          </w:tcPr>
          <w:p>
            <w:pPr>
              <w:spacing w:after="0"/>
              <w:rPr>
                <w:sz w:val="17"/>
                <w:szCs w:val="17"/>
                <w:color w:val="auto"/>
              </w:rPr>
            </w:pPr>
          </w:p>
        </w:tc>
        <w:tc>
          <w:tcPr>
            <w:tcW w:w="2480" w:type="dxa"/>
            <w:vAlign w:val="bottom"/>
          </w:tcPr>
          <w:p>
            <w:pPr>
              <w:spacing w:after="0"/>
              <w:rPr>
                <w:sz w:val="17"/>
                <w:szCs w:val="17"/>
                <w:color w:val="auto"/>
              </w:rPr>
            </w:pPr>
          </w:p>
        </w:tc>
      </w:tr>
    </w:tbl>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OrbiMed Advisors LLC and OrbiMed Capital LLC hold shares on behalf of Caduceus Capital Master Fund Limited (366,000 shares), Caduceus Capital II, L.P. (215,100 shares), UBS Eucalyptus Fund, LLC (249,900 shares), PW Eucalyptus Fund, Ltd. (28,400 shares), HFR SHC Aggressive Master Trust (40,600 shares),</w:t>
      </w:r>
    </w:p>
    <w:p>
      <w:pPr>
        <w:spacing w:after="0" w:line="6" w:lineRule="exact"/>
        <w:rPr>
          <w:sz w:val="20"/>
          <w:szCs w:val="20"/>
          <w:color w:val="auto"/>
        </w:rPr>
      </w:pPr>
    </w:p>
    <w:p>
      <w:pPr>
        <w:ind w:left="960" w:right="2319"/>
        <w:spacing w:after="0" w:line="237" w:lineRule="auto"/>
        <w:rPr>
          <w:sz w:val="20"/>
          <w:szCs w:val="20"/>
          <w:color w:val="auto"/>
        </w:rPr>
      </w:pPr>
      <w:r>
        <w:rPr>
          <w:rFonts w:ascii="Courier New" w:cs="Courier New" w:eastAsia="Courier New" w:hAnsi="Courier New"/>
          <w:sz w:val="18"/>
          <w:szCs w:val="18"/>
          <w:color w:val="auto"/>
        </w:rPr>
        <w:t>UBS Juniper Crossover Fund, LLC (150,000 shares), Eaton Vance Worldwide Health Sciences (3,100,000 shares), Eaton Vance Emerald Worldwide Health Sciences (110,000 shares), Eaton Vance Variable Trust (45,000 shares), and Finsbury Worldwide Pharmaceutical Trust (586,000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11, 2006</w:t>
      </w:r>
    </w:p>
    <w:p>
      <w:pPr>
        <w:ind w:left="4120"/>
        <w:spacing w:after="0" w:line="238" w:lineRule="auto"/>
        <w:rPr>
          <w:sz w:val="20"/>
          <w:szCs w:val="20"/>
          <w:color w:val="auto"/>
        </w:rPr>
      </w:pPr>
      <w:r>
        <w:rPr>
          <w:rFonts w:ascii="Courier New" w:cs="Courier New" w:eastAsia="Courier New" w:hAnsi="Courier New"/>
          <w:sz w:val="18"/>
          <w:szCs w:val="18"/>
          <w:color w:val="auto"/>
        </w:rPr>
        <w:t>OrbiMed Advisors LLC</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Samuel D. Isaly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Samuel D. Isaly</w:t>
      </w:r>
    </w:p>
    <w:p>
      <w:pPr>
        <w:ind w:left="41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OrbiMed Capital LLC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Samuel D. Isaly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Samuel D. Isaly</w:t>
      </w:r>
    </w:p>
    <w:p>
      <w:pPr>
        <w:ind w:left="412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Samuel D. Isaly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left="1040"/>
        <w:spacing w:after="0"/>
        <w:tabs>
          <w:tab w:leader="none" w:pos="200" w:val="left"/>
        </w:tabs>
        <w:rPr>
          <w:sz w:val="20"/>
          <w:szCs w:val="20"/>
          <w:color w:val="auto"/>
        </w:rPr>
      </w:pPr>
      <w:r>
        <w:rPr>
          <w:rFonts w:ascii="Courier New" w:cs="Courier New" w:eastAsia="Courier New" w:hAnsi="Courier New"/>
          <w:sz w:val="18"/>
          <w:szCs w:val="18"/>
          <w:color w:val="auto"/>
        </w:rPr>
        <w:t>Name:</w:t>
        <w:tab/>
        <w:t>Samuel D. Isaly</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undersigned hereby agree that the Statement on this Schedule 13G, dated October 11, 2006, (the "Schedule 13G"), with respect to the Common Stock, par value $.001 per share, of Exelixis Inc. is filed on behalf of each of us pursuant to and in accordance with the provisions of Rule 13d-1(k) under the Securities and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8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Agreement as of the 11th day of October 2006.</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OrbiMed Advisors LLC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Samuel D. Isaly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Samuel D. Isaly</w:t>
      </w:r>
    </w:p>
    <w:p>
      <w:pPr>
        <w:ind w:left="444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OrbiMed Capital LLC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Samuel D. Isaly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Samuel D. Isaly</w:t>
      </w:r>
    </w:p>
    <w:p>
      <w:pPr>
        <w:ind w:left="444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Samuel D. Isaly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Samuel D. Isaly</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Statement of Control Person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Statement on this Schedule 13G dated October 11, 2006 with respect to the</w:t>
      </w:r>
    </w:p>
    <w:p>
      <w:pPr>
        <w:sectPr>
          <w:pgSz w:w="11900" w:h="16838" w:orient="portrait"/>
          <w:cols w:equalWidth="0" w:num="1">
            <w:col w:w="10219"/>
          </w:cols>
          <w:pgMar w:left="240" w:top="136" w:right="1440" w:bottom="0" w:gutter="0" w:footer="0" w:header="0"/>
          <w:type w:val="continuous"/>
        </w:sectPr>
      </w:pPr>
    </w:p>
    <w:bookmarkStart w:id="4" w:name="page5"/>
    <w:bookmarkEnd w:id="4"/>
    <w:p>
      <w:pPr>
        <w:ind w:right="2319"/>
        <w:spacing w:after="0" w:line="237" w:lineRule="auto"/>
        <w:rPr>
          <w:sz w:val="20"/>
          <w:szCs w:val="20"/>
          <w:color w:val="auto"/>
        </w:rPr>
      </w:pPr>
      <w:r>
        <w:rPr>
          <w:rFonts w:ascii="Courier New" w:cs="Courier New" w:eastAsia="Courier New" w:hAnsi="Courier New"/>
          <w:sz w:val="18"/>
          <w:szCs w:val="18"/>
          <w:color w:val="auto"/>
        </w:rPr>
        <w:t>common stock, $.001 par value per share, of Exelixis Inc. is filed by Samuel D. Isaly in accordance with the provisions of Rule 13d-1(b) and Rule 13d-1(k),respectively, as control person (HC) of OrbiMed Advisors LLC and OrbiMed Capital LLC.</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OrbiMed Advisors LLC and OrbiMed Capital LLC file this statement on Schedule 13G in accordance with the provisions of Rule 13d-1(b) and Rule 13d-1(k), respectively, as investment advisors (IA).</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9"/>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2019-12-14T04:47:10Z</dcterms:created>
  <dcterms:modified xsi:type="dcterms:W3CDTF">2019-12-14T04:47:10Z</dcterms:modified>
</cp:coreProperties>
</file>